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0"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4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29, 2026</w:t>
      </w:r>
    </w:p>
    <w:p>
      <w:pPr>
        <w:spacing w:after="0" w:line="111"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SPYRE THERAPEUTICS, INC.</w:t>
      </w:r>
    </w:p>
    <w:p>
      <w:pPr>
        <w:spacing w:after="0" w:line="148" w:lineRule="exact"/>
        <w:rPr>
          <w:sz w:val="24"/>
          <w:szCs w:val="24"/>
          <w:color w:val="auto"/>
        </w:rPr>
      </w:pPr>
    </w:p>
    <w:tbl>
      <w:tblPr>
        <w:tblLayout w:type="fixed"/>
        <w:tblInd w:w="720" w:type="dxa"/>
        <w:tblCellMar>
          <w:top w:w="0" w:type="dxa"/>
          <w:left w:w="0" w:type="dxa"/>
          <w:bottom w:w="0" w:type="dxa"/>
          <w:right w:w="0" w:type="dxa"/>
        </w:tblCellMar>
      </w:tblPr>
      <w:tr>
        <w:trPr>
          <w:trHeight w:val="178"/>
        </w:trPr>
        <w:tc>
          <w:tcPr>
            <w:tcW w:w="2360" w:type="dxa"/>
            <w:vAlign w:val="bottom"/>
          </w:tcPr>
          <w:p>
            <w:pPr>
              <w:spacing w:after="0"/>
              <w:rPr>
                <w:sz w:val="15"/>
                <w:szCs w:val="15"/>
                <w:color w:val="auto"/>
              </w:rPr>
            </w:pPr>
          </w:p>
        </w:tc>
        <w:tc>
          <w:tcPr>
            <w:tcW w:w="5380" w:type="dxa"/>
            <w:vAlign w:val="bottom"/>
          </w:tcPr>
          <w:p>
            <w:pPr>
              <w:jc w:val="center"/>
              <w:ind w:right="201"/>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1440" w:type="dxa"/>
            <w:vAlign w:val="bottom"/>
          </w:tcPr>
          <w:p>
            <w:pPr>
              <w:spacing w:after="0"/>
              <w:rPr>
                <w:sz w:val="15"/>
                <w:szCs w:val="15"/>
                <w:color w:val="auto"/>
              </w:rPr>
            </w:pPr>
          </w:p>
        </w:tc>
      </w:tr>
      <w:tr>
        <w:trPr>
          <w:trHeight w:val="325"/>
        </w:trPr>
        <w:tc>
          <w:tcPr>
            <w:tcW w:w="2360" w:type="dxa"/>
            <w:vAlign w:val="bottom"/>
          </w:tcPr>
          <w:p>
            <w:pPr>
              <w:spacing w:after="0"/>
              <w:rPr>
                <w:sz w:val="24"/>
                <w:szCs w:val="24"/>
                <w:color w:val="auto"/>
              </w:rPr>
            </w:pPr>
          </w:p>
        </w:tc>
        <w:tc>
          <w:tcPr>
            <w:tcW w:w="5380" w:type="dxa"/>
            <w:vAlign w:val="bottom"/>
          </w:tcPr>
          <w:p>
            <w:pPr>
              <w:jc w:val="center"/>
              <w:ind w:right="201"/>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w:t>
            </w:r>
          </w:p>
        </w:tc>
        <w:tc>
          <w:tcPr>
            <w:tcW w:w="1440" w:type="dxa"/>
            <w:vAlign w:val="bottom"/>
          </w:tcPr>
          <w:p>
            <w:pPr>
              <w:spacing w:after="0"/>
              <w:rPr>
                <w:sz w:val="24"/>
                <w:szCs w:val="24"/>
                <w:color w:val="auto"/>
              </w:rPr>
            </w:pPr>
          </w:p>
        </w:tc>
      </w:tr>
      <w:tr>
        <w:trPr>
          <w:trHeight w:val="361"/>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80" w:type="dxa"/>
            <w:vAlign w:val="bottom"/>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001-37722</w:t>
            </w:r>
          </w:p>
        </w:tc>
        <w:tc>
          <w:tcPr>
            <w:tcW w:w="14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46-4312787</w:t>
            </w:r>
          </w:p>
        </w:tc>
      </w:tr>
      <w:tr>
        <w:trPr>
          <w:trHeight w:val="175"/>
        </w:trPr>
        <w:tc>
          <w:tcPr>
            <w:tcW w:w="2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538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440" w:type="dxa"/>
            <w:vAlign w:val="bottom"/>
          </w:tcPr>
          <w:p>
            <w:pPr>
              <w:jc w:val="center"/>
              <w:ind w:left="28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5380" w:type="dxa"/>
            <w:vAlign w:val="bottom"/>
          </w:tcPr>
          <w:p>
            <w:pPr>
              <w:spacing w:after="0"/>
              <w:rPr>
                <w:sz w:val="15"/>
                <w:szCs w:val="15"/>
                <w:color w:val="auto"/>
              </w:rPr>
            </w:pPr>
          </w:p>
        </w:tc>
        <w:tc>
          <w:tcPr>
            <w:tcW w:w="1440" w:type="dxa"/>
            <w:vAlign w:val="bottom"/>
          </w:tcPr>
          <w:p>
            <w:pPr>
              <w:jc w:val="center"/>
              <w:ind w:left="3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518"/>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221 Crescent Street</w:t>
            </w:r>
          </w:p>
        </w:tc>
        <w:tc>
          <w:tcPr>
            <w:tcW w:w="53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Building 23</w:t>
            </w:r>
          </w:p>
        </w:tc>
        <w:tc>
          <w:tcPr>
            <w:tcW w:w="53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8"/>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Suite 105</w:t>
            </w:r>
          </w:p>
        </w:tc>
        <w:tc>
          <w:tcPr>
            <w:tcW w:w="53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3"/>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5380" w:type="dxa"/>
            <w:vAlign w:val="bottom"/>
          </w:tcPr>
          <w:p>
            <w:pPr>
              <w:spacing w:after="0"/>
              <w:rPr>
                <w:sz w:val="22"/>
                <w:szCs w:val="22"/>
                <w:color w:val="auto"/>
              </w:rPr>
            </w:pPr>
          </w:p>
        </w:tc>
        <w:tc>
          <w:tcPr>
            <w:tcW w:w="1440" w:type="dxa"/>
            <w:vAlign w:val="bottom"/>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02453</w:t>
            </w:r>
          </w:p>
        </w:tc>
      </w:tr>
      <w:tr>
        <w:trPr>
          <w:trHeight w:val="178"/>
        </w:trPr>
        <w:tc>
          <w:tcPr>
            <w:tcW w:w="2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5380" w:type="dxa"/>
            <w:vAlign w:val="bottom"/>
          </w:tcPr>
          <w:p>
            <w:pPr>
              <w:spacing w:after="0"/>
              <w:rPr>
                <w:sz w:val="15"/>
                <w:szCs w:val="15"/>
                <w:color w:val="auto"/>
              </w:rPr>
            </w:pPr>
          </w:p>
        </w:tc>
        <w:tc>
          <w:tcPr>
            <w:tcW w:w="1440" w:type="dxa"/>
            <w:vAlign w:val="bottom"/>
          </w:tcPr>
          <w:p>
            <w:pPr>
              <w:jc w:val="center"/>
              <w:ind w:left="3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3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4"/>
          <w:szCs w:val="14"/>
          <w:b w:val="1"/>
          <w:bCs w:val="1"/>
          <w:color w:val="auto"/>
        </w:rPr>
        <w:t>617 651-5940</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11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225"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4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43"/>
        </w:trPr>
        <w:tc>
          <w:tcPr>
            <w:tcW w:w="4480" w:type="dxa"/>
            <w:vAlign w:val="bottom"/>
            <w:gridSpan w:val="2"/>
            <w:vMerge w:val="continue"/>
          </w:tcPr>
          <w:p>
            <w:pPr>
              <w:spacing w:after="0"/>
              <w:rPr>
                <w:sz w:val="21"/>
                <w:szCs w:val="21"/>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4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43"/>
        </w:trPr>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SYRE</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92"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2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87"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On May 29, 2026, the Company entered into the First Amendment to Amended and Restated License Agreement (the "Amendment"), amending the Amended and Restated License Agreement dated as of February 24, 2025 (as amended, the "SPY003 License Agreement"), by and between the Company and Paragon Therapeutics, Inc. ("Paragon"). Prior to the Amendment, the Company's Field was limited to inflammatory bowel disease. The Amendment, among other things, expands the definition of "Field" to encompass all therapeutic, prophylactic, palliative and diagnostic uses, subject to the restriction that the Company will not dose a human patient in a clinical trial of SPY003 for an indication outside of inflammatory bowel disease as part of a combination until June 1, 2028 or as a monotherapy until June 1, 2030 (the "Monotherapy Dosing Restriction"). In the event the Company or a licensee of Paragon's retained rights under the SPY003 License Agreement consummates a material transaction, including a change of control of the Company or such licensee, then any remaining restrictions outside of the initial definition of "Field" set forth in the Monotherapy Dosing Restriction shall remain in effect only until June 1, 2028 and thereafter terminate and be of no further force or effect.</w:t>
      </w:r>
    </w:p>
    <w:p>
      <w:pPr>
        <w:spacing w:after="0" w:line="212" w:lineRule="exact"/>
        <w:rPr>
          <w:sz w:val="20"/>
          <w:szCs w:val="20"/>
          <w:color w:val="auto"/>
        </w:rPr>
      </w:pPr>
    </w:p>
    <w:p>
      <w:pPr>
        <w:ind w:right="640" w:firstLine="648"/>
        <w:spacing w:after="0" w:line="266" w:lineRule="auto"/>
        <w:rPr>
          <w:sz w:val="20"/>
          <w:szCs w:val="20"/>
          <w:color w:val="auto"/>
        </w:rPr>
      </w:pPr>
      <w:r>
        <w:rPr>
          <w:rFonts w:ascii="Times New Roman" w:cs="Times New Roman" w:eastAsia="Times New Roman" w:hAnsi="Times New Roman"/>
          <w:sz w:val="18"/>
          <w:szCs w:val="18"/>
          <w:color w:val="auto"/>
        </w:rPr>
        <w:t>The foregoing is a brief description of the terms and conditions of the Amendment and does not purport to be complete. The description is qualified in its entirety by reference to the complete text of the Amendment, a copy of which is attached hereto as Exhibit 10.1.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4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24"/>
        </w:trPr>
        <w:tc>
          <w:tcPr>
            <w:tcW w:w="20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Exhibit Number</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04"/>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First Amendment to Amended and Restated IL-23 (SPY003) License Agreement, dated May 29, 2026</w:t>
            </w:r>
            <w:r>
              <w:rPr>
                <w:rFonts w:ascii="Times New Roman" w:cs="Times New Roman" w:eastAsia="Times New Roman" w:hAnsi="Times New Roman"/>
                <w:sz w:val="18"/>
                <w:szCs w:val="18"/>
                <w:color w:val="000000"/>
              </w:rPr>
              <w:t>.</w:t>
            </w:r>
          </w:p>
        </w:tc>
      </w:tr>
      <w:tr>
        <w:trPr>
          <w:trHeight w:val="358"/>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3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880" w:type="dxa"/>
            <w:vAlign w:val="bottom"/>
          </w:tcPr>
          <w:p>
            <w:pPr>
              <w:spacing w:after="0"/>
              <w:rPr>
                <w:sz w:val="24"/>
                <w:szCs w:val="24"/>
                <w:color w:val="auto"/>
              </w:rPr>
            </w:pPr>
          </w:p>
        </w:tc>
      </w:tr>
      <w:tr>
        <w:trPr>
          <w:trHeight w:val="1019"/>
        </w:trPr>
        <w:tc>
          <w:tcPr>
            <w:tcW w:w="9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5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SPYRE THERAPEUTICS, INC.</w:t>
            </w:r>
          </w:p>
        </w:tc>
        <w:tc>
          <w:tcPr>
            <w:tcW w:w="0" w:type="dxa"/>
            <w:vAlign w:val="bottom"/>
          </w:tcPr>
          <w:p>
            <w:pPr>
              <w:spacing w:after="0"/>
              <w:rPr>
                <w:sz w:val="1"/>
                <w:szCs w:val="1"/>
                <w:color w:val="auto"/>
              </w:rPr>
            </w:pPr>
          </w:p>
        </w:tc>
      </w:tr>
      <w:tr>
        <w:trPr>
          <w:trHeight w:val="51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June 1, 2026</w:t>
            </w:r>
          </w:p>
        </w:tc>
        <w:tc>
          <w:tcPr>
            <w:tcW w:w="760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Cameron Turtle</w:t>
            </w:r>
          </w:p>
        </w:tc>
        <w:tc>
          <w:tcPr>
            <w:tcW w:w="0" w:type="dxa"/>
            <w:vAlign w:val="bottom"/>
          </w:tcPr>
          <w:p>
            <w:pPr>
              <w:spacing w:after="0"/>
              <w:rPr>
                <w:sz w:val="1"/>
                <w:szCs w:val="1"/>
                <w:color w:val="auto"/>
              </w:rPr>
            </w:pPr>
          </w:p>
        </w:tc>
      </w:tr>
      <w:tr>
        <w:trPr>
          <w:trHeight w:val="108"/>
        </w:trPr>
        <w:tc>
          <w:tcPr>
            <w:tcW w:w="520" w:type="dxa"/>
            <w:vAlign w:val="bottom"/>
          </w:tcPr>
          <w:p>
            <w:pPr>
              <w:spacing w:after="0"/>
              <w:rPr>
                <w:sz w:val="9"/>
                <w:szCs w:val="9"/>
                <w:color w:val="auto"/>
              </w:rPr>
            </w:pPr>
          </w:p>
        </w:tc>
        <w:tc>
          <w:tcPr>
            <w:tcW w:w="3100" w:type="dxa"/>
            <w:vAlign w:val="bottom"/>
            <w:vMerge w:val="continue"/>
          </w:tcPr>
          <w:p>
            <w:pPr>
              <w:spacing w:after="0"/>
              <w:rPr>
                <w:sz w:val="9"/>
                <w:szCs w:val="9"/>
                <w:color w:val="auto"/>
              </w:rPr>
            </w:pPr>
          </w:p>
        </w:tc>
        <w:tc>
          <w:tcPr>
            <w:tcW w:w="25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Cameron Turtle</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4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 AMENDED AND RESTATED LICENSE AGREEMENT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This First Amendment to Amended and Restated License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b w:val="1"/>
          <w:bCs w:val="1"/>
          <w:color w:val="auto"/>
        </w:rPr>
        <w:t>First Amendment</w:t>
      </w:r>
      <w:r>
        <w:rPr>
          <w:rFonts w:ascii="Times New Roman" w:cs="Times New Roman" w:eastAsia="Times New Roman" w:hAnsi="Times New Roman"/>
          <w:sz w:val="22"/>
          <w:szCs w:val="22"/>
          <w:color w:val="auto"/>
        </w:rPr>
        <w:t>”) is dated as of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29, 2026 (the “</w:t>
      </w:r>
      <w:r>
        <w:rPr>
          <w:rFonts w:ascii="Times New Roman" w:cs="Times New Roman" w:eastAsia="Times New Roman" w:hAnsi="Times New Roman"/>
          <w:sz w:val="22"/>
          <w:szCs w:val="22"/>
          <w:b w:val="1"/>
          <w:bCs w:val="1"/>
          <w:color w:val="auto"/>
        </w:rPr>
        <w:t>Amendment Effective Date</w:t>
      </w:r>
      <w:r>
        <w:rPr>
          <w:rFonts w:ascii="Times New Roman" w:cs="Times New Roman" w:eastAsia="Times New Roman" w:hAnsi="Times New Roman"/>
          <w:sz w:val="22"/>
          <w:szCs w:val="22"/>
          <w:color w:val="auto"/>
        </w:rPr>
        <w:t>”) and is entered into by and between Paragon Therapeutics, Inc., a corporation organized under the laws of the State of Delaware (“</w:t>
      </w:r>
      <w:r>
        <w:rPr>
          <w:rFonts w:ascii="Times New Roman" w:cs="Times New Roman" w:eastAsia="Times New Roman" w:hAnsi="Times New Roman"/>
          <w:sz w:val="22"/>
          <w:szCs w:val="22"/>
          <w:b w:val="1"/>
          <w:bCs w:val="1"/>
          <w:color w:val="auto"/>
        </w:rPr>
        <w:t>Paragon</w:t>
      </w:r>
      <w:r>
        <w:rPr>
          <w:rFonts w:ascii="Times New Roman" w:cs="Times New Roman" w:eastAsia="Times New Roman" w:hAnsi="Times New Roman"/>
          <w:sz w:val="22"/>
          <w:szCs w:val="22"/>
          <w:color w:val="auto"/>
        </w:rPr>
        <w:t>”), having its principal place of business at 221 Crescent Street, Building 23, Suite 105, Waltham, MA 02453, and Spyre Therapeutics, Inc. (“</w:t>
      </w:r>
      <w:r>
        <w:rPr>
          <w:rFonts w:ascii="Times New Roman" w:cs="Times New Roman" w:eastAsia="Times New Roman" w:hAnsi="Times New Roman"/>
          <w:sz w:val="22"/>
          <w:szCs w:val="22"/>
          <w:b w:val="1"/>
          <w:bCs w:val="1"/>
          <w:color w:val="auto"/>
        </w:rPr>
        <w:t>Spyre</w:t>
      </w:r>
      <w:r>
        <w:rPr>
          <w:rFonts w:ascii="Times New Roman" w:cs="Times New Roman" w:eastAsia="Times New Roman" w:hAnsi="Times New Roman"/>
          <w:sz w:val="22"/>
          <w:szCs w:val="22"/>
          <w:color w:val="auto"/>
        </w:rPr>
        <w:t>”), a corporation organized under the laws of the State of Delaware, having its principal place of business at 221 Crescent Street, Building 23, Suite 105, Waltham, MA 02453. Paragon and Spyre are also referred to herein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or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are party to that certain Amended and Restated License Agreement dated as of February 24, 2025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and</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wish to amend the Agreement as set forth in this First Amendment.</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foregoing premises and the mutual covenants contained herein and other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valuable consideration, the receipt and sufficiency of which are hereby acknowledged, the Parties, intending to be legally bound, agree as follows:</w:t>
      </w:r>
    </w:p>
    <w:p>
      <w:pPr>
        <w:spacing w:after="0" w:line="180" w:lineRule="exact"/>
        <w:rPr>
          <w:sz w:val="20"/>
          <w:szCs w:val="20"/>
          <w:color w:val="auto"/>
        </w:rPr>
      </w:pPr>
    </w:p>
    <w:p>
      <w:pPr>
        <w:ind w:firstLine="656"/>
        <w:spacing w:after="0" w:line="275" w:lineRule="auto"/>
        <w:tabs>
          <w:tab w:leader="none" w:pos="129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Defined Terms</w:t>
      </w:r>
      <w:r>
        <w:rPr>
          <w:rFonts w:ascii="Times New Roman" w:cs="Times New Roman" w:eastAsia="Times New Roman" w:hAnsi="Times New Roman"/>
          <w:sz w:val="22"/>
          <w:szCs w:val="22"/>
          <w:color w:val="auto"/>
        </w:rPr>
        <w:t>. All capitalized terms used herein and not expressly defined shall have the meaning given to them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Agreement.</w:t>
      </w:r>
    </w:p>
    <w:p>
      <w:pPr>
        <w:spacing w:after="0" w:line="17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Amendments to the Agreement</w:t>
      </w:r>
      <w:r>
        <w:rPr>
          <w:rFonts w:ascii="Times New Roman" w:cs="Times New Roman" w:eastAsia="Times New Roman" w:hAnsi="Times New Roman"/>
          <w:sz w:val="22"/>
          <w:szCs w:val="22"/>
          <w:color w:val="auto"/>
        </w:rPr>
        <w:t>. The Agreement is hereby amended as follows:</w:t>
      </w:r>
    </w:p>
    <w:p>
      <w:pPr>
        <w:spacing w:after="0" w:line="3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“Field” in Section 1.33 of the Agreement shall be deleted in its entirety and replaced as</w:t>
      </w:r>
    </w:p>
    <w:p>
      <w:pPr>
        <w:spacing w:after="0" w:line="3"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follows:</w:t>
      </w:r>
    </w:p>
    <w:p>
      <w:pPr>
        <w:spacing w:after="0" w:line="232" w:lineRule="exact"/>
        <w:rPr>
          <w:sz w:val="20"/>
          <w:szCs w:val="20"/>
          <w:color w:val="auto"/>
        </w:rPr>
      </w:pPr>
    </w:p>
    <w:p>
      <w:pPr>
        <w:ind w:left="1960" w:right="660"/>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Field</w:t>
      </w:r>
      <w:r>
        <w:rPr>
          <w:rFonts w:ascii="Times New Roman" w:cs="Times New Roman" w:eastAsia="Times New Roman" w:hAnsi="Times New Roman"/>
          <w:sz w:val="22"/>
          <w:szCs w:val="22"/>
          <w:color w:val="auto"/>
        </w:rPr>
        <w:t>” means the prophylaxis, palliation, treatment and diagnosis of human disease and disorders in all therapeutic areas.</w:t>
      </w:r>
    </w:p>
    <w:p>
      <w:pPr>
        <w:spacing w:after="0" w:line="1" w:lineRule="exact"/>
        <w:rPr>
          <w:sz w:val="20"/>
          <w:szCs w:val="20"/>
          <w:color w:val="auto"/>
        </w:rPr>
      </w:pPr>
    </w:p>
    <w:p>
      <w:pPr>
        <w:ind w:left="1940" w:hanging="636"/>
        <w:spacing w:after="0"/>
        <w:tabs>
          <w:tab w:leader="none" w:pos="1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definitions shall be added to Article I of the Agreement:</w:t>
      </w:r>
    </w:p>
    <w:p>
      <w:pPr>
        <w:spacing w:after="0" w:line="218" w:lineRule="exact"/>
        <w:rPr>
          <w:rFonts w:ascii="Times New Roman" w:cs="Times New Roman" w:eastAsia="Times New Roman" w:hAnsi="Times New Roman"/>
          <w:sz w:val="22"/>
          <w:szCs w:val="22"/>
          <w:color w:val="auto"/>
        </w:rPr>
      </w:pPr>
    </w:p>
    <w:p>
      <w:pPr>
        <w:ind w:left="1960" w:right="640"/>
        <w:spacing w:after="0" w:line="27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Amendment</w:t>
      </w:r>
      <w:r>
        <w:rPr>
          <w:rFonts w:ascii="Times New Roman" w:cs="Times New Roman" w:eastAsia="Times New Roman" w:hAnsi="Times New Roman"/>
          <w:sz w:val="22"/>
          <w:szCs w:val="22"/>
          <w:color w:val="auto"/>
        </w:rPr>
        <w:t>” means that certain First Amendment to Amended and Restated License Agreement dated as of May 29, 2026 (the “</w:t>
      </w:r>
      <w:r>
        <w:rPr>
          <w:rFonts w:ascii="Times New Roman" w:cs="Times New Roman" w:eastAsia="Times New Roman" w:hAnsi="Times New Roman"/>
          <w:sz w:val="22"/>
          <w:szCs w:val="22"/>
          <w:b w:val="1"/>
          <w:bCs w:val="1"/>
          <w:color w:val="auto"/>
        </w:rPr>
        <w:t>Amendment Effective Date</w:t>
      </w:r>
      <w:r>
        <w:rPr>
          <w:rFonts w:ascii="Times New Roman" w:cs="Times New Roman" w:eastAsia="Times New Roman" w:hAnsi="Times New Roman"/>
          <w:sz w:val="22"/>
          <w:szCs w:val="22"/>
          <w:color w:val="auto"/>
        </w:rPr>
        <w:t>”) between the Parties.</w:t>
      </w:r>
    </w:p>
    <w:p>
      <w:pPr>
        <w:spacing w:after="0" w:line="189"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IL-23p19</w:t>
      </w:r>
      <w:r>
        <w:rPr>
          <w:rFonts w:ascii="Times New Roman" w:cs="Times New Roman" w:eastAsia="Times New Roman" w:hAnsi="Times New Roman"/>
          <w:sz w:val="22"/>
          <w:szCs w:val="22"/>
          <w:color w:val="auto"/>
        </w:rPr>
        <w:t>” means the p19 protein subunit of IL-23.</w:t>
      </w:r>
    </w:p>
    <w:p>
      <w:pPr>
        <w:spacing w:after="0" w:line="246" w:lineRule="exact"/>
        <w:rPr>
          <w:rFonts w:ascii="Times New Roman" w:cs="Times New Roman" w:eastAsia="Times New Roman" w:hAnsi="Times New Roman"/>
          <w:sz w:val="22"/>
          <w:szCs w:val="22"/>
          <w:color w:val="auto"/>
        </w:rPr>
      </w:pPr>
    </w:p>
    <w:p>
      <w:pPr>
        <w:jc w:val="both"/>
        <w:ind w:left="1960" w:right="640"/>
        <w:spacing w:after="0" w:line="25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Indication</w:t>
      </w:r>
      <w:r>
        <w:rPr>
          <w:rFonts w:ascii="Times New Roman" w:cs="Times New Roman" w:eastAsia="Times New Roman" w:hAnsi="Times New Roman"/>
          <w:sz w:val="22"/>
          <w:szCs w:val="22"/>
          <w:color w:val="auto"/>
        </w:rPr>
        <w:t>” means a specific disease, symptom, or condition in human patients that a Product is intended to treat, prevent, or diagnose and is the subject of a clinical trial, other than a Phase I Trial in healthy volunteers, as approved or permitted to proceed by</w:t>
      </w:r>
    </w:p>
    <w:p>
      <w:pPr>
        <w:sectPr>
          <w:pgSz w:w="11900" w:h="16838" w:orient="portrait"/>
          <w:cols w:equalWidth="0" w:num="1">
            <w:col w:w="11240"/>
          </w:cols>
          <w:pgMar w:left="320" w:top="121" w:right="339" w:bottom="1440" w:gutter="0" w:footer="0" w:header="0"/>
        </w:sectPr>
      </w:pPr>
    </w:p>
    <w:bookmarkStart w:id="4" w:name="page5"/>
    <w:bookmarkEnd w:id="4"/>
    <w:p>
      <w:pPr>
        <w:ind w:left="980"/>
        <w:spacing w:after="0"/>
        <w:rPr>
          <w:sz w:val="20"/>
          <w:szCs w:val="20"/>
          <w:color w:val="auto"/>
        </w:rPr>
      </w:pPr>
      <w:r>
        <w:rPr>
          <w:rFonts w:ascii="Times New Roman" w:cs="Times New Roman" w:eastAsia="Times New Roman" w:hAnsi="Times New Roman"/>
          <w:sz w:val="22"/>
          <w:szCs w:val="22"/>
          <w:color w:val="auto"/>
        </w:rPr>
        <w:t>a Governmental Authority under an IND or clinical trial application.</w:t>
      </w:r>
    </w:p>
    <w:p>
      <w:pPr>
        <w:spacing w:after="0" w:line="243" w:lineRule="exact"/>
        <w:rPr>
          <w:sz w:val="20"/>
          <w:szCs w:val="20"/>
          <w:color w:val="auto"/>
        </w:rPr>
      </w:pPr>
    </w:p>
    <w:p>
      <w:pPr>
        <w:jc w:val="both"/>
        <w:ind w:left="980" w:right="2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Field</w:t>
      </w:r>
      <w:r>
        <w:rPr>
          <w:rFonts w:ascii="Times New Roman" w:cs="Times New Roman" w:eastAsia="Times New Roman" w:hAnsi="Times New Roman"/>
          <w:sz w:val="22"/>
          <w:szCs w:val="22"/>
          <w:color w:val="auto"/>
        </w:rPr>
        <w:t>” means prophylaxis, palliation, treatment and diagnosis of human disease and disorders in the therapeutic area of inflammatory bowel disease.</w:t>
      </w:r>
    </w:p>
    <w:p>
      <w:pPr>
        <w:spacing w:after="0" w:line="190" w:lineRule="exact"/>
        <w:rPr>
          <w:sz w:val="20"/>
          <w:szCs w:val="20"/>
          <w:color w:val="auto"/>
        </w:rPr>
      </w:pPr>
    </w:p>
    <w:p>
      <w:pPr>
        <w:jc w:val="both"/>
        <w:ind w:left="980"/>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Transaction</w:t>
      </w:r>
      <w:r>
        <w:rPr>
          <w:rFonts w:ascii="Times New Roman" w:cs="Times New Roman" w:eastAsia="Times New Roman" w:hAnsi="Times New Roman"/>
          <w:sz w:val="21"/>
          <w:szCs w:val="21"/>
          <w:color w:val="auto"/>
        </w:rPr>
        <w:t>” means any of the following: (i) a Change of Control of Spyre or a Change of Control of the Retained IL-23 Project Antibody Licensee, (ii) the sale of all or substantially all assets and rights related to a Spyre Product that (A) is Spyre’s lead candidate Directed To IL-23p19 and (B) has been dosed in a Phase II Trial, to a Third Party, such that control of the Development and Commercialization of such Spyre Product or Spyre Products is transferred to such Third Party, or (iii) the sale of all or substantially all assets and rights related to a product comprising a Retained IL-23 Project Antibody that (X) is the Retained IL-23 Project Antibody Licensee’s lead candidate Directed To IL-23p19 and (Y) has been dosed in a Phase II Trial, to a Third Party that is not controlled by, controlling or under common control with the Retained IL-23 Project Antibody Licensee, such that control of the Development and Commercialization of such Retained IL-23 Project Antibody product or products is transferred to such Third Party.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 Section 2.1(f) is deleted in its entirety and replaced with:</w:t>
      </w:r>
    </w:p>
    <w:p>
      <w:pPr>
        <w:spacing w:after="0" w:line="247"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color w:val="auto"/>
        </w:rPr>
        <w:t>Subject to the terms of this Agreement, Spyre hereby grants to Paragon a non-exclusive license, including the right to sublicense through multiple tiers, under the Spyre Cross License Patents to Develop, Manufacture, Commercialize or otherwise exploit the Retained IL-23 Project Antibodies in the Field in the Territory.</w:t>
      </w:r>
    </w:p>
    <w:p>
      <w:pPr>
        <w:spacing w:after="0" w:line="220" w:lineRule="exact"/>
        <w:rPr>
          <w:sz w:val="20"/>
          <w:szCs w:val="20"/>
          <w:color w:val="auto"/>
        </w:rPr>
      </w:pPr>
    </w:p>
    <w:p>
      <w:pPr>
        <w:ind w:left="960" w:hanging="636"/>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subsections shall be added to the end of Section 2.1 of the Agreement:</w:t>
      </w:r>
    </w:p>
    <w:p>
      <w:pPr>
        <w:spacing w:after="0" w:line="219" w:lineRule="exact"/>
        <w:rPr>
          <w:rFonts w:ascii="Times New Roman" w:cs="Times New Roman" w:eastAsia="Times New Roman" w:hAnsi="Times New Roman"/>
          <w:sz w:val="22"/>
          <w:szCs w:val="22"/>
          <w:color w:val="auto"/>
        </w:rPr>
      </w:pPr>
    </w:p>
    <w:p>
      <w:pPr>
        <w:jc w:val="both"/>
        <w:ind w:left="980" w:firstLine="640"/>
        <w:spacing w:after="0" w:line="251" w:lineRule="auto"/>
        <w:tabs>
          <w:tab w:leader="none" w:pos="1943"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and except as permitted pursuant to Section 2.1(h), prior to June 1, 2030, Spyre shall not, directly or indirectly, administer, or cause to be administered (including by any Affiliate, Sublicensee or Third Party) a dose of a Product to any human patient in a clinical trial of such Product for an Indication outside of the Initial Field. Subject to Section 2.1(i), the restrictions in this Section 2.1(g) shall be of no further force or effect from and after June 1, 2030.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9620"/>
          </w:cols>
          <w:pgMar w:left="1300" w:top="1422" w:right="979" w:bottom="1440" w:gutter="0" w:footer="0" w:header="0"/>
        </w:sectPr>
      </w:pPr>
    </w:p>
    <w:bookmarkStart w:id="5" w:name="page6"/>
    <w:bookmarkEnd w:id="5"/>
    <w:p>
      <w:pPr>
        <w:jc w:val="both"/>
        <w:ind w:left="1304" w:right="660" w:firstLine="640"/>
        <w:spacing w:after="0" w:line="251" w:lineRule="auto"/>
        <w:tabs>
          <w:tab w:leader="none" w:pos="2296"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of this Agreement, and notwithstanding Section 2.1(g), prior to June 1, 2028, Spyre shall not, directly or indirectly, administer, or cause to be administered (including by any Affiliate, Sublicensee or Third Party) a dose of a Combination Product to any human patient in a clinical trial of a Combination Product for an Indication outside of the Initial Field,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any permitted clinical trial of a Combination Product outside of the Initial Field may include monotherapy active arms with a Product.</w:t>
      </w:r>
    </w:p>
    <w:p>
      <w:pPr>
        <w:spacing w:after="0" w:line="181" w:lineRule="exact"/>
        <w:rPr>
          <w:rFonts w:ascii="Times New Roman" w:cs="Times New Roman" w:eastAsia="Times New Roman" w:hAnsi="Times New Roman"/>
          <w:sz w:val="22"/>
          <w:szCs w:val="22"/>
          <w:color w:val="auto"/>
        </w:rPr>
      </w:pPr>
    </w:p>
    <w:p>
      <w:pPr>
        <w:jc w:val="both"/>
        <w:ind w:left="1304" w:right="640" w:firstLine="640"/>
        <w:spacing w:after="0" w:line="253" w:lineRule="auto"/>
        <w:tabs>
          <w:tab w:leader="none" w:pos="2239"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2.1(g), in the event that Spyre or the Retained IL-23 Project Antibody Licensee consummates a Material Transaction, then any remaining restrictions outside of the Initial Field set forth in Section 2.1(g) shall (A) remain in effect only until June 1, 2028 and (B) thereafter terminate and be of no further force or effect. For clarity, in such circumstance the restrictions in Section 2.1(h) shall remain in effect until June 1, 2028.</w:t>
      </w:r>
    </w:p>
    <w:p>
      <w:pPr>
        <w:spacing w:after="0" w:line="178" w:lineRule="exact"/>
        <w:rPr>
          <w:rFonts w:ascii="Times New Roman" w:cs="Times New Roman" w:eastAsia="Times New Roman" w:hAnsi="Times New Roman"/>
          <w:sz w:val="22"/>
          <w:szCs w:val="22"/>
          <w:color w:val="auto"/>
        </w:rPr>
      </w:pPr>
    </w:p>
    <w:p>
      <w:pPr>
        <w:jc w:val="both"/>
        <w:ind w:left="1304" w:right="640" w:firstLine="640"/>
        <w:spacing w:after="0" w:line="253" w:lineRule="auto"/>
        <w:tabs>
          <w:tab w:leader="none" w:pos="2237"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and for the avoidance of doubt, the restrictions set forth in Sections 2.1(g) and 2.1(h) shall not apply to any products, including, but not limited to, any products Directed To IL-23p19 (alone or in combination), other than a Product, that are owned, licensed, acquired, or otherwise controlled by a Third Party engaging in, or that consummates, a transaction (including a Material Transaction), with Spyre.</w:t>
      </w:r>
    </w:p>
    <w:p>
      <w:pPr>
        <w:spacing w:after="0" w:line="200" w:lineRule="exact"/>
        <w:rPr>
          <w:rFonts w:ascii="Times New Roman" w:cs="Times New Roman" w:eastAsia="Times New Roman" w:hAnsi="Times New Roman"/>
          <w:sz w:val="22"/>
          <w:szCs w:val="22"/>
          <w:color w:val="auto"/>
        </w:rPr>
      </w:pPr>
    </w:p>
    <w:p>
      <w:pPr>
        <w:spacing w:after="0" w:line="221" w:lineRule="exact"/>
        <w:rPr>
          <w:rFonts w:ascii="Times New Roman" w:cs="Times New Roman" w:eastAsia="Times New Roman" w:hAnsi="Times New Roman"/>
          <w:sz w:val="22"/>
          <w:szCs w:val="22"/>
          <w:color w:val="auto"/>
        </w:rPr>
      </w:pPr>
    </w:p>
    <w:p>
      <w:pPr>
        <w:ind w:left="644" w:hanging="320"/>
        <w:spacing w:after="0"/>
        <w:tabs>
          <w:tab w:leader="none" w:pos="64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2.2(d)(i) is deleted in its entirety and replaced with:</w:t>
      </w:r>
    </w:p>
    <w:p>
      <w:pPr>
        <w:spacing w:after="0" w:line="241"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21"/>
          <w:szCs w:val="21"/>
          <w:color w:val="auto"/>
        </w:rPr>
        <w:t xml:space="preserve">Paragon retains rights under the Licensed Antibody Technology solely to perform its obligations and exercise its rights under and in accordance with this Agreement and the Option Agreement;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during the Term, Paragon shall not, and shall ensure that its Affiliates do not, directly or indirectly, (A) use the Licensed Antibody Technology, or (B) grant a license to an Affiliate or Third Party under the Licensed Antibody Technology, in each case to Develop, Manufacture, Commercialize, or otherwise exploit the Licensed Antibodies or Derived Antibodies as part of a Product in the Territory; </w:t>
      </w:r>
      <w:r>
        <w:rPr>
          <w:rFonts w:ascii="Times New Roman" w:cs="Times New Roman" w:eastAsia="Times New Roman" w:hAnsi="Times New Roman"/>
          <w:sz w:val="21"/>
          <w:szCs w:val="21"/>
          <w:i w:val="1"/>
          <w:iCs w:val="1"/>
          <w:color w:val="auto"/>
        </w:rPr>
        <w:t>provided further that</w:t>
      </w:r>
      <w:r>
        <w:rPr>
          <w:rFonts w:ascii="Times New Roman" w:cs="Times New Roman" w:eastAsia="Times New Roman" w:hAnsi="Times New Roman"/>
          <w:sz w:val="21"/>
          <w:szCs w:val="21"/>
          <w:color w:val="auto"/>
        </w:rPr>
        <w:t>, the foregoing proviso does not, and is not intended to, limit Paragon’s rights under Section 2.6;</w:t>
      </w:r>
    </w:p>
    <w:p>
      <w:pPr>
        <w:spacing w:after="0" w:line="222" w:lineRule="exact"/>
        <w:rPr>
          <w:sz w:val="20"/>
          <w:szCs w:val="20"/>
          <w:color w:val="auto"/>
        </w:rPr>
      </w:pPr>
    </w:p>
    <w:p>
      <w:pPr>
        <w:ind w:left="644" w:hanging="644"/>
        <w:spacing w:after="0"/>
        <w:tabs>
          <w:tab w:leader="none" w:pos="64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Mutual Representations and Warranties</w:t>
      </w:r>
      <w:r>
        <w:rPr>
          <w:rFonts w:ascii="Times New Roman" w:cs="Times New Roman" w:eastAsia="Times New Roman" w:hAnsi="Times New Roman"/>
          <w:sz w:val="22"/>
          <w:szCs w:val="22"/>
          <w:color w:val="auto"/>
        </w:rPr>
        <w:t>. Each Party represents and warrants to the other Party that: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4" w:lineRule="exact"/>
        <w:rPr>
          <w:rFonts w:ascii="Times New Roman" w:cs="Times New Roman" w:eastAsia="Times New Roman" w:hAnsi="Times New Roman"/>
          <w:sz w:val="22"/>
          <w:szCs w:val="22"/>
          <w:color w:val="auto"/>
        </w:rPr>
      </w:pPr>
    </w:p>
    <w:p>
      <w:pPr>
        <w:ind w:left="492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w:t>
      </w:r>
    </w:p>
    <w:p>
      <w:pPr>
        <w:sectPr>
          <w:pgSz w:w="11900" w:h="16838" w:orient="portrait"/>
          <w:cols w:equalWidth="0" w:num="1">
            <w:col w:w="10584"/>
          </w:cols>
          <w:pgMar w:left="976" w:top="1422" w:right="339" w:bottom="1440" w:gutter="0" w:footer="0" w:header="0"/>
        </w:sectPr>
      </w:pPr>
    </w:p>
    <w:bookmarkStart w:id="6" w:name="page7"/>
    <w:bookmarkEnd w:id="6"/>
    <w:p>
      <w:pPr>
        <w:ind w:left="1300" w:hanging="320"/>
        <w:spacing w:after="0" w:line="254" w:lineRule="auto"/>
        <w:tabs>
          <w:tab w:leader="none" w:pos="1297"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duly organized, validly existing, and in good standing as a corporation or other entity as represented herein under the laws and regulations of its jurisdiction of incorporation, organization, or chartering;</w:t>
      </w:r>
    </w:p>
    <w:p>
      <w:pPr>
        <w:spacing w:after="0" w:line="1" w:lineRule="exact"/>
        <w:rPr>
          <w:rFonts w:ascii="Times New Roman" w:cs="Times New Roman" w:eastAsia="Times New Roman" w:hAnsi="Times New Roman"/>
          <w:sz w:val="22"/>
          <w:szCs w:val="22"/>
          <w:color w:val="auto"/>
        </w:rPr>
      </w:pPr>
    </w:p>
    <w:p>
      <w:pPr>
        <w:ind w:left="1300" w:hanging="320"/>
        <w:spacing w:after="0" w:line="249" w:lineRule="auto"/>
        <w:tabs>
          <w:tab w:leader="none" w:pos="1295"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the full right, power, and authority to enter into this First Amendment and to perform its obligations hereunder;</w:t>
      </w:r>
    </w:p>
    <w:p>
      <w:pPr>
        <w:spacing w:after="0" w:line="1" w:lineRule="exact"/>
        <w:rPr>
          <w:rFonts w:ascii="Times New Roman" w:cs="Times New Roman" w:eastAsia="Times New Roman" w:hAnsi="Times New Roman"/>
          <w:sz w:val="22"/>
          <w:szCs w:val="22"/>
          <w:color w:val="auto"/>
        </w:rPr>
      </w:pPr>
    </w:p>
    <w:p>
      <w:pPr>
        <w:ind w:left="1300" w:hanging="320"/>
        <w:spacing w:after="0" w:line="248" w:lineRule="auto"/>
        <w:tabs>
          <w:tab w:leader="none" w:pos="1297"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of this First Amendment by its representative whose signature is set forth at the end hereof has been duly authorized by all necessary organizational action of such Party; and</w:t>
      </w:r>
    </w:p>
    <w:p>
      <w:pPr>
        <w:spacing w:after="0" w:line="209" w:lineRule="exact"/>
        <w:rPr>
          <w:rFonts w:ascii="Times New Roman" w:cs="Times New Roman" w:eastAsia="Times New Roman" w:hAnsi="Times New Roman"/>
          <w:sz w:val="22"/>
          <w:szCs w:val="22"/>
          <w:color w:val="auto"/>
        </w:rPr>
      </w:pPr>
    </w:p>
    <w:p>
      <w:pPr>
        <w:ind w:left="1300" w:right="20" w:hanging="320"/>
        <w:spacing w:after="0" w:line="271" w:lineRule="auto"/>
        <w:tabs>
          <w:tab w:leader="none" w:pos="1295"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executed and delivered by such party, this First Amendment will constitute the legal, valid, and binding obligation of such Party, enforceable against that party in accordance with its terms.</w:t>
      </w:r>
    </w:p>
    <w:p>
      <w:pPr>
        <w:spacing w:after="0" w:line="167" w:lineRule="exact"/>
        <w:rPr>
          <w:rFonts w:ascii="Times New Roman" w:cs="Times New Roman" w:eastAsia="Times New Roman" w:hAnsi="Times New Roman"/>
          <w:sz w:val="22"/>
          <w:szCs w:val="22"/>
          <w:color w:val="auto"/>
        </w:rPr>
      </w:pPr>
    </w:p>
    <w:p>
      <w:pPr>
        <w:jc w:val="both"/>
        <w:ind w:firstLine="656"/>
        <w:spacing w:after="0" w:line="260" w:lineRule="auto"/>
        <w:tabs>
          <w:tab w:leader="none" w:pos="1296"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Effect of Amendment</w:t>
      </w:r>
      <w:r>
        <w:rPr>
          <w:rFonts w:ascii="Times New Roman" w:cs="Times New Roman" w:eastAsia="Times New Roman" w:hAnsi="Times New Roman"/>
          <w:sz w:val="21"/>
          <w:szCs w:val="21"/>
          <w:color w:val="auto"/>
        </w:rPr>
        <w:t>. Except as specifically amended by this First Amendment, the terms and conditions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shall remain unmodified and in full force and effect. In the event of any inconsistencies between the terms of this First Amendment and any terms of the Agreement, the terms of this First Amendment shall govern and prevail. Upon the effectiveness of this First Amendment, each reference (i) in the Agreement to “this Agreement,” “hereunder,” “herein,” “hereof” or words of like import referring to the Agreement shall mean and refer to the Agreement as amended by this First Amendment, and (ii) in any other related document or instrument to the “License Agreement,” “thereunder,” “therein,” “thereof” or words of like import referring to the Agreement shall mean and refer to the Agreement as amended by this First Amendment.</w:t>
      </w:r>
    </w:p>
    <w:p>
      <w:pPr>
        <w:spacing w:after="0" w:line="5" w:lineRule="exact"/>
        <w:rPr>
          <w:rFonts w:ascii="Times New Roman" w:cs="Times New Roman" w:eastAsia="Times New Roman" w:hAnsi="Times New Roman"/>
          <w:sz w:val="21"/>
          <w:szCs w:val="21"/>
          <w:color w:val="auto"/>
        </w:rPr>
      </w:pPr>
    </w:p>
    <w:p>
      <w:pPr>
        <w:jc w:val="both"/>
        <w:ind w:firstLine="656"/>
        <w:spacing w:after="0" w:line="245" w:lineRule="auto"/>
        <w:tabs>
          <w:tab w:leader="none" w:pos="129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First Amendment may be executed in counterparts, each of which shall be deemed an original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 and all of which, together with this writing, shall be deemed one instrument. This First Amendment may be executed by facsimile or PDF signatures, which signatures shall have the same force and effect as original signatures.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Left Intentionally Blank; 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7" w:name="page8"/>
    <w:bookmarkEnd w:id="7"/>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by duly authorized persons executed this First Amendment as of the Amendment Effective Date.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Paragon Therapeutics, Inc.</w:t>
      </w:r>
    </w:p>
    <w:p>
      <w:pPr>
        <w:spacing w:after="0" w:line="5" w:lineRule="exact"/>
        <w:rPr>
          <w:sz w:val="20"/>
          <w:szCs w:val="20"/>
          <w:color w:val="auto"/>
        </w:rPr>
      </w:pPr>
    </w:p>
    <w:tbl>
      <w:tblPr>
        <w:tblLayout w:type="fixed"/>
        <w:tblInd w:w="80" w:type="dxa"/>
        <w:tblCellMar>
          <w:top w:w="0" w:type="dxa"/>
          <w:left w:w="0" w:type="dxa"/>
          <w:bottom w:w="0" w:type="dxa"/>
          <w:right w:w="0" w:type="dxa"/>
        </w:tblCellMar>
      </w:tblPr>
      <w:tr>
        <w:trPr>
          <w:trHeight w:val="286"/>
        </w:trPr>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140" w:type="dxa"/>
            <w:vAlign w:val="bottom"/>
            <w:gridSpan w:val="3"/>
          </w:tcPr>
          <w:p>
            <w:pPr>
              <w:ind w:left="1560"/>
              <w:spacing w:after="0"/>
              <w:rPr>
                <w:sz w:val="20"/>
                <w:szCs w:val="20"/>
                <w:color w:val="auto"/>
              </w:rPr>
            </w:pPr>
            <w:r>
              <w:rPr>
                <w:rFonts w:ascii="Times New Roman" w:cs="Times New Roman" w:eastAsia="Times New Roman" w:hAnsi="Times New Roman"/>
                <w:sz w:val="22"/>
                <w:szCs w:val="22"/>
                <w:b w:val="1"/>
                <w:bCs w:val="1"/>
                <w:color w:val="auto"/>
              </w:rPr>
              <w:t>Spyre Therapeutics, Inc.</w:t>
            </w:r>
          </w:p>
        </w:tc>
        <w:tc>
          <w:tcPr>
            <w:tcW w:w="0" w:type="dxa"/>
            <w:vAlign w:val="bottom"/>
          </w:tcPr>
          <w:p>
            <w:pPr>
              <w:spacing w:after="0"/>
              <w:rPr>
                <w:sz w:val="1"/>
                <w:szCs w:val="1"/>
                <w:color w:val="auto"/>
              </w:rPr>
            </w:pPr>
          </w:p>
        </w:tc>
      </w:tr>
      <w:tr>
        <w:trPr>
          <w:trHeight w:val="608"/>
        </w:trPr>
        <w:tc>
          <w:tcPr>
            <w:tcW w:w="40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Keri Lantz</w:t>
            </w:r>
          </w:p>
        </w:tc>
        <w:tc>
          <w:tcPr>
            <w:tcW w:w="1920" w:type="dxa"/>
            <w:vAlign w:val="bottom"/>
            <w:vMerge w:val="restart"/>
          </w:tcPr>
          <w:p>
            <w:pPr>
              <w:ind w:left="1560"/>
              <w:spacing w:after="0"/>
              <w:rPr>
                <w:sz w:val="20"/>
                <w:szCs w:val="20"/>
                <w:color w:val="auto"/>
              </w:rPr>
            </w:pPr>
            <w:r>
              <w:rPr>
                <w:rFonts w:ascii="Times New Roman" w:cs="Times New Roman" w:eastAsia="Times New Roman" w:hAnsi="Times New Roman"/>
                <w:sz w:val="22"/>
                <w:szCs w:val="22"/>
                <w:color w:val="auto"/>
              </w:rPr>
              <w:t>By:</w:t>
            </w:r>
          </w:p>
        </w:tc>
        <w:tc>
          <w:tcPr>
            <w:tcW w:w="16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6"/>
              </w:rPr>
              <w:t>/s/ Cameron Turtle</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920" w:type="dxa"/>
            <w:vAlign w:val="bottom"/>
            <w:vMerge w:val="continue"/>
          </w:tcPr>
          <w:p>
            <w:pPr>
              <w:spacing w:after="0" w:line="20" w:lineRule="exact"/>
              <w:rPr>
                <w:sz w:val="1"/>
                <w:szCs w:val="1"/>
                <w:color w:val="auto"/>
              </w:rPr>
            </w:pPr>
          </w:p>
        </w:tc>
        <w:tc>
          <w:tcPr>
            <w:tcW w:w="1620" w:type="dxa"/>
            <w:vAlign w:val="bottom"/>
            <w:vMerge w:val="continue"/>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060" w:type="dxa"/>
            <w:vAlign w:val="bottom"/>
            <w:gridSpan w:val="3"/>
          </w:tcPr>
          <w:p>
            <w:pPr>
              <w:spacing w:after="0" w:line="209" w:lineRule="exact"/>
              <w:rPr>
                <w:sz w:val="20"/>
                <w:szCs w:val="20"/>
                <w:color w:val="auto"/>
              </w:rPr>
            </w:pPr>
            <w:r>
              <w:rPr>
                <w:rFonts w:ascii="Times New Roman" w:cs="Times New Roman" w:eastAsia="Times New Roman" w:hAnsi="Times New Roman"/>
                <w:sz w:val="22"/>
                <w:szCs w:val="22"/>
                <w:color w:val="auto"/>
              </w:rPr>
              <w:t>Name:  Keri Lantz</w:t>
            </w:r>
          </w:p>
        </w:tc>
        <w:tc>
          <w:tcPr>
            <w:tcW w:w="1920" w:type="dxa"/>
            <w:vAlign w:val="bottom"/>
            <w:vMerge w:val="continue"/>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0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4140" w:type="dxa"/>
            <w:vAlign w:val="bottom"/>
            <w:gridSpan w:val="3"/>
          </w:tcPr>
          <w:p>
            <w:pPr>
              <w:ind w:left="1560"/>
              <w:spacing w:after="0"/>
              <w:rPr>
                <w:sz w:val="20"/>
                <w:szCs w:val="20"/>
                <w:color w:val="auto"/>
              </w:rPr>
            </w:pPr>
            <w:r>
              <w:rPr>
                <w:rFonts w:ascii="Times New Roman" w:cs="Times New Roman" w:eastAsia="Times New Roman" w:hAnsi="Times New Roman"/>
                <w:sz w:val="22"/>
                <w:szCs w:val="22"/>
                <w:color w:val="auto"/>
              </w:rPr>
              <w:t>Name:  Cameron Turtle</w:t>
            </w:r>
          </w:p>
        </w:tc>
        <w:tc>
          <w:tcPr>
            <w:tcW w:w="0" w:type="dxa"/>
            <w:vAlign w:val="bottom"/>
          </w:tcPr>
          <w:p>
            <w:pPr>
              <w:spacing w:after="0"/>
              <w:rPr>
                <w:sz w:val="1"/>
                <w:szCs w:val="1"/>
                <w:color w:val="auto"/>
              </w:rPr>
            </w:pPr>
          </w:p>
        </w:tc>
      </w:tr>
      <w:tr>
        <w:trPr>
          <w:trHeight w:val="282"/>
        </w:trPr>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140" w:type="dxa"/>
            <w:vAlign w:val="bottom"/>
            <w:gridSpan w:val="3"/>
          </w:tcPr>
          <w:p>
            <w:pPr>
              <w:ind w:left="1560"/>
              <w:spacing w:after="0"/>
              <w:rPr>
                <w:sz w:val="20"/>
                <w:szCs w:val="20"/>
                <w:color w:val="auto"/>
              </w:rPr>
            </w:pPr>
            <w:r>
              <w:rPr>
                <w:rFonts w:ascii="Times New Roman" w:cs="Times New Roman" w:eastAsia="Times New Roman" w:hAnsi="Times New Roman"/>
                <w:sz w:val="22"/>
                <w:szCs w:val="22"/>
                <w:color w:val="auto"/>
                <w:w w:val="96"/>
              </w:rPr>
              <w:t>Title: Chief Executive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360"/>
      </w:cols>
      <w:pgMar w:left="320" w:top="1422"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decimal"/>
      <w:start w:val="1"/>
    </w:lvl>
    <w:lvl w:ilvl="1">
      <w:lvlJc w:val="left"/>
      <w:lvlText w:val="(%2)"/>
      <w:numFmt w:val="lowerLetter"/>
      <w:start w:val="1"/>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4"/>
    </w:lvl>
    <w:lvl w:ilvl="1">
      <w:lvlJc w:val="left"/>
      <w:lvlText w:val="(%2)"/>
      <w:numFmt w:val="lowerLetter"/>
      <w:start w:val="7"/>
    </w:lvl>
  </w:abstractNum>
  <w:abstractNum w:abstractNumId="4">
    <w:nsid w:val="41B71EFB"/>
    <w:multiLevelType w:val="hybridMultilevel"/>
    <w:lvl w:ilvl="0">
      <w:lvlJc w:val="left"/>
      <w:lvlText w:val="%1"/>
      <w:numFmt w:val="lowerLetter"/>
      <w:start w:val="1"/>
    </w:lvl>
    <w:lvl w:ilvl="1">
      <w:lvlJc w:val="left"/>
      <w:lvlText w:val="(%2)"/>
      <w:numFmt w:val="lowerLetter"/>
      <w:start w:val="8"/>
    </w:lvl>
  </w:abstractNum>
  <w:abstractNum w:abstractNumId="5">
    <w:nsid w:val="79E2A9E3"/>
    <w:multiLevelType w:val="hybridMultilevel"/>
    <w:lvl w:ilvl="0">
      <w:lvlJc w:val="left"/>
      <w:lvlText w:val="(%1)"/>
      <w:numFmt w:val="lowerLetter"/>
      <w:start w:val="5"/>
    </w:lvl>
    <w:lvl w:ilvl="1">
      <w:lvlJc w:val="left"/>
      <w:lvlText w:val="%2"/>
      <w:numFmt w:val="lowerLetter"/>
      <w:start w:val="1"/>
    </w:lvl>
  </w:abstractNum>
  <w:abstractNum w:abstractNumId="6">
    <w:nsid w:val="7545E146"/>
    <w:multiLevelType w:val="hybridMultilevel"/>
    <w:lvl w:ilvl="0">
      <w:lvlJc w:val="left"/>
      <w:lvlText w:val="%1."/>
      <w:numFmt w:val="decimal"/>
      <w:start w:val="3"/>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2026-06-01T15:53:58Z</dcterms:created>
  <dcterms:modified xsi:type="dcterms:W3CDTF">2026-06-01T15:53:58Z</dcterms:modified>
</cp:coreProperties>
</file>