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1053465</wp:posOffset>
            </wp:positionV>
            <wp:extent cx="7150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1075690</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ind w:left="4420"/>
        <w:spacing w:after="0"/>
        <w:rPr>
          <w:sz w:val="20"/>
          <w:szCs w:val="20"/>
          <w:color w:val="auto"/>
        </w:rPr>
      </w:pPr>
      <w:r>
        <w:rPr>
          <w:rFonts w:ascii="Arial" w:cs="Arial" w:eastAsia="Arial" w:hAnsi="Arial"/>
          <w:sz w:val="16"/>
          <w:szCs w:val="16"/>
          <w:color w:val="auto"/>
        </w:rPr>
        <w:t>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 w:lineRule="exact"/>
        <w:rPr>
          <w:sz w:val="24"/>
          <w:szCs w:val="24"/>
          <w:color w:val="auto"/>
        </w:rPr>
      </w:pPr>
    </w:p>
    <w:p>
      <w:pPr>
        <w:ind w:left="4420"/>
        <w:spacing w:after="0"/>
        <w:rPr>
          <w:sz w:val="20"/>
          <w:szCs w:val="20"/>
          <w:color w:val="auto"/>
        </w:rPr>
      </w:pPr>
      <w:r>
        <w:rPr>
          <w:rFonts w:ascii="Arial" w:cs="Arial" w:eastAsia="Arial" w:hAnsi="Arial"/>
          <w:sz w:val="16"/>
          <w:szCs w:val="16"/>
          <w:color w:val="auto"/>
        </w:rPr>
        <w:t>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420" w:hanging="411"/>
        <w:spacing w:after="0" w:line="185" w:lineRule="auto"/>
        <w:tabs>
          <w:tab w:leader="none" w:pos="420" w:val="left"/>
        </w:tabs>
        <w:numPr>
          <w:ilvl w:val="0"/>
          <w:numId w:val="1"/>
        </w:numPr>
        <w:rPr>
          <w:rFonts w:ascii="Wingdings" w:cs="Wingdings" w:eastAsia="Wingdings" w:hAnsi="Wingdings"/>
          <w:sz w:val="29"/>
          <w:szCs w:val="29"/>
          <w:b w:val="1"/>
          <w:bCs w:val="1"/>
          <w:color w:val="auto"/>
          <w:highlight w:val="black"/>
          <w:vertAlign w:val="subscript"/>
        </w:rPr>
      </w:pPr>
      <w:r>
        <w:rPr>
          <w:rFonts w:ascii="Arial" w:cs="Arial" w:eastAsia="Arial" w:hAnsi="Arial"/>
          <w:sz w:val="13"/>
          <w:szCs w:val="13"/>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420" w:hanging="411"/>
        <w:spacing w:after="0" w:line="185" w:lineRule="auto"/>
        <w:tabs>
          <w:tab w:leader="none" w:pos="420" w:val="left"/>
        </w:tabs>
        <w:numPr>
          <w:ilvl w:val="0"/>
          <w:numId w:val="2"/>
        </w:numPr>
        <w:rPr>
          <w:rFonts w:ascii="Wingdings" w:cs="Wingdings" w:eastAsia="Wingdings" w:hAnsi="Wingdings"/>
          <w:sz w:val="29"/>
          <w:szCs w:val="29"/>
          <w:b w:val="1"/>
          <w:bCs w:val="1"/>
          <w:color w:val="auto"/>
          <w:highlight w:val="black"/>
          <w:vertAlign w:val="subscript"/>
        </w:rPr>
      </w:pPr>
      <w:r>
        <w:rPr>
          <w:rFonts w:ascii="Arial" w:cs="Arial" w:eastAsia="Arial" w:hAnsi="Arial"/>
          <w:sz w:val="13"/>
          <w:szCs w:val="13"/>
          <w:b w:val="1"/>
          <w:bCs w:val="1"/>
          <w:color w:val="auto"/>
        </w:rPr>
        <w:t>TRANSITION REPORT PURSUANT TO SECTION 13 OR 15(d) OF THE SECURITIES EXCHANGE ACT OF 1934</w:t>
      </w:r>
    </w:p>
    <w:p>
      <w:pPr>
        <w:spacing w:after="0" w:line="206" w:lineRule="exact"/>
        <w:rPr>
          <w:sz w:val="24"/>
          <w:szCs w:val="24"/>
          <w:color w:val="auto"/>
        </w:rPr>
      </w:pPr>
    </w:p>
    <w:p>
      <w:pPr>
        <w:ind w:left="3660"/>
        <w:spacing w:after="0"/>
        <w:tabs>
          <w:tab w:leader="none" w:pos="66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001-37722</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6"/>
          <w:szCs w:val="16"/>
          <w:color w:val="auto"/>
        </w:rPr>
        <w:t>____________________________</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SPYRE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320" w:top="1440" w:right="319" w:bottom="1440" w:gutter="0" w:footer="0" w:header="0"/>
        </w:sectPr>
      </w:pPr>
    </w:p>
    <w:p>
      <w:pPr>
        <w:spacing w:after="0" w:line="34"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46-4312787</w:t>
      </w:r>
    </w:p>
    <w:p>
      <w:pPr>
        <w:spacing w:after="0" w:line="82" w:lineRule="exact"/>
        <w:rPr>
          <w:sz w:val="24"/>
          <w:szCs w:val="24"/>
          <w:color w:val="auto"/>
        </w:rPr>
      </w:pPr>
    </w:p>
    <w:p>
      <w:pPr>
        <w:sectPr>
          <w:pgSz w:w="11900" w:h="16838" w:orient="portrait"/>
          <w:cols w:equalWidth="0" w:num="2">
            <w:col w:w="7300" w:space="720"/>
            <w:col w:w="3240"/>
          </w:cols>
          <w:pgMar w:left="320" w:top="1440" w:right="31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w:t>
      </w:r>
    </w:p>
    <w:p>
      <w:pPr>
        <w:spacing w:after="0" w:line="33" w:lineRule="exact"/>
        <w:rPr>
          <w:sz w:val="24"/>
          <w:szCs w:val="24"/>
          <w:color w:val="auto"/>
        </w:rPr>
      </w:pPr>
    </w:p>
    <w:p>
      <w:pPr>
        <w:sectPr>
          <w:pgSz w:w="11900" w:h="16838" w:orient="portrait"/>
          <w:cols w:equalWidth="0" w:num="2">
            <w:col w:w="7240" w:space="720"/>
            <w:col w:w="3300"/>
          </w:cols>
          <w:pgMar w:left="320" w:top="1440" w:right="319" w:bottom="1440" w:gutter="0" w:footer="0" w:header="0"/>
          <w:type w:val="continuous"/>
        </w:sect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Identification No.)</w:t>
      </w:r>
    </w:p>
    <w:p>
      <w:pPr>
        <w:spacing w:after="0" w:line="80" w:lineRule="exact"/>
        <w:rPr>
          <w:sz w:val="24"/>
          <w:szCs w:val="24"/>
          <w:color w:val="auto"/>
        </w:rPr>
      </w:pPr>
    </w:p>
    <w:p>
      <w:pPr>
        <w:sectPr>
          <w:pgSz w:w="11900" w:h="16838" w:orient="portrait"/>
          <w:cols w:equalWidth="0" w:num="2">
            <w:col w:w="7200" w:space="720"/>
            <w:col w:w="3340"/>
          </w:cols>
          <w:pgMar w:left="320" w:top="1440"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221 Crescent Street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Building 23, Suite 105</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Waltham, MA 02453</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60"/>
          </w:cols>
          <w:pgMar w:left="320" w:top="1440" w:right="31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(617) 651-5940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 N/A</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6"/>
          <w:szCs w:val="16"/>
          <w:color w:val="auto"/>
        </w:rPr>
        <w:t>____________________________</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327"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Name of each exchange on which registered</w:t>
            </w:r>
          </w:p>
        </w:tc>
      </w:tr>
      <w:tr>
        <w:trPr>
          <w:trHeight w:val="193"/>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Common Stock, $0.0001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SYRE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The Nasdaq Stock Market LLC</w:t>
            </w:r>
          </w:p>
        </w:tc>
      </w:tr>
      <w:tr>
        <w:trPr>
          <w:trHeight w:val="205"/>
        </w:trPr>
        <w:tc>
          <w:tcPr>
            <w:tcW w:w="378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(Nasdaq Global Select Market)</w:t>
            </w:r>
          </w:p>
        </w:tc>
      </w:tr>
      <w:tr>
        <w:trPr>
          <w:trHeight w:val="20"/>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277" w:lineRule="exact"/>
        <w:rPr>
          <w:sz w:val="24"/>
          <w:szCs w:val="24"/>
          <w:color w:val="auto"/>
        </w:rPr>
      </w:pPr>
    </w:p>
    <w:p>
      <w:pPr>
        <w:ind w:right="20" w:firstLine="561"/>
        <w:spacing w:after="0" w:line="25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80" w:lineRule="exact"/>
        <w:rPr>
          <w:sz w:val="24"/>
          <w:szCs w:val="24"/>
          <w:color w:val="auto"/>
        </w:rPr>
      </w:pPr>
    </w:p>
    <w:p>
      <w:pPr>
        <w:ind w:right="140" w:firstLine="561"/>
        <w:spacing w:after="0" w:line="249"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400" w:firstLine="561"/>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“accelerated filer,” “smaller reporting company,” and “emerging growth company” in Rule 12b-2 of the Exchange Act.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60" w:type="dxa"/>
            <w:vAlign w:val="bottom"/>
          </w:tcPr>
          <w:p>
            <w:pPr>
              <w:ind w:left="1180"/>
              <w:spacing w:after="0"/>
              <w:rPr>
                <w:sz w:val="20"/>
                <w:szCs w:val="20"/>
                <w:color w:val="auto"/>
              </w:rPr>
            </w:pPr>
            <w:r>
              <w:rPr>
                <w:rFonts w:ascii="Wingdings" w:cs="Wingdings" w:eastAsia="Wingdings" w:hAnsi="Wingdings"/>
                <w:sz w:val="16"/>
                <w:szCs w:val="16"/>
                <w:b w:val="1"/>
                <w:bCs w:val="1"/>
                <w:color w:val="auto"/>
              </w:rPr>
              <w:t>x</w:t>
            </w:r>
          </w:p>
        </w:tc>
        <w:tc>
          <w:tcPr>
            <w:tcW w:w="4220" w:type="dxa"/>
            <w:vAlign w:val="bottom"/>
          </w:tcPr>
          <w:p>
            <w:pPr>
              <w:ind w:left="1340"/>
              <w:spacing w:after="0"/>
              <w:rPr>
                <w:sz w:val="20"/>
                <w:szCs w:val="20"/>
                <w:color w:val="auto"/>
              </w:rPr>
            </w:pPr>
            <w:r>
              <w:rPr>
                <w:rFonts w:ascii="Arial" w:cs="Arial" w:eastAsia="Arial" w:hAnsi="Arial"/>
                <w:sz w:val="16"/>
                <w:szCs w:val="16"/>
                <w:color w:val="auto"/>
              </w:rPr>
              <w:t>Accelerated filer</w:t>
            </w:r>
          </w:p>
        </w:tc>
        <w:tc>
          <w:tcPr>
            <w:tcW w:w="1160" w:type="dxa"/>
            <w:vAlign w:val="bottom"/>
          </w:tcPr>
          <w:p>
            <w:pPr>
              <w:ind w:left="1020"/>
              <w:spacing w:after="0"/>
              <w:rPr>
                <w:sz w:val="20"/>
                <w:szCs w:val="20"/>
                <w:color w:val="auto"/>
              </w:rPr>
            </w:pPr>
            <w:r>
              <w:rPr>
                <w:rFonts w:ascii="Wingdings" w:cs="Wingdings" w:eastAsia="Wingdings" w:hAnsi="Wingdings"/>
                <w:sz w:val="16"/>
                <w:szCs w:val="16"/>
                <w:b w:val="1"/>
                <w:bCs w:val="1"/>
                <w:color w:val="auto"/>
                <w:w w:val="83"/>
              </w:rPr>
              <w:t>o</w:t>
            </w: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60" w:type="dxa"/>
            <w:vAlign w:val="bottom"/>
          </w:tcPr>
          <w:p>
            <w:pPr>
              <w:ind w:left="1180"/>
              <w:spacing w:after="0"/>
              <w:rPr>
                <w:sz w:val="20"/>
                <w:szCs w:val="20"/>
                <w:color w:val="auto"/>
              </w:rPr>
            </w:pPr>
            <w:r>
              <w:rPr>
                <w:rFonts w:ascii="Wingdings" w:cs="Wingdings" w:eastAsia="Wingdings" w:hAnsi="Wingdings"/>
                <w:sz w:val="16"/>
                <w:szCs w:val="16"/>
                <w:b w:val="1"/>
                <w:bCs w:val="1"/>
                <w:color w:val="auto"/>
              </w:rPr>
              <w:t>o</w:t>
            </w:r>
          </w:p>
        </w:tc>
        <w:tc>
          <w:tcPr>
            <w:tcW w:w="4220" w:type="dxa"/>
            <w:vAlign w:val="bottom"/>
          </w:tcPr>
          <w:p>
            <w:pPr>
              <w:ind w:left="1340"/>
              <w:spacing w:after="0"/>
              <w:rPr>
                <w:sz w:val="20"/>
                <w:szCs w:val="20"/>
                <w:color w:val="auto"/>
              </w:rPr>
            </w:pPr>
            <w:r>
              <w:rPr>
                <w:rFonts w:ascii="Arial" w:cs="Arial" w:eastAsia="Arial" w:hAnsi="Arial"/>
                <w:sz w:val="16"/>
                <w:szCs w:val="16"/>
                <w:color w:val="auto"/>
              </w:rPr>
              <w:t>Smaller reporting company</w:t>
            </w:r>
          </w:p>
        </w:tc>
        <w:tc>
          <w:tcPr>
            <w:tcW w:w="1160" w:type="dxa"/>
            <w:vAlign w:val="bottom"/>
          </w:tcPr>
          <w:p>
            <w:pPr>
              <w:ind w:left="1020"/>
              <w:spacing w:after="0"/>
              <w:rPr>
                <w:sz w:val="20"/>
                <w:szCs w:val="20"/>
                <w:color w:val="auto"/>
              </w:rPr>
            </w:pPr>
            <w:r>
              <w:rPr>
                <w:rFonts w:ascii="Wingdings" w:cs="Wingdings" w:eastAsia="Wingdings" w:hAnsi="Wingdings"/>
                <w:sz w:val="16"/>
                <w:szCs w:val="16"/>
                <w:b w:val="1"/>
                <w:bCs w:val="1"/>
                <w:color w:val="auto"/>
                <w:w w:val="83"/>
              </w:rPr>
              <w:t>o</w:t>
            </w:r>
          </w:p>
        </w:tc>
      </w:tr>
      <w:tr>
        <w:trPr>
          <w:trHeight w:val="234"/>
        </w:trPr>
        <w:tc>
          <w:tcPr>
            <w:tcW w:w="27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220" w:type="dxa"/>
            <w:vAlign w:val="bottom"/>
          </w:tcPr>
          <w:p>
            <w:pPr>
              <w:ind w:left="1340"/>
              <w:spacing w:after="0"/>
              <w:rPr>
                <w:sz w:val="20"/>
                <w:szCs w:val="20"/>
                <w:color w:val="auto"/>
              </w:rPr>
            </w:pPr>
            <w:r>
              <w:rPr>
                <w:rFonts w:ascii="Arial" w:cs="Arial" w:eastAsia="Arial" w:hAnsi="Arial"/>
                <w:sz w:val="16"/>
                <w:szCs w:val="16"/>
                <w:color w:val="auto"/>
              </w:rPr>
              <w:t>Emerging growth company</w:t>
            </w:r>
          </w:p>
        </w:tc>
        <w:tc>
          <w:tcPr>
            <w:tcW w:w="1160" w:type="dxa"/>
            <w:vAlign w:val="bottom"/>
          </w:tcPr>
          <w:p>
            <w:pPr>
              <w:ind w:left="102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75" w:lineRule="exact"/>
        <w:rPr>
          <w:sz w:val="24"/>
          <w:szCs w:val="24"/>
          <w:color w:val="auto"/>
        </w:rPr>
      </w:pPr>
    </w:p>
    <w:p>
      <w:pPr>
        <w:ind w:right="40" w:firstLine="561"/>
        <w:spacing w:after="0" w:line="271"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6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1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As of April 28, 2026, the registrant had 86,841,253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673735</wp:posOffset>
            </wp:positionV>
            <wp:extent cx="717613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100330</wp:posOffset>
            </wp:positionV>
            <wp:extent cx="7150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122555</wp:posOffset>
            </wp:positionV>
            <wp:extent cx="71507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SPYRE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QUARTERLY REPORT ON FORM 10-Q</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 ENDED MARCH 31, 2026</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ind w:right="183"/>
              <w:spacing w:after="0"/>
              <w:rPr>
                <w:sz w:val="20"/>
                <w:szCs w:val="20"/>
                <w:color w:val="auto"/>
              </w:rPr>
            </w:pPr>
            <w:r>
              <w:rPr>
                <w:rFonts w:ascii="Arial" w:cs="Arial" w:eastAsia="Arial" w:hAnsi="Arial"/>
                <w:sz w:val="12"/>
                <w:szCs w:val="12"/>
                <w:b w:val="1"/>
                <w:bCs w:val="1"/>
                <w:color w:val="auto"/>
              </w:rPr>
              <w:t>Page No.</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10080" w:type="dxa"/>
            <w:vAlign w:val="bottom"/>
            <w:gridSpan w:val="21"/>
          </w:tcPr>
          <w:p>
            <w:pPr>
              <w:spacing w:after="0" w:line="144" w:lineRule="exact"/>
              <w:rPr>
                <w:sz w:val="20"/>
                <w:szCs w:val="20"/>
                <w:color w:val="auto"/>
              </w:rPr>
            </w:pPr>
            <w:r>
              <w:rPr>
                <w:rFonts w:ascii="Arial" w:cs="Arial" w:eastAsia="Arial" w:hAnsi="Arial"/>
                <w:sz w:val="16"/>
                <w:szCs w:val="16"/>
                <w:b w:val="1"/>
                <w:bCs w:val="1"/>
                <w:color w:val="0000FF"/>
              </w:rPr>
              <w:t>PART I. FINANCIAL INFORMATION</w:t>
            </w:r>
          </w:p>
        </w:tc>
        <w:tc>
          <w:tcPr>
            <w:tcW w:w="1040" w:type="dxa"/>
            <w:vAlign w:val="bottom"/>
          </w:tcPr>
          <w:p>
            <w:pPr>
              <w:jc w:val="right"/>
              <w:spacing w:after="0" w:line="14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24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b w:val="1"/>
                <w:bCs w:val="1"/>
                <w:color w:val="0000FF"/>
                <w:w w:val="96"/>
              </w:rPr>
              <w:t>Financial Statements (Unaudited)</w:t>
            </w:r>
          </w:p>
        </w:tc>
        <w:tc>
          <w:tcPr>
            <w:tcW w:w="660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2026 and December 31, 2025</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for the Three Months Ended March 31, 2026 and 2025</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Comprehensive Loss for the Three Months Ended March 31, 2026 and 2025</w:t>
            </w:r>
          </w:p>
        </w:tc>
        <w:tc>
          <w:tcPr>
            <w:tcW w:w="182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w w:val="99"/>
              </w:rPr>
              <w:t>Condensed Consolidated Statements of Changes in Convertible Preferred Stock and Stockholders’ Equity for the Three Months Ended March</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6"/>
                <w:szCs w:val="16"/>
                <w:color w:val="0000FF"/>
                <w:w w:val="95"/>
              </w:rPr>
              <w:t>31, 2026 and 2025</w:t>
            </w:r>
          </w:p>
        </w:tc>
        <w:tc>
          <w:tcPr>
            <w:tcW w:w="7660" w:type="dxa"/>
            <w:vAlign w:val="bottom"/>
            <w:tcBorders>
              <w:top w:val="single" w:sz="8" w:color="0000FF"/>
            </w:tcBorders>
            <w:gridSpan w:val="15"/>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Cash Flows for the Three Months Ended March 31, 2026 and 2025</w:t>
            </w:r>
          </w:p>
        </w:tc>
        <w:tc>
          <w:tcPr>
            <w:tcW w:w="240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6"/>
              </w:rPr>
              <w:t>Notes to Unaudited Condensed Consolidated Financial Statements</w:t>
            </w:r>
          </w:p>
        </w:tc>
        <w:tc>
          <w:tcPr>
            <w:tcW w:w="492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2.</w:t>
            </w:r>
          </w:p>
        </w:tc>
        <w:tc>
          <w:tcPr>
            <w:tcW w:w="9060" w:type="dxa"/>
            <w:vAlign w:val="bottom"/>
            <w:gridSpan w:val="20"/>
          </w:tcPr>
          <w:p>
            <w:pPr>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3.</w:t>
            </w:r>
          </w:p>
        </w:tc>
        <w:tc>
          <w:tcPr>
            <w:tcW w:w="6600" w:type="dxa"/>
            <w:vAlign w:val="bottom"/>
            <w:tcBorders>
              <w:top w:val="single" w:sz="8" w:color="0000FF"/>
            </w:tcBorders>
            <w:gridSpan w:val="16"/>
          </w:tcPr>
          <w:p>
            <w:pPr>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246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4.</w:t>
            </w:r>
          </w:p>
        </w:tc>
        <w:tc>
          <w:tcPr>
            <w:tcW w:w="18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b w:val="1"/>
                <w:bCs w:val="1"/>
                <w:color w:val="0000FF"/>
                <w:w w:val="96"/>
              </w:rPr>
              <w:t>Controls and Procedures</w:t>
            </w:r>
          </w:p>
        </w:tc>
        <w:tc>
          <w:tcPr>
            <w:tcW w:w="2520" w:type="dxa"/>
            <w:vAlign w:val="bottom"/>
            <w:tcBorders>
              <w:top w:val="single" w:sz="8" w:color="0000FF"/>
            </w:tcBorders>
            <w:gridSpan w:val="4"/>
          </w:tcPr>
          <w:p>
            <w:pPr>
              <w:spacing w:after="0"/>
              <w:rPr>
                <w:sz w:val="24"/>
                <w:szCs w:val="24"/>
                <w:color w:val="auto"/>
              </w:rPr>
            </w:pPr>
          </w:p>
        </w:tc>
        <w:tc>
          <w:tcPr>
            <w:tcW w:w="468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23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6"/>
              </w:rPr>
              <w:t>PART II. OTHER INFORMATION</w:t>
            </w:r>
          </w:p>
        </w:tc>
        <w:tc>
          <w:tcPr>
            <w:tcW w:w="7760" w:type="dxa"/>
            <w:vAlign w:val="bottom"/>
            <w:gridSpan w:val="1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13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5"/>
              </w:rPr>
              <w:t>Legal Proceedings</w:t>
            </w:r>
          </w:p>
        </w:tc>
        <w:tc>
          <w:tcPr>
            <w:tcW w:w="768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1A.</w:t>
            </w:r>
          </w:p>
        </w:tc>
        <w:tc>
          <w:tcPr>
            <w:tcW w:w="9060" w:type="dxa"/>
            <w:vAlign w:val="bottom"/>
            <w:gridSpan w:val="20"/>
          </w:tcPr>
          <w:p>
            <w:pPr>
              <w:spacing w:after="0"/>
              <w:rPr>
                <w:sz w:val="20"/>
                <w:szCs w:val="20"/>
                <w:color w:val="auto"/>
              </w:rPr>
            </w:pPr>
            <w:r>
              <w:rPr>
                <w:rFonts w:ascii="Arial" w:cs="Arial" w:eastAsia="Arial" w:hAnsi="Arial"/>
                <w:sz w:val="16"/>
                <w:szCs w:val="16"/>
                <w:b w:val="1"/>
                <w:bCs w:val="1"/>
                <w:color w:val="0000FF"/>
              </w:rPr>
              <w:t>Risk Factors</w:t>
            </w: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2.</w:t>
            </w:r>
          </w:p>
        </w:tc>
        <w:tc>
          <w:tcPr>
            <w:tcW w:w="9060" w:type="dxa"/>
            <w:vAlign w:val="bottom"/>
            <w:gridSpan w:val="20"/>
          </w:tcPr>
          <w:p>
            <w:pPr>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3.</w:t>
            </w:r>
          </w:p>
        </w:tc>
        <w:tc>
          <w:tcPr>
            <w:tcW w:w="4480" w:type="dxa"/>
            <w:vAlign w:val="bottom"/>
            <w:tcBorders>
              <w:top w:val="single" w:sz="8" w:color="0000FF"/>
            </w:tcBorders>
            <w:gridSpan w:val="14"/>
          </w:tcPr>
          <w:p>
            <w:pPr>
              <w:spacing w:after="0"/>
              <w:rPr>
                <w:sz w:val="20"/>
                <w:szCs w:val="20"/>
                <w:color w:val="auto"/>
              </w:rPr>
            </w:pPr>
            <w:r>
              <w:rPr>
                <w:rFonts w:ascii="Arial" w:cs="Arial" w:eastAsia="Arial" w:hAnsi="Arial"/>
                <w:sz w:val="16"/>
                <w:szCs w:val="16"/>
                <w:b w:val="1"/>
                <w:bCs w:val="1"/>
                <w:color w:val="0000FF"/>
              </w:rPr>
              <w:t>Defaults Upon Senior Securities</w:t>
            </w:r>
          </w:p>
        </w:tc>
        <w:tc>
          <w:tcPr>
            <w:tcW w:w="458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4.</w:t>
            </w:r>
          </w:p>
        </w:tc>
        <w:tc>
          <w:tcPr>
            <w:tcW w:w="2360" w:type="dxa"/>
            <w:vAlign w:val="bottom"/>
            <w:tcBorders>
              <w:top w:val="single" w:sz="8" w:color="0000FF"/>
            </w:tcBorders>
            <w:gridSpan w:val="10"/>
          </w:tcPr>
          <w:p>
            <w:pPr>
              <w:spacing w:after="0"/>
              <w:rPr>
                <w:sz w:val="20"/>
                <w:szCs w:val="20"/>
                <w:color w:val="auto"/>
              </w:rPr>
            </w:pPr>
            <w:r>
              <w:rPr>
                <w:rFonts w:ascii="Arial" w:cs="Arial" w:eastAsia="Arial" w:hAnsi="Arial"/>
                <w:sz w:val="16"/>
                <w:szCs w:val="16"/>
                <w:b w:val="1"/>
                <w:bCs w:val="1"/>
                <w:color w:val="0000FF"/>
              </w:rPr>
              <w:t>Mine Safety Disclosures</w:t>
            </w:r>
          </w:p>
        </w:tc>
        <w:tc>
          <w:tcPr>
            <w:tcW w:w="6700" w:type="dxa"/>
            <w:vAlign w:val="bottom"/>
            <w:gridSpan w:val="10"/>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5.</w:t>
            </w:r>
          </w:p>
        </w:tc>
        <w:tc>
          <w:tcPr>
            <w:tcW w:w="1780" w:type="dxa"/>
            <w:vAlign w:val="bottom"/>
            <w:tcBorders>
              <w:top w:val="single" w:sz="8" w:color="0000FF"/>
            </w:tcBorders>
            <w:gridSpan w:val="8"/>
          </w:tcPr>
          <w:p>
            <w:pPr>
              <w:spacing w:after="0"/>
              <w:rPr>
                <w:sz w:val="20"/>
                <w:szCs w:val="20"/>
                <w:color w:val="auto"/>
              </w:rPr>
            </w:pPr>
            <w:r>
              <w:rPr>
                <w:rFonts w:ascii="Arial" w:cs="Arial" w:eastAsia="Arial" w:hAnsi="Arial"/>
                <w:sz w:val="16"/>
                <w:szCs w:val="16"/>
                <w:b w:val="1"/>
                <w:bCs w:val="1"/>
                <w:color w:val="0000FF"/>
              </w:rPr>
              <w:t>Other Information</w:t>
            </w:r>
          </w:p>
        </w:tc>
        <w:tc>
          <w:tcPr>
            <w:tcW w:w="7280" w:type="dxa"/>
            <w:vAlign w:val="bottom"/>
            <w:gridSpan w:val="1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0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b w:val="1"/>
                <w:bCs w:val="1"/>
                <w:color w:val="0000FF"/>
                <w:w w:val="93"/>
              </w:rPr>
              <w:t>Exhibits</w:t>
            </w:r>
          </w:p>
        </w:tc>
        <w:tc>
          <w:tcPr>
            <w:tcW w:w="700" w:type="dxa"/>
            <w:vAlign w:val="bottom"/>
            <w:tcBorders>
              <w:top w:val="single" w:sz="8" w:color="0000FF"/>
            </w:tcBorders>
            <w:gridSpan w:val="4"/>
          </w:tcPr>
          <w:p>
            <w:pPr>
              <w:spacing w:after="0"/>
              <w:rPr>
                <w:sz w:val="24"/>
                <w:szCs w:val="24"/>
                <w:color w:val="auto"/>
              </w:rPr>
            </w:pPr>
          </w:p>
        </w:tc>
        <w:tc>
          <w:tcPr>
            <w:tcW w:w="7760" w:type="dxa"/>
            <w:vAlign w:val="bottom"/>
            <w:gridSpan w:val="1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60" w:type="dxa"/>
            <w:vAlign w:val="bottom"/>
            <w:gridSpan w:val="20"/>
          </w:tcPr>
          <w:p>
            <w:pPr>
              <w:spacing w:after="0"/>
              <w:rPr>
                <w:sz w:val="20"/>
                <w:szCs w:val="20"/>
                <w:color w:val="auto"/>
              </w:rPr>
            </w:pPr>
            <w:r>
              <w:rPr>
                <w:rFonts w:ascii="Arial" w:cs="Arial" w:eastAsia="Arial" w:hAnsi="Arial"/>
                <w:sz w:val="16"/>
                <w:szCs w:val="16"/>
                <w:b w:val="1"/>
                <w:bCs w:val="1"/>
                <w:color w:val="0000FF"/>
              </w:rPr>
              <w:t>Signatures</w:t>
            </w: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918"/>
        </w:trPr>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1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NOTE ABOUT FORWARD-LOOKING STATEMENTS</w:t>
      </w:r>
    </w:p>
    <w:p>
      <w:pPr>
        <w:spacing w:after="0" w:line="192" w:lineRule="exact"/>
        <w:rPr>
          <w:sz w:val="20"/>
          <w:szCs w:val="20"/>
          <w:color w:val="auto"/>
        </w:rPr>
      </w:pPr>
    </w:p>
    <w:p>
      <w:pPr>
        <w:jc w:val="both"/>
        <w:ind w:firstLine="561"/>
        <w:spacing w:after="0" w:line="261" w:lineRule="auto"/>
        <w:rPr>
          <w:sz w:val="20"/>
          <w:szCs w:val="20"/>
          <w:color w:val="auto"/>
        </w:rPr>
      </w:pPr>
      <w:r>
        <w:rPr>
          <w:rFonts w:ascii="Arial" w:cs="Arial" w:eastAsia="Arial" w:hAnsi="Arial"/>
          <w:sz w:val="15"/>
          <w:szCs w:val="15"/>
          <w:color w:val="auto"/>
        </w:rPr>
        <w:t xml:space="preserve">This Quarterly Report on Form 10-Q for the quarter ended March 31, 2026 (this “Quarterly Report”) contains forward-looking statements within the meaning of Section 21E of the Securities Exchange Act of 1934, as amended (the “Exchange Act”, and Section 27A of the Securities Act of 1933, as amended (the “Securities Act”). All statements contained in this Quarterly Report other than statements of historical fact, including statements regarding any future payouts under our contingent value rights (“CVRs”) issued in connection with the acquisition of Spyre Therapeutics, Inc. (the “Asset Acquisition”; our future results of operations and financial position; our business strategy, including our ability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SPY003, and combinations thereof, including the potential for a Q3M-Q6M dosing profile </w:t>
      </w:r>
      <w:r>
        <w:rPr>
          <w:rFonts w:ascii="Arial" w:cs="Arial" w:eastAsia="Arial" w:hAnsi="Arial"/>
          <w:sz w:val="16"/>
          <w:szCs w:val="16"/>
          <w:color w:val="auto"/>
        </w:rPr>
        <w:t>and the potential for such dosing profile to be the leading product profile in IBD and RD</w:t>
      </w:r>
      <w:r>
        <w:rPr>
          <w:rFonts w:ascii="Arial" w:cs="Arial" w:eastAsia="Arial" w:hAnsi="Arial"/>
          <w:sz w:val="15"/>
          <w:szCs w:val="15"/>
          <w:color w:val="auto"/>
        </w:rPr>
        <w:t>; our non-clinical and clinical development activities, including our plans for and timing of cohort initiation and data readouts for the ongoing SKYWAY Phase 2 basket trial and SKYLINE Phase 2 platform trial, enrollment of clinical trials and, the inclusion of each rational combination in Part B of the SKYLINE Phase 2 platform trial and the number of data readouts expected to be delivered in 2026 and 2027; estimated market sizes and potential growth opportunities;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achieve the expected benefits or opportunities and related timing with respect to the Asset Acquisition; the expected impact of macroeconomic conditions, including inflation, increasing interest rates and volatile market conditions, current or potential bank failures, as well as global events, including the ongoing military conflict between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357"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These forward-looking statements are subject to a number of risks, uncertainties and assumptions, including, but not limited to, uncertainties and risks arising from regulatory feedback, including potential disagreement by regulatory authorities with our interpretation of data and our ongoing or planned clinical trials for our product candidates, including our plans for and timing of cohort initiation for combination arms for the ongoing SKYLINE Phase 2 platform trial across different jurisdictions; the potential for final clinical data not being consistent with or different than the previously disclosed data for our programs; the impacts of adverse events or disappointing results in clinical trials of third parties, including our competitors developing product candidates that target similar mechanisms of action and/or indications as our product candidates; the expected or potential impact of macroeconomic conditions, including inflationary pressures, rising interest rates, general economic slowdown or a recession, changes in tariff/trade and monetary policy, volatile market conditions, financial institution instability, as well as geopolitical instability, including the ongoing military conflicts between the United States and Iran and Ukraine and Russia, conflicts in the Middle East, and geopolitical tensions between the United States and other countries, including China, on our operations; the implementation of changes in law, tariffs, sanctions, export or import controls, and other government measures that could impact our business operations, including restricting international trade by the United States, China or other countries and the BIOSECURE Act; and those uncertainties and factors described in Item 1A, “Risk Factors” included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592455</wp:posOffset>
            </wp:positionV>
            <wp:extent cx="717613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6"/>
          <w:szCs w:val="16"/>
          <w:color w:val="auto"/>
        </w:rPr>
        <w:t>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57" w:lineRule="exact"/>
        <w:rPr>
          <w:sz w:val="20"/>
          <w:szCs w:val="20"/>
          <w:color w:val="auto"/>
        </w:rPr>
      </w:pPr>
    </w:p>
    <w:p>
      <w:pPr>
        <w:jc w:val="both"/>
        <w:ind w:right="20" w:firstLine="561"/>
        <w:spacing w:after="0" w:line="295" w:lineRule="auto"/>
        <w:rPr>
          <w:sz w:val="20"/>
          <w:szCs w:val="20"/>
          <w:color w:val="auto"/>
        </w:rPr>
      </w:pPr>
      <w:r>
        <w:rPr>
          <w:rFonts w:ascii="Arial" w:cs="Arial" w:eastAsia="Arial" w:hAnsi="Arial"/>
          <w:sz w:val="14"/>
          <w:szCs w:val="14"/>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32"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Unless the context indicates otherwise, as used in this Quarterly Report, the terms “Spyre,” “the Company,” “we,” “us,” and “our” refer to Spyre Therapeutics, Inc., a Delaware corporation, and its consolidated subsidiaries taken as a whole. “Spyre”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63"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All references to “our product candidates,” “our programs” and “our pipeline” in this Quarterly Report refer to the research programs with respect to which we have signed a license agreement for or have the option to acquire intellectual property license rights to pursuant to that certain antibody discovery and option agreement, dated May 25, 2023 and subsequently amended and restated on September 29, 2023 and May 14, 2024, by and among us, Paragon Therapeutics, Inc. (“Paragon”) and Parapyre Holding LLC (“Parapyre”) (as amended, the “Paragon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485140</wp:posOffset>
            </wp:positionV>
            <wp:extent cx="717613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Spyre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 except share and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13"/>
                <w:szCs w:val="13"/>
                <w:color w:val="auto"/>
              </w:rPr>
            </w:pPr>
          </w:p>
        </w:tc>
        <w:tc>
          <w:tcPr>
            <w:tcW w:w="1280" w:type="dxa"/>
            <w:vAlign w:val="bottom"/>
          </w:tcPr>
          <w:p>
            <w:pPr>
              <w:jc w:val="right"/>
              <w:ind w:right="271"/>
              <w:spacing w:after="0"/>
              <w:rPr>
                <w:sz w:val="20"/>
                <w:szCs w:val="20"/>
                <w:color w:val="auto"/>
              </w:rPr>
            </w:pPr>
            <w:r>
              <w:rPr>
                <w:rFonts w:ascii="Arial" w:cs="Arial" w:eastAsia="Arial" w:hAnsi="Arial"/>
                <w:sz w:val="12"/>
                <w:szCs w:val="12"/>
                <w:b w:val="1"/>
                <w:bCs w:val="1"/>
                <w:color w:val="auto"/>
              </w:rPr>
              <w:t>December 31,</w:t>
            </w:r>
          </w:p>
        </w:tc>
      </w:tr>
      <w:tr>
        <w:trPr>
          <w:trHeight w:val="177"/>
        </w:trPr>
        <w:tc>
          <w:tcPr>
            <w:tcW w:w="8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2025</w:t>
            </w:r>
          </w:p>
        </w:tc>
      </w:tr>
      <w:tr>
        <w:trPr>
          <w:trHeight w:val="196"/>
        </w:trPr>
        <w:tc>
          <w:tcPr>
            <w:tcW w:w="8200" w:type="dxa"/>
            <w:vAlign w:val="bottom"/>
            <w:shd w:val="clear" w:color="auto" w:fill="CCEEFF"/>
          </w:tcPr>
          <w:p>
            <w:pPr>
              <w:ind w:left="38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85,721</w:t>
            </w:r>
          </w:p>
        </w:tc>
      </w:tr>
      <w:tr>
        <w:trPr>
          <w:trHeight w:val="203"/>
        </w:trPr>
        <w:tc>
          <w:tcPr>
            <w:tcW w:w="8200" w:type="dxa"/>
            <w:vAlign w:val="bottom"/>
          </w:tcPr>
          <w:p>
            <w:pPr>
              <w:ind w:left="140"/>
              <w:spacing w:after="0"/>
              <w:rPr>
                <w:sz w:val="20"/>
                <w:szCs w:val="20"/>
                <w:color w:val="auto"/>
              </w:rPr>
            </w:pPr>
            <w:r>
              <w:rPr>
                <w:rFonts w:ascii="Arial" w:cs="Arial" w:eastAsia="Arial" w:hAnsi="Arial"/>
                <w:sz w:val="14"/>
                <w:szCs w:val="14"/>
                <w:color w:val="auto"/>
              </w:rPr>
              <w:t>Marketable securities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644,282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670,812</w:t>
            </w:r>
          </w:p>
        </w:tc>
      </w:tr>
      <w:tr>
        <w:trPr>
          <w:trHeight w:val="217"/>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21,248</w:t>
            </w:r>
          </w:p>
        </w:tc>
      </w:tr>
      <w:tr>
        <w:trPr>
          <w:trHeight w:val="195"/>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763,953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777,781</w:t>
            </w:r>
          </w:p>
        </w:tc>
      </w:tr>
      <w:tr>
        <w:trPr>
          <w:trHeight w:val="227"/>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763,953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777,781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200" w:type="dxa"/>
            <w:vAlign w:val="bottom"/>
            <w:shd w:val="clear" w:color="auto" w:fill="CCEEFF"/>
          </w:tcPr>
          <w:p>
            <w:pPr>
              <w:ind w:left="26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w:t>
            </w:r>
          </w:p>
        </w:tc>
      </w:tr>
      <w:tr>
        <w:trPr>
          <w:trHeight w:val="203"/>
        </w:trPr>
        <w:tc>
          <w:tcPr>
            <w:tcW w:w="8200" w:type="dxa"/>
            <w:vAlign w:val="bottom"/>
          </w:tcPr>
          <w:p>
            <w:pPr>
              <w:ind w:left="140"/>
              <w:spacing w:after="0"/>
              <w:rPr>
                <w:sz w:val="20"/>
                <w:szCs w:val="20"/>
                <w:color w:val="auto"/>
              </w:rPr>
            </w:pPr>
            <w:r>
              <w:rPr>
                <w:rFonts w:ascii="Arial" w:cs="Arial" w:eastAsia="Arial" w:hAnsi="Arial"/>
                <w:sz w:val="14"/>
                <w:szCs w:val="14"/>
                <w:color w:val="auto"/>
              </w:rPr>
              <w:t>CVR liability</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50,260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22,820</w:t>
            </w:r>
          </w:p>
        </w:tc>
      </w:tr>
      <w:tr>
        <w:trPr>
          <w:trHeight w:val="217"/>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26,947</w:t>
            </w:r>
          </w:p>
        </w:tc>
      </w:tr>
      <w:tr>
        <w:trPr>
          <w:trHeight w:val="20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Related party accounts payable</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9"/>
        </w:trPr>
        <w:tc>
          <w:tcPr>
            <w:tcW w:w="8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58,685</w:t>
            </w: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Non-current CVR liability</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3,860</w:t>
            </w:r>
          </w:p>
        </w:tc>
      </w:tr>
      <w:tr>
        <w:trPr>
          <w:trHeight w:val="217"/>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62,545</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(Notes 6 and 7)</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82"/>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A non-voting convertible preferred stock, $0.0001 par value; 1,086,341 shares authorized as of March 31, 2026 and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1"/>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2025; 346,045 shares issued and outstanding as of March 31, 2026 and December 31, 2025.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146,425</w:t>
            </w:r>
          </w:p>
        </w:tc>
      </w:tr>
      <w:tr>
        <w:trPr>
          <w:trHeight w:val="175"/>
        </w:trPr>
        <w:tc>
          <w:tcPr>
            <w:tcW w:w="8200" w:type="dxa"/>
            <w:vAlign w:val="bottom"/>
          </w:tcPr>
          <w:p>
            <w:pPr>
              <w:ind w:left="140"/>
              <w:spacing w:after="0"/>
              <w:rPr>
                <w:sz w:val="20"/>
                <w:szCs w:val="20"/>
                <w:color w:val="auto"/>
              </w:rPr>
            </w:pPr>
            <w:r>
              <w:rPr>
                <w:rFonts w:ascii="Arial" w:cs="Arial" w:eastAsia="Arial" w:hAnsi="Arial"/>
                <w:sz w:val="14"/>
                <w:szCs w:val="14"/>
                <w:color w:val="auto"/>
              </w:rPr>
              <w:t>Series B non-voting convertible preferred stock, $0.0001 par value; 271,625 shares authorized and 16,667 shares issued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4"/>
        </w:trPr>
        <w:tc>
          <w:tcPr>
            <w:tcW w:w="8200" w:type="dxa"/>
            <w:vAlign w:val="bottom"/>
          </w:tcPr>
          <w:p>
            <w:pPr>
              <w:ind w:left="140"/>
              <w:spacing w:after="0"/>
              <w:rPr>
                <w:sz w:val="20"/>
                <w:szCs w:val="20"/>
                <w:color w:val="auto"/>
              </w:rPr>
            </w:pPr>
            <w:r>
              <w:rPr>
                <w:rFonts w:ascii="Arial" w:cs="Arial" w:eastAsia="Arial" w:hAnsi="Arial"/>
                <w:sz w:val="14"/>
                <w:szCs w:val="14"/>
                <w:color w:val="auto"/>
              </w:rPr>
              <w:t>outstanding as of March 31, 2026 and December 31, 2025.</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9,395</w:t>
            </w:r>
          </w:p>
        </w:tc>
      </w:tr>
      <w:tr>
        <w:trPr>
          <w:trHeight w:val="182"/>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$0.0001 par value; 8,642,034 shares authorized as of March 31, 2026 and December 31, 2025; no shares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1"/>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as of March 31, 2026 and December 31, 2025.</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8200" w:type="dxa"/>
            <w:vAlign w:val="bottom"/>
          </w:tcPr>
          <w:p>
            <w:pPr>
              <w:ind w:left="140"/>
              <w:spacing w:after="0"/>
              <w:rPr>
                <w:sz w:val="20"/>
                <w:szCs w:val="20"/>
                <w:color w:val="auto"/>
              </w:rPr>
            </w:pPr>
            <w:r>
              <w:rPr>
                <w:rFonts w:ascii="Arial" w:cs="Arial" w:eastAsia="Arial" w:hAnsi="Arial"/>
                <w:sz w:val="14"/>
                <w:szCs w:val="14"/>
                <w:color w:val="auto"/>
              </w:rPr>
              <w:t>Common stock, $0.0001 par value; 400,000,000 shares authorized as of March 31, 2026 and December 31, 2025; 78,839,858</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4"/>
        </w:trPr>
        <w:tc>
          <w:tcPr>
            <w:tcW w:w="8200" w:type="dxa"/>
            <w:vAlign w:val="bottom"/>
          </w:tcPr>
          <w:p>
            <w:pPr>
              <w:ind w:left="140"/>
              <w:spacing w:after="0"/>
              <w:rPr>
                <w:sz w:val="20"/>
                <w:szCs w:val="20"/>
                <w:color w:val="auto"/>
              </w:rPr>
            </w:pPr>
            <w:r>
              <w:rPr>
                <w:rFonts w:ascii="Arial" w:cs="Arial" w:eastAsia="Arial" w:hAnsi="Arial"/>
                <w:sz w:val="14"/>
                <w:szCs w:val="14"/>
                <w:color w:val="auto"/>
              </w:rPr>
              <w:t>shares and 78,189,811 shares issued and outstanding as of March 31, 2026 and December 31, 2025, respectively.</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7"/>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1,686,167</w:t>
            </w:r>
          </w:p>
        </w:tc>
      </w:tr>
      <w:tr>
        <w:trPr>
          <w:trHeight w:val="203"/>
        </w:trPr>
        <w:tc>
          <w:tcPr>
            <w:tcW w:w="8200" w:type="dxa"/>
            <w:vAlign w:val="bottom"/>
          </w:tcPr>
          <w:p>
            <w:pPr>
              <w:ind w:left="140"/>
              <w:spacing w:after="0"/>
              <w:rPr>
                <w:sz w:val="20"/>
                <w:szCs w:val="20"/>
                <w:color w:val="auto"/>
              </w:rPr>
            </w:pPr>
            <w:r>
              <w:rPr>
                <w:rFonts w:ascii="Arial" w:cs="Arial" w:eastAsia="Arial" w:hAnsi="Arial"/>
                <w:sz w:val="14"/>
                <w:szCs w:val="14"/>
                <w:color w:val="auto"/>
              </w:rPr>
              <w:t>Accumulated other comprehensive (loss) income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869</w:t>
            </w:r>
          </w:p>
        </w:tc>
      </w:tr>
      <w:tr>
        <w:trPr>
          <w:trHeight w:val="217"/>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(1,196,640)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(1,127,635)</w:t>
            </w:r>
          </w:p>
        </w:tc>
      </w:tr>
      <w:tr>
        <w:trPr>
          <w:trHeight w:val="195"/>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670,811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715,236</w:t>
            </w:r>
          </w:p>
        </w:tc>
      </w:tr>
      <w:tr>
        <w:trPr>
          <w:trHeight w:val="227"/>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763,953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777,781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04" w:right="319" w:bottom="1440" w:gutter="0" w:footer="0" w:header="0"/>
        </w:sectPr>
      </w:pPr>
    </w:p>
    <w:bookmarkStart w:id="5" w:name="page6"/>
    <w:bookmarkEnd w:id="5"/>
    <w:p>
      <w:pPr>
        <w:jc w:val="center"/>
        <w:ind w:right="-6"/>
        <w:spacing w:after="0"/>
        <w:rPr>
          <w:sz w:val="20"/>
          <w:szCs w:val="20"/>
          <w:color w:val="auto"/>
        </w:rPr>
      </w:pPr>
      <w:r>
        <w:rPr>
          <w:rFonts w:ascii="Arial" w:cs="Arial" w:eastAsia="Arial" w:hAnsi="Arial"/>
          <w:sz w:val="16"/>
          <w:szCs w:val="16"/>
          <w:b w:val="1"/>
          <w:bCs w:val="1"/>
          <w:color w:val="auto"/>
        </w:rPr>
        <w:t>Spyre Therapeutics, Inc.</w:t>
      </w:r>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 in thousands, except share and per share amounts)</w:t>
      </w:r>
    </w:p>
    <w:p>
      <w:pPr>
        <w:spacing w:after="0" w:line="229" w:lineRule="exact"/>
        <w:rPr>
          <w:sz w:val="20"/>
          <w:szCs w:val="20"/>
          <w:color w:val="auto"/>
        </w:rPr>
      </w:pPr>
    </w:p>
    <w:p>
      <w:pPr>
        <w:jc w:val="center"/>
        <w:ind w:left="8720"/>
        <w:spacing w:after="0"/>
        <w:rPr>
          <w:sz w:val="20"/>
          <w:szCs w:val="20"/>
          <w:color w:val="auto"/>
        </w:rPr>
      </w:pPr>
      <w:r>
        <w:rPr>
          <w:rFonts w:ascii="Arial" w:cs="Arial" w:eastAsia="Arial" w:hAnsi="Arial"/>
          <w:sz w:val="12"/>
          <w:szCs w:val="12"/>
          <w:b w:val="1"/>
          <w:bCs w:val="1"/>
          <w:color w:val="auto"/>
        </w:rPr>
        <w:t>Three Months Ended</w:t>
      </w:r>
    </w:p>
    <w:p>
      <w:pPr>
        <w:spacing w:after="0" w:line="26" w:lineRule="exact"/>
        <w:rPr>
          <w:sz w:val="20"/>
          <w:szCs w:val="20"/>
          <w:color w:val="auto"/>
        </w:rPr>
      </w:pPr>
    </w:p>
    <w:p>
      <w:pPr>
        <w:jc w:val="center"/>
        <w:ind w:left="872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20955</wp:posOffset>
            </wp:positionV>
            <wp:extent cx="16097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40" w:lineRule="exact"/>
        <w:rPr>
          <w:sz w:val="20"/>
          <w:szCs w:val="20"/>
          <w:color w:val="auto"/>
        </w:rPr>
      </w:pPr>
    </w:p>
    <w:tbl>
      <w:tblPr>
        <w:tblLayout w:type="fixed"/>
        <w:tblInd w:w="7" w:type="dxa"/>
        <w:tblCellMar>
          <w:top w:w="0" w:type="dxa"/>
          <w:left w:w="0" w:type="dxa"/>
          <w:bottom w:w="0" w:type="dxa"/>
          <w:right w:w="0" w:type="dxa"/>
        </w:tblCellMar>
      </w:tblPr>
      <w:tr>
        <w:trPr>
          <w:trHeight w:val="177"/>
        </w:trPr>
        <w:tc>
          <w:tcPr>
            <w:tcW w:w="8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2025</w:t>
            </w:r>
          </w:p>
        </w:tc>
      </w:tr>
      <w:tr>
        <w:trPr>
          <w:trHeight w:val="196"/>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4"/>
                <w:szCs w:val="14"/>
                <w:color w:val="auto"/>
              </w:rPr>
              <w:t xml:space="preserve">Research and development </w:t>
            </w:r>
            <w:r>
              <w:rPr>
                <w:rFonts w:ascii="Arial" w:cs="Arial" w:eastAsia="Arial" w:hAnsi="Arial"/>
                <w:sz w:val="18"/>
                <w:szCs w:val="18"/>
                <w:color w:val="auto"/>
                <w:vertAlign w:val="superscript"/>
              </w:rPr>
              <w:t>(1)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60,411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41,623</w:t>
            </w:r>
          </w:p>
        </w:tc>
      </w:tr>
      <w:tr>
        <w:trPr>
          <w:trHeight w:val="210"/>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11,944</w:t>
            </w:r>
          </w:p>
        </w:tc>
      </w:tr>
      <w:tr>
        <w:trPr>
          <w:trHeight w:val="20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Gain on sale of in-process research and development asset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8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45,641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53,567</w:t>
            </w:r>
          </w:p>
        </w:tc>
      </w:tr>
      <w:tr>
        <w:trPr>
          <w:trHeight w:val="195"/>
        </w:trPr>
        <w:tc>
          <w:tcPr>
            <w:tcW w:w="8720" w:type="dxa"/>
            <w:vAlign w:val="bottom"/>
          </w:tcPr>
          <w:p>
            <w:pPr>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(45,641)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(53,567)</w:t>
            </w:r>
          </w:p>
        </w:tc>
      </w:tr>
      <w:tr>
        <w:trPr>
          <w:trHeight w:val="217"/>
        </w:trPr>
        <w:tc>
          <w:tcPr>
            <w:tcW w:w="8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8720" w:type="dxa"/>
            <w:vAlign w:val="bottom"/>
          </w:tcPr>
          <w:p>
            <w:pPr>
              <w:spacing w:after="0"/>
              <w:rPr>
                <w:sz w:val="20"/>
                <w:szCs w:val="20"/>
                <w:color w:val="auto"/>
              </w:rPr>
            </w:pPr>
            <w:r>
              <w:rPr>
                <w:rFonts w:ascii="Arial" w:cs="Arial" w:eastAsia="Arial" w:hAnsi="Arial"/>
                <w:sz w:val="14"/>
                <w:szCs w:val="14"/>
                <w:color w:val="auto"/>
              </w:rPr>
              <w:t>Other (expense) income: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6,493</w:t>
            </w:r>
          </w:p>
        </w:tc>
      </w:tr>
      <w:tr>
        <w:trPr>
          <w:trHeight w:val="20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(30,359)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w:t>
            </w:r>
          </w:p>
        </w:tc>
      </w:tr>
      <w:tr>
        <w:trPr>
          <w:trHeight w:val="209"/>
        </w:trPr>
        <w:tc>
          <w:tcPr>
            <w:tcW w:w="8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other (expense)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8,779</w:t>
            </w:r>
          </w:p>
        </w:tc>
      </w:tr>
      <w:tr>
        <w:trPr>
          <w:trHeight w:val="195"/>
        </w:trPr>
        <w:tc>
          <w:tcPr>
            <w:tcW w:w="8720" w:type="dxa"/>
            <w:vAlign w:val="bottom"/>
          </w:tcPr>
          <w:p>
            <w:pPr>
              <w:spacing w:after="0"/>
              <w:rPr>
                <w:sz w:val="20"/>
                <w:szCs w:val="20"/>
                <w:color w:val="auto"/>
              </w:rPr>
            </w:pPr>
            <w:r>
              <w:rPr>
                <w:rFonts w:ascii="Arial" w:cs="Arial" w:eastAsia="Arial" w:hAnsi="Arial"/>
                <w:sz w:val="14"/>
                <w:szCs w:val="14"/>
                <w:color w:val="auto"/>
              </w:rPr>
              <w:t>Loss before income tax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(69,005)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(44,788)</w:t>
            </w:r>
          </w:p>
        </w:tc>
      </w:tr>
      <w:tr>
        <w:trPr>
          <w:trHeight w:val="21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benefit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95"/>
        </w:trPr>
        <w:tc>
          <w:tcPr>
            <w:tcW w:w="8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(69,005)</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(44,773)</w:t>
            </w:r>
          </w:p>
        </w:tc>
      </w:tr>
      <w:tr>
        <w:trPr>
          <w:trHeight w:val="197"/>
        </w:trPr>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rPr>
                <w:sz w:val="20"/>
                <w:szCs w:val="20"/>
                <w:color w:val="auto"/>
              </w:rPr>
            </w:pPr>
            <w:r>
              <w:rPr>
                <w:rFonts w:ascii="Arial" w:cs="Arial" w:eastAsia="Arial" w:hAnsi="Arial"/>
                <w:sz w:val="14"/>
                <w:szCs w:val="14"/>
                <w:color w:val="auto"/>
              </w:rPr>
              <w:t>Net loss per share, basic and diluted, Series A Preferred Stock</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(29.66)</w:t>
            </w:r>
          </w:p>
        </w:tc>
        <w:tc>
          <w:tcPr>
            <w:tcW w:w="80" w:type="dxa"/>
            <w:vAlign w:val="bottom"/>
          </w:tcPr>
          <w:p>
            <w:pPr>
              <w:spacing w:after="0"/>
              <w:rPr>
                <w:sz w:val="17"/>
                <w:szCs w:val="17"/>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(23.95)</w:t>
            </w:r>
          </w:p>
        </w:tc>
      </w:tr>
      <w:tr>
        <w:trPr>
          <w:trHeight w:val="217"/>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Series A non-voting convertible preferred stock outstanding, basic and diluted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346,045</w:t>
            </w:r>
          </w:p>
        </w:tc>
      </w:tr>
      <w:tr>
        <w:trPr>
          <w:trHeight w:val="234"/>
        </w:trPr>
        <w:tc>
          <w:tcPr>
            <w:tcW w:w="8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basic and diluted, Series B Preferred Stock</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w:t>
            </w:r>
          </w:p>
        </w:tc>
      </w:tr>
      <w:tr>
        <w:trPr>
          <w:trHeight w:val="203"/>
        </w:trPr>
        <w:tc>
          <w:tcPr>
            <w:tcW w:w="8720" w:type="dxa"/>
            <w:vAlign w:val="bottom"/>
          </w:tcPr>
          <w:p>
            <w:pPr>
              <w:spacing w:after="0"/>
              <w:rPr>
                <w:sz w:val="20"/>
                <w:szCs w:val="20"/>
                <w:color w:val="auto"/>
              </w:rPr>
            </w:pPr>
            <w:r>
              <w:rPr>
                <w:rFonts w:ascii="Arial" w:cs="Arial" w:eastAsia="Arial" w:hAnsi="Arial"/>
                <w:sz w:val="14"/>
                <w:szCs w:val="14"/>
                <w:color w:val="auto"/>
              </w:rPr>
              <w:t>Weighted-average Series B non-voting convertible preferred stock outstanding, basic and diluted</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16,667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16,667</w:t>
            </w:r>
          </w:p>
        </w:tc>
      </w:tr>
      <w:tr>
        <w:trPr>
          <w:trHeight w:val="241"/>
        </w:trPr>
        <w:tc>
          <w:tcPr>
            <w:tcW w:w="8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03"/>
        </w:trPr>
        <w:tc>
          <w:tcPr>
            <w:tcW w:w="8720" w:type="dxa"/>
            <w:vAlign w:val="bottom"/>
          </w:tcPr>
          <w:p>
            <w:pPr>
              <w:spacing w:after="0"/>
              <w:rPr>
                <w:sz w:val="20"/>
                <w:szCs w:val="20"/>
                <w:color w:val="auto"/>
              </w:rPr>
            </w:pPr>
            <w:r>
              <w:rPr>
                <w:rFonts w:ascii="Arial" w:cs="Arial" w:eastAsia="Arial" w:hAnsi="Arial"/>
                <w:sz w:val="14"/>
                <w:szCs w:val="14"/>
                <w:color w:val="auto"/>
              </w:rPr>
              <w:t>Net loss per share, basic and diluted, common</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(0.74)</w:t>
            </w:r>
          </w:p>
        </w:tc>
        <w:tc>
          <w:tcPr>
            <w:tcW w:w="80" w:type="dxa"/>
            <w:vAlign w:val="bottom"/>
          </w:tcPr>
          <w:p>
            <w:pPr>
              <w:spacing w:after="0"/>
              <w:rPr>
                <w:sz w:val="17"/>
                <w:szCs w:val="17"/>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(0.60)</w:t>
            </w:r>
          </w:p>
        </w:tc>
      </w:tr>
      <w:tr>
        <w:trPr>
          <w:trHeight w:val="217"/>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stock outstanding, basic and diluted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78,548,709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60,265,932</w:t>
            </w:r>
          </w:p>
        </w:tc>
      </w:tr>
    </w:tbl>
    <w:p>
      <w:pPr>
        <w:spacing w:after="0" w:line="385" w:lineRule="exact"/>
        <w:rPr>
          <w:sz w:val="20"/>
          <w:szCs w:val="20"/>
          <w:color w:val="auto"/>
        </w:rPr>
      </w:pPr>
    </w:p>
    <w:p>
      <w:pPr>
        <w:ind w:left="267" w:hanging="267"/>
        <w:spacing w:after="0"/>
        <w:tabs>
          <w:tab w:leader="none" w:pos="267"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$3.1 million and $2.5 million in related party expenses for the three months ended March 31, 2026 and 2025, respectively.</w:t>
      </w:r>
    </w:p>
    <w:p>
      <w:pPr>
        <w:spacing w:after="0" w:line="96" w:lineRule="exact"/>
        <w:rPr>
          <w:rFonts w:ascii="Arial" w:cs="Arial" w:eastAsia="Arial" w:hAnsi="Arial"/>
          <w:sz w:val="14"/>
          <w:szCs w:val="14"/>
          <w:color w:val="auto"/>
        </w:rPr>
      </w:pPr>
    </w:p>
    <w:p>
      <w:pPr>
        <w:ind w:left="267" w:hanging="267"/>
        <w:spacing w:after="0"/>
        <w:tabs>
          <w:tab w:leader="none" w:pos="267"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related party expenses of $0.3 million for the three months ended March 31, 2026 and 2025.</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011"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Spyre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in thousands)</w:t>
      </w:r>
    </w:p>
    <w:p>
      <w:pPr>
        <w:spacing w:after="0" w:line="229" w:lineRule="exact"/>
        <w:rPr>
          <w:sz w:val="20"/>
          <w:szCs w:val="20"/>
          <w:color w:val="auto"/>
        </w:rPr>
      </w:pPr>
    </w:p>
    <w:p>
      <w:pPr>
        <w:jc w:val="center"/>
        <w:ind w:left="6880"/>
        <w:spacing w:after="0"/>
        <w:rPr>
          <w:sz w:val="20"/>
          <w:szCs w:val="20"/>
          <w:color w:val="auto"/>
        </w:rPr>
      </w:pPr>
      <w:r>
        <w:rPr>
          <w:rFonts w:ascii="Arial" w:cs="Arial" w:eastAsia="Arial" w:hAnsi="Arial"/>
          <w:sz w:val="12"/>
          <w:szCs w:val="12"/>
          <w:b w:val="1"/>
          <w:bCs w:val="1"/>
          <w:color w:val="auto"/>
        </w:rPr>
        <w:t>Three Months Ended</w:t>
      </w:r>
    </w:p>
    <w:p>
      <w:pPr>
        <w:spacing w:after="0" w:line="26" w:lineRule="exact"/>
        <w:rPr>
          <w:sz w:val="20"/>
          <w:szCs w:val="20"/>
          <w:color w:val="auto"/>
        </w:rPr>
      </w:pPr>
    </w:p>
    <w:p>
      <w:pPr>
        <w:jc w:val="center"/>
        <w:ind w:left="688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4373245</wp:posOffset>
            </wp:positionH>
            <wp:positionV relativeFrom="paragraph">
              <wp:posOffset>20955</wp:posOffset>
            </wp:positionV>
            <wp:extent cx="17062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245" cy="762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2"/>
                <w:szCs w:val="12"/>
                <w:b w:val="1"/>
                <w:bCs w:val="1"/>
                <w:color w:val="auto"/>
              </w:rPr>
              <w:t>2025</w:t>
            </w:r>
          </w:p>
        </w:tc>
      </w:tr>
      <w:tr>
        <w:trPr>
          <w:trHeight w:val="208"/>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(44,773)</w:t>
            </w:r>
          </w:p>
        </w:tc>
      </w:tr>
      <w:tr>
        <w:trPr>
          <w:trHeight w:val="203"/>
        </w:trPr>
        <w:tc>
          <w:tcPr>
            <w:tcW w:w="68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7"/>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translation adjustment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Unrealized (loss) gain on marketable securities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r>
      <w:tr>
        <w:trPr>
          <w:trHeight w:val="22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(70,641)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(44,271)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57785</wp:posOffset>
            </wp:positionV>
            <wp:extent cx="717613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9580"/>
          </w:cols>
          <w:pgMar w:left="1160" w:top="1011" w:right="11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Spyre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Changes in</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Convertible Preferred Stock and Stockholders’ Equity</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8"/>
          </w:tcPr>
          <w:p>
            <w:pPr>
              <w:ind w:left="20"/>
              <w:spacing w:after="0"/>
              <w:rPr>
                <w:sz w:val="20"/>
                <w:szCs w:val="20"/>
                <w:color w:val="auto"/>
              </w:rPr>
            </w:pPr>
            <w:r>
              <w:rPr>
                <w:rFonts w:ascii="Arial" w:cs="Arial" w:eastAsia="Arial" w:hAnsi="Arial"/>
                <w:sz w:val="12"/>
                <w:szCs w:val="12"/>
                <w:b w:val="1"/>
                <w:bCs w:val="1"/>
                <w:color w:val="auto"/>
              </w:rPr>
              <w:t>Three Months Ended March 31, 2026</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rPr>
              <w:t>Series A</w:t>
            </w:r>
          </w:p>
        </w:tc>
        <w:tc>
          <w:tcPr>
            <w:tcW w:w="15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rPr>
              <w:t>Series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54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rPr>
              <w:t>Non-Voting Convertible</w:t>
            </w:r>
          </w:p>
        </w:tc>
        <w:tc>
          <w:tcPr>
            <w:tcW w:w="154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rPr>
              <w:t>Non-Voting Convertible</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9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280" w:type="dxa"/>
            <w:vAlign w:val="bottom"/>
            <w:gridSpan w:val="4"/>
            <w:vMerge w:val="restart"/>
          </w:tcPr>
          <w:p>
            <w:pPr>
              <w:jc w:val="right"/>
              <w:ind w:right="118"/>
              <w:spacing w:after="0"/>
              <w:rPr>
                <w:sz w:val="20"/>
                <w:szCs w:val="20"/>
                <w:color w:val="auto"/>
              </w:rPr>
            </w:pPr>
            <w:r>
              <w:rPr>
                <w:rFonts w:ascii="Arial" w:cs="Arial" w:eastAsia="Arial" w:hAnsi="Arial"/>
                <w:sz w:val="12"/>
                <w:szCs w:val="12"/>
                <w:b w:val="1"/>
                <w:bCs w:val="1"/>
                <w:color w:val="auto"/>
              </w:rPr>
              <w:t>Common Stock</w:t>
            </w:r>
          </w:p>
        </w:tc>
        <w:tc>
          <w:tcPr>
            <w:tcW w:w="6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8"/>
                <w:szCs w:val="8"/>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vMerge w:val="restart"/>
          </w:tcPr>
          <w:p>
            <w:pPr>
              <w:spacing w:after="0"/>
              <w:rPr>
                <w:sz w:val="5"/>
                <w:szCs w:val="5"/>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vMerge w:val="restart"/>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90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8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60"/>
              <w:spacing w:after="0" w:line="105" w:lineRule="exact"/>
              <w:rPr>
                <w:sz w:val="20"/>
                <w:szCs w:val="20"/>
                <w:color w:val="auto"/>
              </w:rPr>
            </w:pPr>
            <w:r>
              <w:rPr>
                <w:rFonts w:ascii="Arial" w:cs="Arial" w:eastAsia="Arial" w:hAnsi="Arial"/>
                <w:sz w:val="12"/>
                <w:szCs w:val="12"/>
                <w:b w:val="1"/>
                <w:bCs w:val="1"/>
                <w:color w:val="auto"/>
                <w:w w:val="99"/>
              </w:rPr>
              <w:t>Paid-In</w:t>
            </w:r>
          </w:p>
        </w:tc>
        <w:tc>
          <w:tcPr>
            <w:tcW w:w="1060" w:type="dxa"/>
            <w:vAlign w:val="bottom"/>
            <w:gridSpan w:val="3"/>
          </w:tcPr>
          <w:p>
            <w:pPr>
              <w:jc w:val="center"/>
              <w:ind w:right="80"/>
              <w:spacing w:after="0" w:line="105"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Income</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Deficit</w:t>
            </w:r>
          </w:p>
        </w:tc>
        <w:tc>
          <w:tcPr>
            <w:tcW w:w="180" w:type="dxa"/>
            <w:vAlign w:val="bottom"/>
          </w:tcPr>
          <w:p>
            <w:pPr>
              <w:spacing w:after="0"/>
              <w:rPr>
                <w:sz w:val="16"/>
                <w:szCs w:val="16"/>
                <w:color w:val="auto"/>
              </w:rPr>
            </w:pPr>
          </w:p>
        </w:tc>
        <w:tc>
          <w:tcPr>
            <w:tcW w:w="740" w:type="dxa"/>
            <w:vAlign w:val="bottom"/>
          </w:tcPr>
          <w:p>
            <w:pPr>
              <w:jc w:val="center"/>
              <w:ind w:right="138"/>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1"/>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 December 31, 2025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146,425</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9,395</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78,190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1,686,167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(1,127,635)</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715,236</w:t>
            </w:r>
          </w:p>
        </w:tc>
        <w:tc>
          <w:tcPr>
            <w:tcW w:w="0" w:type="dxa"/>
            <w:vAlign w:val="bottom"/>
          </w:tcPr>
          <w:p>
            <w:pPr>
              <w:spacing w:after="0"/>
              <w:rPr>
                <w:sz w:val="1"/>
                <w:szCs w:val="1"/>
                <w:color w:val="auto"/>
              </w:rPr>
            </w:pPr>
          </w:p>
        </w:tc>
      </w:tr>
      <w:tr>
        <w:trPr>
          <w:trHeight w:val="167"/>
        </w:trPr>
        <w:tc>
          <w:tcPr>
            <w:tcW w:w="2900" w:type="dxa"/>
            <w:vAlign w:val="bottom"/>
          </w:tcPr>
          <w:p>
            <w:pPr>
              <w:spacing w:after="0"/>
              <w:rPr>
                <w:sz w:val="20"/>
                <w:szCs w:val="20"/>
                <w:color w:val="auto"/>
              </w:rPr>
            </w:pPr>
            <w:r>
              <w:rPr>
                <w:rFonts w:ascii="Arial" w:cs="Arial" w:eastAsia="Arial" w:hAnsi="Arial"/>
                <w:sz w:val="12"/>
                <w:szCs w:val="12"/>
                <w:color w:val="auto"/>
              </w:rPr>
              <w:t>Issuance of common stock in connection with at-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00" w:type="dxa"/>
            <w:vAlign w:val="bottom"/>
          </w:tcPr>
          <w:p>
            <w:pPr>
              <w:spacing w:after="0"/>
              <w:rPr>
                <w:sz w:val="20"/>
                <w:szCs w:val="20"/>
                <w:color w:val="auto"/>
              </w:rPr>
            </w:pPr>
            <w:r>
              <w:rPr>
                <w:rFonts w:ascii="Arial" w:cs="Arial" w:eastAsia="Arial" w:hAnsi="Arial"/>
                <w:sz w:val="12"/>
                <w:szCs w:val="12"/>
                <w:color w:val="auto"/>
              </w:rPr>
              <w:t>the-market offering program, net of financing costs</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9,747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9,747</w:t>
            </w:r>
          </w:p>
        </w:tc>
        <w:tc>
          <w:tcPr>
            <w:tcW w:w="0" w:type="dxa"/>
            <w:vAlign w:val="bottom"/>
          </w:tcPr>
          <w:p>
            <w:pPr>
              <w:spacing w:after="0"/>
              <w:rPr>
                <w:sz w:val="1"/>
                <w:szCs w:val="1"/>
                <w:color w:val="auto"/>
              </w:rPr>
            </w:pPr>
          </w:p>
        </w:tc>
      </w:tr>
      <w:tr>
        <w:trPr>
          <w:trHeight w:val="177"/>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in connection with</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exercise of stock options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3,663</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6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12,806</w:t>
            </w:r>
          </w:p>
        </w:tc>
        <w:tc>
          <w:tcPr>
            <w:tcW w:w="0" w:type="dxa"/>
            <w:vAlign w:val="bottom"/>
          </w:tcPr>
          <w:p>
            <w:pPr>
              <w:spacing w:after="0"/>
              <w:rPr>
                <w:sz w:val="1"/>
                <w:szCs w:val="1"/>
                <w:color w:val="auto"/>
              </w:rPr>
            </w:pPr>
          </w:p>
        </w:tc>
      </w:tr>
      <w:tr>
        <w:trPr>
          <w:trHeight w:val="208"/>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Unrealized gain on marketable securities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20"/>
                <w:szCs w:val="20"/>
                <w:color w:val="auto"/>
              </w:rPr>
            </w:pPr>
            <w:r>
              <w:rPr>
                <w:rFonts w:ascii="Arial" w:cs="Arial" w:eastAsia="Arial" w:hAnsi="Arial"/>
                <w:sz w:val="12"/>
                <w:szCs w:val="12"/>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6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(69,005)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(69,005)</w:t>
            </w:r>
          </w:p>
        </w:tc>
        <w:tc>
          <w:tcPr>
            <w:tcW w:w="0" w:type="dxa"/>
            <w:vAlign w:val="bottom"/>
          </w:tcPr>
          <w:p>
            <w:pPr>
              <w:spacing w:after="0"/>
              <w:rPr>
                <w:sz w:val="1"/>
                <w:szCs w:val="1"/>
                <w:color w:val="auto"/>
              </w:rPr>
            </w:pPr>
          </w:p>
        </w:tc>
      </w:tr>
      <w:tr>
        <w:trPr>
          <w:trHeight w:val="215"/>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 March 31, 2026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146,425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9,395</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78,840</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1,712,383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(1,196,640)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670,811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1"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23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tcPr>
          <w:p>
            <w:pPr>
              <w:ind w:left="240"/>
              <w:spacing w:after="0"/>
              <w:rPr>
                <w:sz w:val="20"/>
                <w:szCs w:val="20"/>
                <w:color w:val="auto"/>
              </w:rPr>
            </w:pPr>
            <w:r>
              <w:rPr>
                <w:rFonts w:ascii="Arial" w:cs="Arial" w:eastAsia="Arial" w:hAnsi="Arial"/>
                <w:sz w:val="12"/>
                <w:szCs w:val="12"/>
                <w:b w:val="1"/>
                <w:bCs w:val="1"/>
                <w:color w:val="auto"/>
              </w:rPr>
              <w:t>Three Months Ended March 31, 2025</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2360" w:type="dxa"/>
            <w:vAlign w:val="bottom"/>
          </w:tcPr>
          <w:p>
            <w:pPr>
              <w:spacing w:after="0"/>
              <w:rPr>
                <w:sz w:val="24"/>
                <w:szCs w:val="2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rPr>
              <w:t>Series A</w:t>
            </w:r>
          </w:p>
        </w:tc>
        <w:tc>
          <w:tcPr>
            <w:tcW w:w="960" w:type="dxa"/>
            <w:vAlign w:val="bottom"/>
            <w:gridSpan w:val="3"/>
          </w:tcPr>
          <w:p>
            <w:pPr>
              <w:jc w:val="center"/>
              <w:ind w:left="355"/>
              <w:spacing w:after="0"/>
              <w:rPr>
                <w:sz w:val="20"/>
                <w:szCs w:val="20"/>
                <w:color w:val="auto"/>
              </w:rPr>
            </w:pPr>
            <w:r>
              <w:rPr>
                <w:rFonts w:ascii="Arial" w:cs="Arial" w:eastAsia="Arial" w:hAnsi="Arial"/>
                <w:sz w:val="12"/>
                <w:szCs w:val="12"/>
                <w:b w:val="1"/>
                <w:bCs w:val="1"/>
                <w:color w:val="auto"/>
              </w:rPr>
              <w:t>Series B</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1660" w:type="dxa"/>
            <w:vAlign w:val="bottom"/>
            <w:gridSpan w:val="5"/>
            <w:vMerge w:val="restart"/>
          </w:tcPr>
          <w:p>
            <w:pPr>
              <w:jc w:val="center"/>
              <w:ind w:right="120"/>
              <w:spacing w:after="0"/>
              <w:rPr>
                <w:sz w:val="20"/>
                <w:szCs w:val="20"/>
                <w:color w:val="auto"/>
              </w:rPr>
            </w:pPr>
            <w:r>
              <w:rPr>
                <w:rFonts w:ascii="Arial" w:cs="Arial" w:eastAsia="Arial" w:hAnsi="Arial"/>
                <w:sz w:val="12"/>
                <w:szCs w:val="12"/>
                <w:b w:val="1"/>
                <w:bCs w:val="1"/>
                <w:color w:val="auto"/>
              </w:rPr>
              <w:t>Non-Voting Convertible</w:t>
            </w:r>
          </w:p>
        </w:tc>
        <w:tc>
          <w:tcPr>
            <w:tcW w:w="1520" w:type="dxa"/>
            <w:vAlign w:val="bottom"/>
            <w:gridSpan w:val="5"/>
            <w:vMerge w:val="restart"/>
          </w:tcPr>
          <w:p>
            <w:pPr>
              <w:jc w:val="center"/>
              <w:ind w:right="140"/>
              <w:spacing w:after="0"/>
              <w:rPr>
                <w:sz w:val="20"/>
                <w:szCs w:val="20"/>
                <w:color w:val="auto"/>
              </w:rPr>
            </w:pPr>
            <w:r>
              <w:rPr>
                <w:rFonts w:ascii="Arial" w:cs="Arial" w:eastAsia="Arial" w:hAnsi="Arial"/>
                <w:sz w:val="12"/>
                <w:szCs w:val="12"/>
                <w:b w:val="1"/>
                <w:bCs w:val="1"/>
                <w:color w:val="auto"/>
              </w:rPr>
              <w:t>Non-Voting Convertible</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160" w:type="dxa"/>
            <w:vAlign w:val="bottom"/>
            <w:gridSpan w:val="3"/>
            <w:vMerge w:val="restart"/>
          </w:tcPr>
          <w:p>
            <w:pPr>
              <w:ind w:left="24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8"/>
                <w:szCs w:val="8"/>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vMerge w:val="restart"/>
          </w:tcPr>
          <w:p>
            <w:pPr>
              <w:spacing w:after="0"/>
              <w:rPr>
                <w:sz w:val="5"/>
                <w:szCs w:val="5"/>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vMerge w:val="restart"/>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36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Paid-In</w:t>
            </w:r>
          </w:p>
        </w:tc>
        <w:tc>
          <w:tcPr>
            <w:tcW w:w="1220" w:type="dxa"/>
            <w:vAlign w:val="bottom"/>
            <w:gridSpan w:val="3"/>
          </w:tcPr>
          <w:p>
            <w:pPr>
              <w:jc w:val="center"/>
              <w:ind w:right="120"/>
              <w:spacing w:after="0" w:line="105"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18"/>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Income</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6"/>
                <w:szCs w:val="16"/>
                <w:color w:val="auto"/>
              </w:rPr>
            </w:pPr>
          </w:p>
        </w:tc>
        <w:tc>
          <w:tcPr>
            <w:tcW w:w="900" w:type="dxa"/>
            <w:vAlign w:val="bottom"/>
          </w:tcPr>
          <w:p>
            <w:pPr>
              <w:jc w:val="center"/>
              <w:ind w:right="18"/>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02"/>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2024</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146,425</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60,257</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1,334,223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(972,432)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517,804</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Arial" w:cs="Arial" w:eastAsia="Arial" w:hAnsi="Arial"/>
                <w:sz w:val="12"/>
                <w:szCs w:val="12"/>
                <w:color w:val="auto"/>
              </w:rPr>
              <w:t>Issuance of common stock in connection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Arial" w:cs="Arial" w:eastAsia="Arial" w:hAnsi="Arial"/>
                <w:sz w:val="12"/>
                <w:szCs w:val="12"/>
                <w:color w:val="auto"/>
              </w:rPr>
              <w:t>with exercise of stock options and</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vMerge w:val="restart"/>
          </w:tcPr>
          <w:p>
            <w:pPr>
              <w:jc w:val="right"/>
              <w:ind w:right="18"/>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20"/>
                <w:szCs w:val="20"/>
                <w:color w:val="auto"/>
              </w:rPr>
            </w:pPr>
            <w:r>
              <w:rPr>
                <w:rFonts w:ascii="Arial" w:cs="Arial" w:eastAsia="Arial" w:hAnsi="Arial"/>
                <w:sz w:val="12"/>
                <w:szCs w:val="12"/>
                <w:color w:val="auto"/>
              </w:rPr>
              <w:t>employee stock purchase plan</w:t>
            </w: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8,859</w:t>
            </w:r>
          </w:p>
        </w:tc>
        <w:tc>
          <w:tcPr>
            <w:tcW w:w="0" w:type="dxa"/>
            <w:vAlign w:val="bottom"/>
          </w:tcPr>
          <w:p>
            <w:pPr>
              <w:spacing w:after="0"/>
              <w:rPr>
                <w:sz w:val="1"/>
                <w:szCs w:val="1"/>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980" w:type="dxa"/>
            <w:vAlign w:val="bottom"/>
          </w:tcPr>
          <w:p>
            <w:pPr>
              <w:jc w:val="right"/>
              <w:ind w:right="18"/>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7"/>
                <w:szCs w:val="17"/>
                <w:color w:val="auto"/>
              </w:rPr>
            </w:pPr>
          </w:p>
        </w:tc>
        <w:tc>
          <w:tcPr>
            <w:tcW w:w="900" w:type="dxa"/>
            <w:vAlign w:val="bottom"/>
          </w:tcPr>
          <w:p>
            <w:pPr>
              <w:jc w:val="right"/>
              <w:ind w:right="18"/>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Unrealized gain on marketable securities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488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488</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20"/>
                <w:szCs w:val="20"/>
                <w:color w:val="auto"/>
              </w:rPr>
            </w:pPr>
            <w:r>
              <w:rPr>
                <w:rFonts w:ascii="Arial" w:cs="Arial" w:eastAsia="Arial" w:hAnsi="Arial"/>
                <w:sz w:val="12"/>
                <w:szCs w:val="12"/>
                <w:color w:val="auto"/>
              </w:rPr>
              <w:t>Net loss</w:t>
            </w:r>
          </w:p>
        </w:tc>
        <w:tc>
          <w:tcPr>
            <w:tcW w:w="7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(44,773)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(44,773)</w:t>
            </w:r>
          </w:p>
        </w:tc>
        <w:tc>
          <w:tcPr>
            <w:tcW w:w="0" w:type="dxa"/>
            <w:vAlign w:val="bottom"/>
          </w:tcPr>
          <w:p>
            <w:pPr>
              <w:spacing w:after="0"/>
              <w:rPr>
                <w:sz w:val="1"/>
                <w:szCs w:val="1"/>
                <w:color w:val="auto"/>
              </w:rPr>
            </w:pPr>
          </w:p>
        </w:tc>
      </w:tr>
      <w:tr>
        <w:trPr>
          <w:trHeight w:val="235"/>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 March 31, 2025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146,425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1,343,300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(1,017,205)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482,610</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0"/>
          </w:cols>
          <w:pgMar w:left="320" w:top="1066"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Spyre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in thousands)</w:t>
      </w:r>
    </w:p>
    <w:p>
      <w:pPr>
        <w:spacing w:after="0" w:line="129"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Three Months Ended</w:t>
      </w:r>
    </w:p>
    <w:p>
      <w:pPr>
        <w:spacing w:after="0" w:line="12"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2025</w:t>
            </w:r>
          </w:p>
        </w:tc>
      </w:tr>
      <w:tr>
        <w:trPr>
          <w:trHeight w:val="164"/>
        </w:trPr>
        <w:tc>
          <w:tcPr>
            <w:tcW w:w="8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Net loss</w:t>
            </w: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(69,005)</w:t>
            </w:r>
          </w:p>
        </w:tc>
        <w:tc>
          <w:tcPr>
            <w:tcW w:w="100" w:type="dxa"/>
            <w:vAlign w:val="bottom"/>
          </w:tcPr>
          <w:p>
            <w:pPr>
              <w:spacing w:after="0"/>
              <w:rPr>
                <w:sz w:val="13"/>
                <w:szCs w:val="13"/>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(44,773)</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1"/>
        </w:trPr>
        <w:tc>
          <w:tcPr>
            <w:tcW w:w="8200" w:type="dxa"/>
            <w:vAlign w:val="bottom"/>
          </w:tcPr>
          <w:p>
            <w:pPr>
              <w:ind w:left="140"/>
              <w:spacing w:after="0"/>
              <w:rPr>
                <w:sz w:val="20"/>
                <w:szCs w:val="20"/>
                <w:color w:val="auto"/>
              </w:rPr>
            </w:pPr>
            <w:r>
              <w:rPr>
                <w:rFonts w:ascii="Arial" w:cs="Arial" w:eastAsia="Arial" w:hAnsi="Arial"/>
                <w:sz w:val="11"/>
                <w:szCs w:val="11"/>
                <w:color w:val="auto"/>
              </w:rPr>
              <w:t>Stock-based compensation</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12,806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8,859</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Acquired in-process research and development</w:t>
            </w:r>
          </w:p>
        </w:tc>
        <w:tc>
          <w:tcPr>
            <w:tcW w:w="9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1"/>
        </w:trPr>
        <w:tc>
          <w:tcPr>
            <w:tcW w:w="8200" w:type="dxa"/>
            <w:vAlign w:val="bottom"/>
          </w:tcPr>
          <w:p>
            <w:pPr>
              <w:ind w:left="140"/>
              <w:spacing w:after="0"/>
              <w:rPr>
                <w:sz w:val="20"/>
                <w:szCs w:val="20"/>
                <w:color w:val="auto"/>
              </w:rPr>
            </w:pPr>
            <w:r>
              <w:rPr>
                <w:rFonts w:ascii="Arial" w:cs="Arial" w:eastAsia="Arial" w:hAnsi="Arial"/>
                <w:sz w:val="11"/>
                <w:szCs w:val="11"/>
                <w:color w:val="auto"/>
              </w:rPr>
              <w:t>Change in fair value of CVR liability</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30,270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(2,400)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Gain on sale of in-process research and development asset</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(30,000)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1"/>
        </w:trPr>
        <w:tc>
          <w:tcPr>
            <w:tcW w:w="8200" w:type="dxa"/>
            <w:vAlign w:val="bottom"/>
          </w:tcPr>
          <w:p>
            <w:pPr>
              <w:ind w:left="140"/>
              <w:spacing w:after="0"/>
              <w:rPr>
                <w:sz w:val="20"/>
                <w:szCs w:val="20"/>
                <w:color w:val="auto"/>
              </w:rPr>
            </w:pPr>
            <w:r>
              <w:rPr>
                <w:rFonts w:ascii="Arial" w:cs="Arial" w:eastAsia="Arial" w:hAnsi="Arial"/>
                <w:sz w:val="11"/>
                <w:szCs w:val="11"/>
                <w:color w:val="auto"/>
              </w:rPr>
              <w:t>Net accretion of discount on marketable securities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(2,642)</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Interest proceeds from maturities of zero coupon U.S. Treasury Bills</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530</w:t>
            </w: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Changes in operating assets and liabilities: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Accounts payable</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(3,212)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3,023</w:t>
            </w:r>
          </w:p>
        </w:tc>
      </w:tr>
      <w:tr>
        <w:trPr>
          <w:trHeight w:val="151"/>
        </w:trPr>
        <w:tc>
          <w:tcPr>
            <w:tcW w:w="8200" w:type="dxa"/>
            <w:vAlign w:val="bottom"/>
          </w:tcPr>
          <w:p>
            <w:pPr>
              <w:ind w:left="280"/>
              <w:spacing w:after="0"/>
              <w:rPr>
                <w:sz w:val="20"/>
                <w:szCs w:val="20"/>
                <w:color w:val="auto"/>
              </w:rPr>
            </w:pPr>
            <w:r>
              <w:rPr>
                <w:rFonts w:ascii="Arial" w:cs="Arial" w:eastAsia="Arial" w:hAnsi="Arial"/>
                <w:sz w:val="11"/>
                <w:szCs w:val="11"/>
                <w:color w:val="auto"/>
              </w:rPr>
              <w:t>Accrued and other liabilities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(5,998)</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Related party accounts payable</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1,945</w:t>
            </w:r>
          </w:p>
        </w:tc>
      </w:tr>
      <w:tr>
        <w:trPr>
          <w:trHeight w:val="151"/>
        </w:trPr>
        <w:tc>
          <w:tcPr>
            <w:tcW w:w="8200" w:type="dxa"/>
            <w:vAlign w:val="bottom"/>
          </w:tcPr>
          <w:p>
            <w:pPr>
              <w:ind w:left="280"/>
              <w:spacing w:after="0"/>
              <w:rPr>
                <w:sz w:val="20"/>
                <w:szCs w:val="20"/>
                <w:color w:val="auto"/>
              </w:rPr>
            </w:pPr>
            <w:r>
              <w:rPr>
                <w:rFonts w:ascii="Arial" w:cs="Arial" w:eastAsia="Arial" w:hAnsi="Arial"/>
                <w:sz w:val="11"/>
                <w:szCs w:val="11"/>
                <w:color w:val="auto"/>
              </w:rPr>
              <w:t>Prepaid expenses and other assets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462</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7"/>
        </w:trPr>
        <w:tc>
          <w:tcPr>
            <w:tcW w:w="8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Net cash used in operating activities</w:t>
            </w:r>
          </w:p>
        </w:tc>
        <w:tc>
          <w:tcPr>
            <w:tcW w:w="9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(57,372)</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(40,994)</w:t>
            </w:r>
          </w:p>
        </w:tc>
      </w:tr>
      <w:tr>
        <w:trPr>
          <w:trHeight w:val="47"/>
        </w:trPr>
        <w:tc>
          <w:tcPr>
            <w:tcW w:w="8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75"/>
        </w:trPr>
        <w:tc>
          <w:tcPr>
            <w:tcW w:w="8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Proceeds from maturities and sales of marketable securities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107,748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71,383</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Purchases of marketable securities</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(81,167)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(71,444)</w:t>
            </w: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Proceeds from sale of in-process research and development asset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7"/>
        </w:trPr>
        <w:tc>
          <w:tcPr>
            <w:tcW w:w="8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Net cash provided by (used in) investing activities</w:t>
            </w:r>
          </w:p>
        </w:tc>
        <w:tc>
          <w:tcPr>
            <w:tcW w:w="9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56,581</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w:t>
            </w:r>
          </w:p>
        </w:tc>
      </w:tr>
      <w:tr>
        <w:trPr>
          <w:trHeight w:val="47"/>
        </w:trPr>
        <w:tc>
          <w:tcPr>
            <w:tcW w:w="8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75"/>
        </w:trPr>
        <w:tc>
          <w:tcPr>
            <w:tcW w:w="8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Proceeds from issuance of common stock in connection with at-the-market offering program, net of issuance costs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Payment of deferred offering costs in connection with shelf registration</w:t>
            </w:r>
          </w:p>
        </w:tc>
        <w:tc>
          <w:tcPr>
            <w:tcW w:w="9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w:t>
            </w: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Proceeds from employee stock option exercises and employee stock plan purchases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2,676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218</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7"/>
        </w:trPr>
        <w:tc>
          <w:tcPr>
            <w:tcW w:w="8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Net cash provided by financing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12,255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r>
      <w:tr>
        <w:trPr>
          <w:trHeight w:val="142"/>
        </w:trPr>
        <w:tc>
          <w:tcPr>
            <w:tcW w:w="8200" w:type="dxa"/>
            <w:vAlign w:val="bottom"/>
          </w:tcPr>
          <w:p>
            <w:pPr>
              <w:spacing w:after="0"/>
              <w:rPr>
                <w:sz w:val="20"/>
                <w:szCs w:val="20"/>
                <w:color w:val="auto"/>
              </w:rPr>
            </w:pPr>
            <w:r>
              <w:rPr>
                <w:rFonts w:ascii="Arial" w:cs="Arial" w:eastAsia="Arial" w:hAnsi="Arial"/>
                <w:sz w:val="11"/>
                <w:szCs w:val="11"/>
                <w:color w:val="auto"/>
              </w:rPr>
              <w:t>NET DECREASE IN CASH AND CASH EQUIVALENTS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11,464</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(40,930)</w:t>
            </w:r>
          </w:p>
        </w:tc>
      </w:tr>
      <w:tr>
        <w:trPr>
          <w:trHeight w:val="51"/>
        </w:trPr>
        <w:tc>
          <w:tcPr>
            <w:tcW w:w="82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r>
      <w:tr>
        <w:trPr>
          <w:trHeight w:val="166"/>
        </w:trPr>
        <w:tc>
          <w:tcPr>
            <w:tcW w:w="820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Beginning of period</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85,721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89,423</w:t>
            </w:r>
          </w:p>
        </w:tc>
      </w:tr>
      <w:tr>
        <w:trPr>
          <w:trHeight w:val="142"/>
        </w:trPr>
        <w:tc>
          <w:tcPr>
            <w:tcW w:w="8200" w:type="dxa"/>
            <w:vAlign w:val="bottom"/>
          </w:tcPr>
          <w:p>
            <w:pPr>
              <w:spacing w:after="0"/>
              <w:rPr>
                <w:sz w:val="20"/>
                <w:szCs w:val="20"/>
                <w:color w:val="auto"/>
              </w:rPr>
            </w:pPr>
            <w:r>
              <w:rPr>
                <w:rFonts w:ascii="Arial" w:cs="Arial" w:eastAsia="Arial" w:hAnsi="Arial"/>
                <w:sz w:val="11"/>
                <w:szCs w:val="11"/>
                <w:color w:val="auto"/>
              </w:rPr>
              <w:t>End of period</w:t>
            </w:r>
          </w:p>
        </w:tc>
        <w:tc>
          <w:tcPr>
            <w:tcW w:w="960" w:type="dxa"/>
            <w:vAlign w:val="bottom"/>
            <w:tcBorders>
              <w:top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97,185</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48,493</w:t>
            </w:r>
          </w:p>
        </w:tc>
      </w:tr>
      <w:tr>
        <w:trPr>
          <w:trHeight w:val="24"/>
        </w:trPr>
        <w:tc>
          <w:tcPr>
            <w:tcW w:w="8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9"/>
        </w:trPr>
        <w:tc>
          <w:tcPr>
            <w:tcW w:w="8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66"/>
        </w:trPr>
        <w:tc>
          <w:tcPr>
            <w:tcW w:w="8200" w:type="dxa"/>
            <w:vAlign w:val="bottom"/>
          </w:tcPr>
          <w:p>
            <w:pPr>
              <w:spacing w:after="0"/>
              <w:rPr>
                <w:sz w:val="20"/>
                <w:szCs w:val="20"/>
                <w:color w:val="auto"/>
              </w:rPr>
            </w:pPr>
            <w:r>
              <w:rPr>
                <w:rFonts w:ascii="Arial" w:cs="Arial" w:eastAsia="Arial" w:hAnsi="Arial"/>
                <w:sz w:val="11"/>
                <w:szCs w:val="11"/>
                <w:b w:val="1"/>
                <w:bCs w:val="1"/>
                <w:color w:val="auto"/>
              </w:rPr>
              <w:t>Supplemental Disclosure of Non-Cash Financing Information:</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4"/>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Proceeds from stock option exercises received in subsequent period</w:t>
            </w:r>
          </w:p>
        </w:tc>
        <w:tc>
          <w:tcPr>
            <w:tcW w:w="96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987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1"/>
        </w:trPr>
        <w:tc>
          <w:tcPr>
            <w:tcW w:w="8200" w:type="dxa"/>
            <w:vAlign w:val="bottom"/>
          </w:tcPr>
          <w:p>
            <w:pPr>
              <w:spacing w:after="0"/>
              <w:rPr>
                <w:sz w:val="20"/>
                <w:szCs w:val="20"/>
                <w:color w:val="auto"/>
              </w:rPr>
            </w:pPr>
            <w:r>
              <w:rPr>
                <w:rFonts w:ascii="Arial" w:cs="Arial" w:eastAsia="Arial" w:hAnsi="Arial"/>
                <w:sz w:val="11"/>
                <w:szCs w:val="11"/>
                <w:color w:val="auto"/>
              </w:rPr>
              <w:t>Allocation of deferred offering costs against proceeds of issuance of common stock</w:t>
            </w: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1"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Spyre Therapeutics,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The Company and Basis of Presentation</w:t>
      </w:r>
    </w:p>
    <w:p>
      <w:pPr>
        <w:spacing w:after="0" w:line="192"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Spyre Therapeutics, Inc., formerly Aeglea BioTherapeutics, Inc. (“Spyre” or the “Company”), is a clinical stage biotechnology company focused on developing next generation therapeutics for patients living with inflammatory bowel disease (“IBD”) and rheumatic diseases (“RD”). The Company was formed as a Limited Liability Company in Delaware on December 16, 2013 under the name Aeglea BioTherapeutics Holdings, LLC and was converted from a Delaware LLC to a Delaware corporation on March 10, 2015. On June 22, 2023, the Company acquired the assets of Spyre Therapeutics, Inc., privately held biotechnology company (the “Asset Acquisition”), and on November 27, 2023, the Company completed its corporate rebranding, changing the name of the Company to Spyre Therapeutics, Inc. The Company operates in one segment and has its principal offices in Waltham, Massachusetts.</w:t>
      </w:r>
    </w:p>
    <w:p>
      <w:pPr>
        <w:spacing w:after="0" w:line="163" w:lineRule="exact"/>
        <w:rPr>
          <w:sz w:val="20"/>
          <w:szCs w:val="20"/>
          <w:color w:val="auto"/>
        </w:rPr>
      </w:pPr>
    </w:p>
    <w:p>
      <w:pPr>
        <w:jc w:val="both"/>
        <w:ind w:right="20" w:firstLine="561"/>
        <w:spacing w:after="0" w:line="252" w:lineRule="auto"/>
        <w:rPr>
          <w:sz w:val="20"/>
          <w:szCs w:val="20"/>
          <w:color w:val="auto"/>
        </w:rPr>
      </w:pPr>
      <w:r>
        <w:rPr>
          <w:rFonts w:ascii="Arial" w:cs="Arial" w:eastAsia="Arial" w:hAnsi="Arial"/>
          <w:sz w:val="16"/>
          <w:szCs w:val="16"/>
          <w:color w:val="auto"/>
        </w:rPr>
        <w:t>In connection with the Asset Acquisition, a non-transferable contingent value right (“CVR”) was distributed to stockholders of record of the Company as of the close of business on July 3, 2023 (the “Legacy Stockholders”). Holders of the CVRs will be entitled to receive certain cash payments from proceeds received by the Company prior to the third anniversary of the CVR Agreement, if any, related to the disposition or monetization of its legacy assets during the one-year period following the closing of the Asset Acquisition.</w:t>
      </w:r>
    </w:p>
    <w:p>
      <w:pPr>
        <w:spacing w:after="0" w:line="162"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On September 6, 2024, the Company entered into a sales agreement (the “Sales Agreement”) with TD Securities (USA) LLC as its agent, pursuant to which the Company may issue and sell up to $ 200.0 million of shares of common stock under an at-the-market (“ATM”) offering program. During the three months ended March 31, 2026, the Company sold an aggregate of 296,396 shares of common stock under the ATM offering program at an average price per share of $33.566 resulting in net proceeds of $9.7 million after deducting sales agent commissions and other offering costs of $0.2 million. As of March 31, 2026, $154.1 million remained available for sale under the Sales Agreement.</w:t>
      </w:r>
    </w:p>
    <w:p>
      <w:pPr>
        <w:spacing w:after="0" w:line="163"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On October 13, 2025, the Company entered into an underwriting agreement (the “October 2025 Underwriting Agreement”), pursuant to which the Company sold an aggregate of 17,094,594 shares of its common stock, inclusive of 2,229,729 shares pursuant to the full exercise of the underwriters' over-allotment option, at a public offering price per share of $18.50, resulting in net proceeds of approximately $ 296.4 million after deducting approximately $19.9 million of underwriting discounts and other offering costs (the “October 2025 Offering”). The over-allotment option was exercised in full on October 14, 2025 and the transaction closed on October 15, 2025.</w:t>
      </w:r>
    </w:p>
    <w:p>
      <w:pPr>
        <w:spacing w:after="0" w:line="163"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On April 13, 2026, the Company entered into an underwriting agreement (the “April 2026 Underwriting Agreement”), pursuant to which the Company sold an aggregate of 7,475,000 shares of its common stock, inclusive of 975,000 shares pursuant to the full exercise of the underwriters' over-allotment option, at a public offering price per share of $62.00, resulting in net proceeds of approximately $435.3 million after deducting approximately $28.1 million of underwriting discounts and other offering costs (the “April 2026 Offering”). The over-allotment option was exercised in full on April 15, 2026 and the transaction closed on April 16, 2026.</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The Company is a clinical stage biotechnology company with a limited operating history, and due to its significant research and development expenditures, the Company has generated operating losses since its inception and has not generated any revenue from the commercial sale of any products. There can be no assurance that profitable operations will ever be achieved, and, if achieved, whether profitability can be sustained on a continuing basis.</w:t>
      </w:r>
    </w:p>
    <w:p>
      <w:pPr>
        <w:spacing w:after="0" w:line="157"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Since its inception and through March 31, 2026, the Company has funded its operations by raising an aggregate of approximately $1.7 billion of gross proceeds from the sale and issuance of convertible preferred stock and common stock, pre-funded warrants, the collection of grant proceeds, and the licensing of its product rights for commercialization of pegzilarginase in Europe and certain countries in the Middle East. As of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04"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March 31, 2026, Spyre had an accumulated deficit of $1.2 billion, and cash, cash equivalents, and marketable securities of $741.5 million.</w:t>
      </w:r>
    </w:p>
    <w:p>
      <w:pPr>
        <w:spacing w:after="0" w:line="190" w:lineRule="exact"/>
        <w:rPr>
          <w:sz w:val="20"/>
          <w:szCs w:val="20"/>
          <w:color w:val="auto"/>
        </w:rPr>
      </w:pPr>
    </w:p>
    <w:p>
      <w:pPr>
        <w:jc w:val="both"/>
        <w:ind w:right="20" w:firstLine="561"/>
        <w:spacing w:after="0" w:line="252" w:lineRule="auto"/>
        <w:rPr>
          <w:sz w:val="20"/>
          <w:szCs w:val="20"/>
          <w:color w:val="auto"/>
        </w:rPr>
      </w:pPr>
      <w:r>
        <w:rPr>
          <w:rFonts w:ascii="Arial" w:cs="Arial" w:eastAsia="Arial" w:hAnsi="Arial"/>
          <w:sz w:val="16"/>
          <w:szCs w:val="16"/>
          <w:color w:val="auto"/>
        </w:rPr>
        <w:t>Based on its current operating plans, the Company has sufficient resources to fund operations for at least one year from the issuance date of these financial statements with existing cash, cash equivalents, and marketable securities. The Company will need to secure additional financing in the future to fund additional research and development, and before a commercial drug can be produced, marketed and sold. If the Company is unable to obtain additional financing or generate license or product revenue, the lack of liquidity could have a material adverse effect on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90" w:lineRule="exact"/>
        <w:rPr>
          <w:sz w:val="20"/>
          <w:szCs w:val="20"/>
          <w:color w:val="auto"/>
        </w:rPr>
      </w:pPr>
    </w:p>
    <w:p>
      <w:pPr>
        <w:jc w:val="both"/>
        <w:ind w:right="20" w:firstLine="561"/>
        <w:spacing w:after="0" w:line="257" w:lineRule="auto"/>
        <w:rPr>
          <w:sz w:val="20"/>
          <w:szCs w:val="20"/>
          <w:color w:val="auto"/>
        </w:rPr>
      </w:pPr>
      <w:r>
        <w:rPr>
          <w:rFonts w:ascii="Arial" w:cs="Arial" w:eastAsia="Arial" w:hAnsi="Arial"/>
          <w:sz w:val="16"/>
          <w:szCs w:val="16"/>
          <w:color w:val="auto"/>
        </w:rPr>
        <w:t>The consolidated financial statements have been prepared in conformity with generally accepted accounting principles in the United States (“U.S. GAAP”) as defined by the Financial Accounting Standards Board (“FASB”) and include the accounts of the Company and its wholly owned subsidiaries. All intercompany balances and transactions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Interim Financial Information</w:t>
      </w:r>
    </w:p>
    <w:p>
      <w:pPr>
        <w:spacing w:after="0" w:line="19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The interim condensed consolidated financial statements included in this Quarterly Report on Form 10-Q are unaudited. The unaudited interim financial statements have been prepared on the same basis as the annual financial statements and reflect, in the opinion of management, all adjustments of a normal and recurring nature that are necessary for a fair statement of the Company’s financial position as of March 31, 2026, and its results of operations for the three months ended March 31, 2026 and 2025, changes in convertible preferred stock and stockholders’ equity for the three months ended March 31, 2026 and 2025, and cash flows for the three months ended March 31, 2026 and 2025. The results of operations for the three months ended March 31, 2026, are not necessarily indicative of the results to be expected for the year ending December 31, 2026 or for any other future annual or interim period. The December 31, 2025 balance sheet was derived from audited financial statements, but does not include all disclosures required by U.S. GAAP for complete financial statements. These financial statements should be read in conjunction with the audited financial statements included in the Company’s Form 10-K for the year ended December 31, 2025 (the “Annual Report”) as filed with the SEC on February 19, 2026.</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2"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These interim condensed consolidated financial statements have been prepared in accordance with U.S. GAAP and SEC instructions for interim financial information, and should be read in conjunction with the Company's Annual Report. Significant accounting policies and other disclosures normally provided have been omitted since such items are disclosed in the Company's Annual Report. The Company uses the same accounting policies in preparing quarterly and annual financial statements.</w:t>
      </w:r>
    </w:p>
    <w:p>
      <w:pPr>
        <w:spacing w:after="0" w:line="162"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There have been no significant changes from the significant accounting policies and estimates disclosed in the Notes titled “1. The Company and Basis of Presentation” and "2. Summary of Significant Accounting Policies” of the Company's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90"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There have been no recent accounting pronouncements or changes in accounting pronouncements adopted during the three months ended March 31, 2026 that are of significance or potential significance to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 Yet Adopted Accounting Pronouncements</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In November 2024, the FASB issued Accounting Standards Update 2024-03 (“ASU 2024-03”) Income Statement - Reporting Comprehensive Income - Expense Disaggregation Disclosures (Subtopic 220-40): Disaggregation of Income Statement Expenses to require more detailed information about specified categories of expenses (purchases of inventory, employee compensation, depreciation, amortization, and depletion) included in certain expense captions presented on the face of the income statement. ASU 2024-03 is effective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2" w:name="page13"/>
    <w:bookmarkEnd w:id="12"/>
    <w:p>
      <w:pPr>
        <w:jc w:val="both"/>
        <w:spacing w:after="0" w:line="311" w:lineRule="auto"/>
        <w:rPr>
          <w:sz w:val="20"/>
          <w:szCs w:val="20"/>
          <w:color w:val="auto"/>
        </w:rPr>
      </w:pPr>
      <w:r>
        <w:rPr>
          <w:rFonts w:ascii="Arial" w:cs="Arial" w:eastAsia="Arial" w:hAnsi="Arial"/>
          <w:sz w:val="14"/>
          <w:szCs w:val="14"/>
          <w:color w:val="auto"/>
        </w:rPr>
        <w:t>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2024-03 or (2) retrospectively to all prior periods presented in the financial statements. The Company is currently evaluating the impact ASU 2024-03 will have on its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28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Company measures and reports certain financial instruments as assets and liabilities at fair value on a recurring basis. The following tables set forth the fair value of the Company’s financial assets and liabilities at fair value on a recurring basis based on the three-tier fair value hierarchy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2"/>
                <w:szCs w:val="12"/>
                <w:b w:val="1"/>
                <w:bCs w:val="1"/>
                <w:color w:val="auto"/>
              </w:rPr>
              <w:t>March 31, 2026</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Level 2</w:t>
            </w:r>
          </w:p>
        </w:tc>
        <w:tc>
          <w:tcPr>
            <w:tcW w:w="5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Arial" w:cs="Arial" w:eastAsia="Arial" w:hAnsi="Arial"/>
                <w:sz w:val="12"/>
                <w:szCs w:val="12"/>
                <w:b w:val="1"/>
                <w:bCs w:val="1"/>
                <w:color w:val="auto"/>
              </w:rPr>
              <w:t>Total</w:t>
            </w:r>
          </w:p>
        </w:tc>
      </w:tr>
      <w:tr>
        <w:trPr>
          <w:trHeight w:val="20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Assets:</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95,448</w:t>
            </w:r>
          </w:p>
        </w:tc>
        <w:tc>
          <w:tcPr>
            <w:tcW w:w="8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95,448</w:t>
            </w: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U.S. government treasury securities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257,180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257,180</w:t>
            </w:r>
          </w:p>
        </w:tc>
      </w:tr>
      <w:tr>
        <w:trPr>
          <w:trHeight w:val="214"/>
        </w:trPr>
        <w:tc>
          <w:tcPr>
            <w:tcW w:w="5080" w:type="dxa"/>
            <w:vAlign w:val="bottom"/>
          </w:tcPr>
          <w:p>
            <w:pPr>
              <w:ind w:left="24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136,040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136,040</w:t>
            </w: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164,406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164,406</w:t>
            </w:r>
          </w:p>
        </w:tc>
      </w:tr>
      <w:tr>
        <w:trPr>
          <w:trHeight w:val="214"/>
        </w:trPr>
        <w:tc>
          <w:tcPr>
            <w:tcW w:w="5080" w:type="dxa"/>
            <w:vAlign w:val="bottom"/>
          </w:tcPr>
          <w:p>
            <w:pPr>
              <w:ind w:left="24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86,656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86,656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financial assets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352,628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387,102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739,730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4"/>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CVR liability</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56,950</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56,950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56,950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2025</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Level 2</w:t>
            </w:r>
          </w:p>
        </w:tc>
        <w:tc>
          <w:tcPr>
            <w:tcW w:w="5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Arial" w:cs="Arial" w:eastAsia="Arial" w:hAnsi="Arial"/>
                <w:sz w:val="12"/>
                <w:szCs w:val="12"/>
                <w:b w:val="1"/>
                <w:bCs w:val="1"/>
                <w:color w:val="auto"/>
              </w:rPr>
              <w:t>Total</w:t>
            </w:r>
          </w:p>
        </w:tc>
      </w:tr>
      <w:tr>
        <w:trPr>
          <w:trHeight w:val="20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Assets:</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74,004</w:t>
            </w:r>
          </w:p>
        </w:tc>
        <w:tc>
          <w:tcPr>
            <w:tcW w:w="8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74,004</w:t>
            </w: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government treasury securities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266,064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266,064</w:t>
            </w: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119,590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119,590</w:t>
            </w: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194,355</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194,355</w:t>
            </w:r>
          </w:p>
        </w:tc>
      </w:tr>
      <w:tr>
        <w:trPr>
          <w:trHeight w:val="214"/>
        </w:trPr>
        <w:tc>
          <w:tcPr>
            <w:tcW w:w="5080" w:type="dxa"/>
            <w:vAlign w:val="bottom"/>
          </w:tcPr>
          <w:p>
            <w:pPr>
              <w:ind w:left="24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100,790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100,790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financial assets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414,735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754,803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4"/>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14"/>
        </w:trPr>
        <w:tc>
          <w:tcPr>
            <w:tcW w:w="5080" w:type="dxa"/>
            <w:vAlign w:val="bottom"/>
          </w:tcPr>
          <w:p>
            <w:pPr>
              <w:ind w:left="200"/>
              <w:spacing w:after="0"/>
              <w:rPr>
                <w:sz w:val="20"/>
                <w:szCs w:val="20"/>
                <w:color w:val="auto"/>
              </w:rPr>
            </w:pPr>
            <w:r>
              <w:rPr>
                <w:rFonts w:ascii="Arial" w:cs="Arial" w:eastAsia="Arial" w:hAnsi="Arial"/>
                <w:sz w:val="16"/>
                <w:szCs w:val="16"/>
                <w:color w:val="auto"/>
              </w:rPr>
              <w:t>CVR liability</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26,680</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26,680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26,680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The Company measures the fair value of money market funds and U.S. government treasury securities on quoted prices in active markets for identical assets or liabilities. The Level 2 assets include U.S. government agency securities, commercial paper and corporate bonds, and are valued based on quoted prices for similar assets in active markets and inputs other than quoted prices that are derived from observable market data. The Company evaluates transfers between levels at the end of each reporting period. There were no transfers between Level 1, Level 2, or Level 3 during the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CVR Liability</w:t>
      </w:r>
    </w:p>
    <w:p>
      <w:pPr>
        <w:spacing w:after="0" w:line="19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In connection with the Asset Acquisition, a non-transferable CVR was distributed to the Legacy Stockholders. Holders of the CVR will be entitled to receive certain cash payments from proceeds received by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6"/>
          <w:szCs w:val="16"/>
          <w:color w:val="auto"/>
        </w:rPr>
        <w:t>the Company for a three-year period, if any, related to the disposition or monetization of the Company’s legacy assets for a period of one year following the closing of the Asset Acquisition.</w:t>
      </w:r>
    </w:p>
    <w:p>
      <w:pPr>
        <w:spacing w:after="0" w:line="145" w:lineRule="exact"/>
        <w:rPr>
          <w:sz w:val="20"/>
          <w:szCs w:val="20"/>
          <w:color w:val="auto"/>
        </w:rPr>
      </w:pPr>
    </w:p>
    <w:p>
      <w:pPr>
        <w:jc w:val="both"/>
        <w:ind w:right="20" w:firstLine="561"/>
        <w:spacing w:after="0" w:line="249" w:lineRule="auto"/>
        <w:rPr>
          <w:sz w:val="20"/>
          <w:szCs w:val="20"/>
          <w:color w:val="auto"/>
        </w:rPr>
      </w:pPr>
      <w:r>
        <w:rPr>
          <w:rFonts w:ascii="Arial" w:cs="Arial" w:eastAsia="Arial" w:hAnsi="Arial"/>
          <w:sz w:val="16"/>
          <w:szCs w:val="16"/>
          <w:color w:val="auto"/>
        </w:rPr>
        <w:t>The fair value of the CVR liability was determined using the probability weighted discounted cash flow method to estimate future cash flows associated with the sale of the legacy assets. Analogous to a dividend being declared/approved in one period and paid out in another, the liability was recorded at the date of approval, June 22, 2023, as a common stock dividend, returning capital to the Legacy Stockholders. Changes in fair value of the liability will be recognized as a component of Other income (expense), net in the consolidated statement of operations and comprehensive loss in each reporting period. The liability value is based on significant inputs not observable in the market such as estimated cash flows, estimated probabilities of regulatory success, and discount rates, which represent a Level 3 measurement within the fair value hierarchy.</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significant inputs used to estimate the fair value of the CVR liability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8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auto"/>
              </w:rPr>
              <w:t>March 31, 2026</w:t>
            </w:r>
          </w:p>
        </w:tc>
      </w:tr>
      <w:tr>
        <w:trPr>
          <w:trHeight w:val="212"/>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Estimated cash flow dates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05/15/26 - 08/15/29</w:t>
            </w:r>
          </w:p>
        </w:tc>
      </w:tr>
      <w:tr>
        <w:trPr>
          <w:trHeight w:val="214"/>
        </w:trPr>
        <w:tc>
          <w:tcPr>
            <w:tcW w:w="8980" w:type="dxa"/>
            <w:vAlign w:val="bottom"/>
          </w:tcPr>
          <w:p>
            <w:pPr>
              <w:spacing w:after="0"/>
              <w:rPr>
                <w:sz w:val="20"/>
                <w:szCs w:val="20"/>
                <w:color w:val="auto"/>
              </w:rPr>
            </w:pPr>
            <w:r>
              <w:rPr>
                <w:rFonts w:ascii="Arial" w:cs="Arial" w:eastAsia="Arial" w:hAnsi="Arial"/>
                <w:sz w:val="16"/>
                <w:szCs w:val="16"/>
                <w:color w:val="auto"/>
              </w:rPr>
              <w:t>Estimated probability of success</w:t>
            </w:r>
          </w:p>
        </w:tc>
        <w:tc>
          <w:tcPr>
            <w:tcW w:w="2280" w:type="dxa"/>
            <w:vAlign w:val="bottom"/>
          </w:tcPr>
          <w:p>
            <w:pPr>
              <w:jc w:val="center"/>
              <w:spacing w:after="0"/>
              <w:rPr>
                <w:sz w:val="20"/>
                <w:szCs w:val="20"/>
                <w:color w:val="auto"/>
              </w:rPr>
            </w:pPr>
            <w:r>
              <w:rPr>
                <w:rFonts w:ascii="Arial" w:cs="Arial" w:eastAsia="Arial" w:hAnsi="Arial"/>
                <w:sz w:val="16"/>
                <w:szCs w:val="16"/>
                <w:color w:val="auto"/>
                <w:w w:val="97"/>
              </w:rPr>
              <w:t>0% - 83%</w:t>
            </w:r>
          </w:p>
        </w:tc>
      </w:tr>
      <w:tr>
        <w:trPr>
          <w:trHeight w:val="20"/>
        </w:trPr>
        <w:tc>
          <w:tcPr>
            <w:tcW w:w="8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4"/>
        </w:trPr>
        <w:tc>
          <w:tcPr>
            <w:tcW w:w="8980" w:type="dxa"/>
            <w:vAlign w:val="bottom"/>
            <w:shd w:val="clear" w:color="auto" w:fill="CCEEFF"/>
          </w:tcPr>
          <w:p>
            <w:pPr>
              <w:spacing w:after="0"/>
              <w:rPr>
                <w:sz w:val="20"/>
                <w:szCs w:val="20"/>
                <w:color w:val="auto"/>
              </w:rPr>
            </w:pPr>
            <w:r>
              <w:rPr>
                <w:rFonts w:ascii="Arial" w:cs="Arial" w:eastAsia="Arial" w:hAnsi="Arial"/>
                <w:sz w:val="16"/>
                <w:szCs w:val="16"/>
                <w:color w:val="auto"/>
              </w:rPr>
              <w:t>Risk-adjusted discount rates</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13.46% - 13.59%</w:t>
            </w:r>
          </w:p>
        </w:tc>
      </w:tr>
      <w:tr>
        <w:trPr>
          <w:trHeight w:val="20"/>
        </w:trPr>
        <w:tc>
          <w:tcPr>
            <w:tcW w:w="89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r>
    </w:tbl>
    <w:p>
      <w:pPr>
        <w:spacing w:after="0" w:line="254"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The change in fair value between December 31, 2025 and March 31, 2026 was a $30.3 million increase, primarily driven by the achievement of certain milestones and changes in the likelihood of achievement of certain milestones and receipt of certain cash consideration within the CVR term, changes in estimated cash flow dates, and an increase in risk-adjusted discount rates, partially offset by time value of money adjustments.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changes in the CVR liability for the periods presented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CVR Liability</w:t>
            </w:r>
          </w:p>
        </w:tc>
      </w:tr>
      <w:tr>
        <w:trPr>
          <w:trHeight w:val="212"/>
        </w:trPr>
        <w:tc>
          <w:tcPr>
            <w:tcW w:w="9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Beginning balance as of December 31, 2025</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26,680</w:t>
            </w:r>
          </w:p>
        </w:tc>
      </w:tr>
      <w:tr>
        <w:trPr>
          <w:trHeight w:val="214"/>
        </w:trPr>
        <w:tc>
          <w:tcPr>
            <w:tcW w:w="9780" w:type="dxa"/>
            <w:vAlign w:val="bottom"/>
          </w:tcPr>
          <w:p>
            <w:pPr>
              <w:spacing w:after="0"/>
              <w:rPr>
                <w:sz w:val="20"/>
                <w:szCs w:val="20"/>
                <w:color w:val="auto"/>
              </w:rPr>
            </w:pPr>
            <w:r>
              <w:rPr>
                <w:rFonts w:ascii="Arial" w:cs="Arial" w:eastAsia="Arial" w:hAnsi="Arial"/>
                <w:sz w:val="16"/>
                <w:szCs w:val="16"/>
                <w:color w:val="auto"/>
              </w:rPr>
              <w:t>Changes in the fair value of the CVR liability</w:t>
            </w:r>
          </w:p>
        </w:tc>
        <w:tc>
          <w:tcPr>
            <w:tcW w:w="220" w:type="dxa"/>
            <w:vAlign w:val="bottom"/>
          </w:tcPr>
          <w:p>
            <w:pPr>
              <w:spacing w:after="0"/>
              <w:rPr>
                <w:sz w:val="18"/>
                <w:szCs w:val="18"/>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30,270</w:t>
            </w: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Ending Balance as of March 31, 2026</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56,950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Cash Equivalents and Marketable Securities</w:t>
      </w:r>
    </w:p>
    <w:p>
      <w:pPr>
        <w:spacing w:after="0" w:line="28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following tables summarize the estimated fair value of the Company’s cash equivalents and marketable securities and the gross unrealized gains and losses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March 31, 2026</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rPr>
              <w:t>Amortized</w:t>
            </w:r>
          </w:p>
        </w:tc>
        <w:tc>
          <w:tcPr>
            <w:tcW w:w="1060" w:type="dxa"/>
            <w:vAlign w:val="bottom"/>
          </w:tcPr>
          <w:p>
            <w:pPr>
              <w:jc w:val="center"/>
              <w:ind w:left="349"/>
              <w:spacing w:after="0"/>
              <w:rPr>
                <w:sz w:val="20"/>
                <w:szCs w:val="20"/>
                <w:color w:val="auto"/>
              </w:rPr>
            </w:pPr>
            <w:r>
              <w:rPr>
                <w:rFonts w:ascii="Arial" w:cs="Arial" w:eastAsia="Arial" w:hAnsi="Arial"/>
                <w:sz w:val="12"/>
                <w:szCs w:val="12"/>
                <w:b w:val="1"/>
                <w:bCs w:val="1"/>
                <w:color w:val="auto"/>
              </w:rPr>
              <w:t>Gross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14"/>
                <w:szCs w:val="14"/>
                <w:color w:val="auto"/>
              </w:rPr>
            </w:pPr>
          </w:p>
        </w:tc>
        <w:tc>
          <w:tcPr>
            <w:tcW w:w="122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tcPr>
          <w:p>
            <w:pPr>
              <w:jc w:val="center"/>
              <w:ind w:left="349"/>
              <w:spacing w:after="0"/>
              <w:rPr>
                <w:sz w:val="20"/>
                <w:szCs w:val="20"/>
                <w:color w:val="auto"/>
              </w:rPr>
            </w:pPr>
            <w:r>
              <w:rPr>
                <w:rFonts w:ascii="Arial" w:cs="Arial" w:eastAsia="Arial" w:hAnsi="Arial"/>
                <w:sz w:val="12"/>
                <w:szCs w:val="12"/>
                <w:b w:val="1"/>
                <w:bCs w:val="1"/>
                <w:color w:val="auto"/>
              </w:rPr>
              <w:t>Unrealized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Cost</w:t>
            </w:r>
          </w:p>
        </w:tc>
        <w:tc>
          <w:tcPr>
            <w:tcW w:w="1060" w:type="dxa"/>
            <w:vAlign w:val="bottom"/>
          </w:tcPr>
          <w:p>
            <w:pPr>
              <w:jc w:val="center"/>
              <w:ind w:left="349"/>
              <w:spacing w:after="0"/>
              <w:rPr>
                <w:sz w:val="20"/>
                <w:szCs w:val="20"/>
                <w:color w:val="auto"/>
              </w:rPr>
            </w:pPr>
            <w:r>
              <w:rPr>
                <w:rFonts w:ascii="Arial" w:cs="Arial" w:eastAsia="Arial" w:hAnsi="Arial"/>
                <w:sz w:val="12"/>
                <w:szCs w:val="12"/>
                <w:b w:val="1"/>
                <w:bCs w:val="1"/>
                <w:color w:val="auto"/>
              </w:rPr>
              <w:t>Gains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5"/>
                <w:szCs w:val="15"/>
                <w:color w:val="auto"/>
              </w:rPr>
            </w:pPr>
          </w:p>
        </w:tc>
        <w:tc>
          <w:tcPr>
            <w:tcW w:w="1220" w:type="dxa"/>
            <w:vAlign w:val="bottom"/>
          </w:tcPr>
          <w:p>
            <w:pPr>
              <w:jc w:val="right"/>
              <w:ind w:right="386"/>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94"/>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equivalents:</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95,448</w:t>
            </w:r>
          </w:p>
        </w:tc>
        <w:tc>
          <w:tcPr>
            <w:tcW w:w="80" w:type="dxa"/>
            <w:vAlign w:val="bottom"/>
          </w:tcPr>
          <w:p>
            <w:pPr>
              <w:spacing w:after="0"/>
              <w:rPr>
                <w:sz w:val="18"/>
                <w:szCs w:val="18"/>
                <w:color w:val="auto"/>
              </w:rPr>
            </w:pPr>
          </w:p>
        </w:tc>
        <w:tc>
          <w:tcPr>
            <w:tcW w:w="1060" w:type="dxa"/>
            <w:vAlign w:val="bottom"/>
          </w:tcPr>
          <w:p>
            <w:pPr>
              <w:jc w:val="right"/>
              <w:ind w:right="88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95,448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equivalents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95,448</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95,448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Commercial paper</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164,635</w:t>
            </w:r>
          </w:p>
        </w:tc>
        <w:tc>
          <w:tcPr>
            <w:tcW w:w="80" w:type="dxa"/>
            <w:vAlign w:val="bottom"/>
          </w:tcPr>
          <w:p>
            <w:pPr>
              <w:spacing w:after="0"/>
              <w:rPr>
                <w:sz w:val="18"/>
                <w:szCs w:val="18"/>
                <w:color w:val="auto"/>
              </w:rPr>
            </w:pPr>
          </w:p>
        </w:tc>
        <w:tc>
          <w:tcPr>
            <w:tcW w:w="1060" w:type="dxa"/>
            <w:vAlign w:val="bottom"/>
          </w:tcPr>
          <w:p>
            <w:pPr>
              <w:jc w:val="right"/>
              <w:ind w:right="88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164,406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Corporate bonds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86,788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86,656</w:t>
            </w:r>
          </w:p>
        </w:tc>
        <w:tc>
          <w:tcPr>
            <w:tcW w:w="0" w:type="dxa"/>
            <w:vAlign w:val="bottom"/>
          </w:tcPr>
          <w:p>
            <w:pPr>
              <w:spacing w:after="0"/>
              <w:rPr>
                <w:sz w:val="1"/>
                <w:szCs w:val="1"/>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U.S. government treasury securities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257,224</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257,180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government agency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136,402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136,040</w:t>
            </w:r>
          </w:p>
        </w:tc>
        <w:tc>
          <w:tcPr>
            <w:tcW w:w="0" w:type="dxa"/>
            <w:vAlign w:val="bottom"/>
          </w:tcPr>
          <w:p>
            <w:pPr>
              <w:spacing w:after="0"/>
              <w:rPr>
                <w:sz w:val="1"/>
                <w:szCs w:val="1"/>
                <w:color w:val="auto"/>
              </w:rPr>
            </w:pPr>
          </w:p>
        </w:tc>
      </w:tr>
      <w:tr>
        <w:trPr>
          <w:trHeight w:val="205"/>
        </w:trPr>
        <w:tc>
          <w:tcPr>
            <w:tcW w:w="5080" w:type="dxa"/>
            <w:vAlign w:val="bottom"/>
          </w:tcPr>
          <w:p>
            <w:pPr>
              <w:spacing w:after="0"/>
              <w:rPr>
                <w:sz w:val="20"/>
                <w:szCs w:val="20"/>
                <w:color w:val="auto"/>
              </w:rPr>
            </w:pPr>
            <w:r>
              <w:rPr>
                <w:rFonts w:ascii="Arial" w:cs="Arial" w:eastAsia="Arial" w:hAnsi="Arial"/>
                <w:sz w:val="16"/>
                <w:szCs w:val="16"/>
                <w:color w:val="auto"/>
              </w:rPr>
              <w:t>Total marketable securities</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645,049</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88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42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644,282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700"/>
              <w:spacing w:after="0"/>
              <w:rPr>
                <w:sz w:val="20"/>
                <w:szCs w:val="20"/>
                <w:color w:val="auto"/>
              </w:rPr>
            </w:pPr>
            <w:r>
              <w:rPr>
                <w:rFonts w:ascii="Arial" w:cs="Arial" w:eastAsia="Arial" w:hAnsi="Arial"/>
                <w:sz w:val="12"/>
                <w:szCs w:val="12"/>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rPr>
              <w:t>Amortized</w:t>
            </w: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Gross</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14"/>
                <w:szCs w:val="14"/>
                <w:color w:val="auto"/>
              </w:rPr>
            </w:pPr>
          </w:p>
        </w:tc>
        <w:tc>
          <w:tcPr>
            <w:tcW w:w="1220" w:type="dxa"/>
            <w:vAlign w:val="bottom"/>
            <w:vMerge w:val="restart"/>
          </w:tcPr>
          <w:p>
            <w:pPr>
              <w:jc w:val="right"/>
              <w:ind w:right="365"/>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Unrealized</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Cost</w:t>
            </w: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Gains</w:t>
            </w: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5"/>
                <w:szCs w:val="15"/>
                <w:color w:val="auto"/>
              </w:rPr>
            </w:pPr>
          </w:p>
        </w:tc>
        <w:tc>
          <w:tcPr>
            <w:tcW w:w="1220" w:type="dxa"/>
            <w:vAlign w:val="bottom"/>
          </w:tcPr>
          <w:p>
            <w:pPr>
              <w:jc w:val="right"/>
              <w:ind w:right="385"/>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94"/>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equivalents:</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74,004</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74,004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Commercial paper</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9,987</w:t>
            </w:r>
          </w:p>
        </w:tc>
        <w:tc>
          <w:tcPr>
            <w:tcW w:w="0" w:type="dxa"/>
            <w:vAlign w:val="bottom"/>
          </w:tcPr>
          <w:p>
            <w:pPr>
              <w:spacing w:after="0"/>
              <w:rPr>
                <w:sz w:val="1"/>
                <w:szCs w:val="1"/>
                <w:color w:val="auto"/>
              </w:rPr>
            </w:pPr>
          </w:p>
        </w:tc>
      </w:tr>
      <w:tr>
        <w:trPr>
          <w:trHeight w:val="205"/>
        </w:trPr>
        <w:tc>
          <w:tcPr>
            <w:tcW w:w="5080" w:type="dxa"/>
            <w:vAlign w:val="bottom"/>
          </w:tcPr>
          <w:p>
            <w:pPr>
              <w:spacing w:after="0"/>
              <w:rPr>
                <w:sz w:val="20"/>
                <w:szCs w:val="20"/>
                <w:color w:val="auto"/>
              </w:rPr>
            </w:pPr>
            <w:r>
              <w:rPr>
                <w:rFonts w:ascii="Arial" w:cs="Arial" w:eastAsia="Arial" w:hAnsi="Arial"/>
                <w:sz w:val="16"/>
                <w:szCs w:val="16"/>
                <w:color w:val="auto"/>
              </w:rPr>
              <w:t>Total cash equivalents</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83,991</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83,991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Commercial paper</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184,423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184,368</w:t>
            </w:r>
          </w:p>
        </w:tc>
        <w:tc>
          <w:tcPr>
            <w:tcW w:w="0" w:type="dxa"/>
            <w:vAlign w:val="bottom"/>
          </w:tcPr>
          <w:p>
            <w:pPr>
              <w:spacing w:after="0"/>
              <w:rPr>
                <w:sz w:val="1"/>
                <w:szCs w:val="1"/>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100,753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100,790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government treasury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265,316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266,064</w:t>
            </w:r>
          </w:p>
        </w:tc>
        <w:tc>
          <w:tcPr>
            <w:tcW w:w="0" w:type="dxa"/>
            <w:vAlign w:val="bottom"/>
          </w:tcPr>
          <w:p>
            <w:pPr>
              <w:spacing w:after="0"/>
              <w:rPr>
                <w:sz w:val="1"/>
                <w:szCs w:val="1"/>
                <w:color w:val="auto"/>
              </w:rPr>
            </w:pPr>
          </w:p>
        </w:tc>
      </w:tr>
      <w:tr>
        <w:trPr>
          <w:trHeight w:val="214"/>
        </w:trPr>
        <w:tc>
          <w:tcPr>
            <w:tcW w:w="5080" w:type="dxa"/>
            <w:vAlign w:val="bottom"/>
          </w:tcPr>
          <w:p>
            <w:pPr>
              <w:ind w:left="220"/>
              <w:spacing w:after="0"/>
              <w:rPr>
                <w:sz w:val="20"/>
                <w:szCs w:val="20"/>
                <w:color w:val="auto"/>
              </w:rPr>
            </w:pPr>
            <w:r>
              <w:rPr>
                <w:rFonts w:ascii="Arial" w:cs="Arial" w:eastAsia="Arial" w:hAnsi="Arial"/>
                <w:sz w:val="16"/>
                <w:szCs w:val="16"/>
                <w:color w:val="auto"/>
              </w:rPr>
              <w:t>U.S. government agency securities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119,450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119,590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marketable securities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669,942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670,812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following table summarizes the available-for-sale securities in an unrealized loss position for which an allowance for credit losses has not been recorded as of March 31, 2026 and December 31, 2025, aggregated by major security type and length of time in a continuous unrealized loss position: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2"/>
                <w:szCs w:val="12"/>
                <w:b w:val="1"/>
                <w:bCs w:val="1"/>
                <w:color w:val="auto"/>
              </w:rPr>
              <w:t>March 31, 2026</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0"/>
        </w:trPr>
        <w:tc>
          <w:tcPr>
            <w:tcW w:w="3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67"/>
              <w:spacing w:after="0"/>
              <w:rPr>
                <w:sz w:val="20"/>
                <w:szCs w:val="20"/>
                <w:color w:val="auto"/>
              </w:rPr>
            </w:pPr>
            <w:r>
              <w:rPr>
                <w:rFonts w:ascii="Arial" w:cs="Arial" w:eastAsia="Arial" w:hAnsi="Arial"/>
                <w:sz w:val="12"/>
                <w:szCs w:val="12"/>
                <w:b w:val="1"/>
                <w:bCs w:val="1"/>
                <w:color w:val="auto"/>
              </w:rPr>
              <w:t>Less Than 12 Months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12 Months or Longer</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040" w:type="dxa"/>
            <w:vAlign w:val="bottom"/>
            <w:tcBorders>
              <w:bottom w:val="single" w:sz="8" w:color="auto"/>
            </w:tcBorders>
          </w:tcPr>
          <w:p>
            <w:pPr>
              <w:spacing w:after="0"/>
              <w:rPr>
                <w:sz w:val="16"/>
                <w:szCs w:val="16"/>
                <w:color w:val="auto"/>
              </w:rPr>
            </w:pPr>
          </w:p>
        </w:tc>
      </w:tr>
      <w:tr>
        <w:trPr>
          <w:trHeight w:val="154"/>
        </w:trPr>
        <w:tc>
          <w:tcPr>
            <w:tcW w:w="3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b w:val="1"/>
                <w:bCs w:val="1"/>
                <w:color w:val="auto"/>
              </w:rPr>
              <w:t>Unrealized</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209"/>
              <w:spacing w:after="0"/>
              <w:rPr>
                <w:sz w:val="20"/>
                <w:szCs w:val="20"/>
                <w:color w:val="auto"/>
              </w:rPr>
            </w:pPr>
            <w:r>
              <w:rPr>
                <w:rFonts w:ascii="Arial" w:cs="Arial" w:eastAsia="Arial" w:hAnsi="Arial"/>
                <w:sz w:val="12"/>
                <w:szCs w:val="12"/>
                <w:b w:val="1"/>
                <w:bCs w:val="1"/>
                <w:color w:val="auto"/>
              </w:rPr>
              <w:t>Unrealized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147"/>
              <w:spacing w:after="0"/>
              <w:rPr>
                <w:sz w:val="20"/>
                <w:szCs w:val="20"/>
                <w:color w:val="auto"/>
              </w:rPr>
            </w:pPr>
            <w:r>
              <w:rPr>
                <w:rFonts w:ascii="Arial" w:cs="Arial" w:eastAsia="Arial" w:hAnsi="Arial"/>
                <w:sz w:val="12"/>
                <w:szCs w:val="12"/>
                <w:b w:val="1"/>
                <w:bCs w:val="1"/>
                <w:color w:val="auto"/>
              </w:rPr>
              <w:t>Unrealized</w:t>
            </w:r>
          </w:p>
        </w:tc>
      </w:tr>
      <w:tr>
        <w:trPr>
          <w:trHeight w:val="195"/>
        </w:trPr>
        <w:tc>
          <w:tcPr>
            <w:tcW w:w="33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2"/>
                <w:szCs w:val="12"/>
                <w:b w:val="1"/>
                <w:bCs w:val="1"/>
                <w:color w:val="auto"/>
              </w:rPr>
              <w:t>Fair Value</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ind w:right="127"/>
              <w:spacing w:after="0"/>
              <w:rPr>
                <w:sz w:val="20"/>
                <w:szCs w:val="20"/>
                <w:color w:val="auto"/>
              </w:rPr>
            </w:pPr>
            <w:r>
              <w:rPr>
                <w:rFonts w:ascii="Arial" w:cs="Arial" w:eastAsia="Arial" w:hAnsi="Arial"/>
                <w:sz w:val="12"/>
                <w:szCs w:val="12"/>
                <w:b w:val="1"/>
                <w:bCs w:val="1"/>
                <w:color w:val="auto"/>
              </w:rPr>
              <w:t>Losses</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Fair Value</w:t>
            </w:r>
          </w:p>
        </w:tc>
        <w:tc>
          <w:tcPr>
            <w:tcW w:w="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209"/>
              <w:spacing w:after="0"/>
              <w:rPr>
                <w:sz w:val="20"/>
                <w:szCs w:val="20"/>
                <w:color w:val="auto"/>
              </w:rPr>
            </w:pPr>
            <w:r>
              <w:rPr>
                <w:rFonts w:ascii="Arial" w:cs="Arial" w:eastAsia="Arial" w:hAnsi="Arial"/>
                <w:sz w:val="12"/>
                <w:szCs w:val="12"/>
                <w:b w:val="1"/>
                <w:bCs w:val="1"/>
                <w:color w:val="auto"/>
              </w:rPr>
              <w:t>Losses</w:t>
            </w: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2"/>
                <w:szCs w:val="12"/>
                <w:b w:val="1"/>
                <w:bCs w:val="1"/>
                <w:color w:val="auto"/>
              </w:rPr>
              <w:t>Fair Value</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ind w:right="147"/>
              <w:spacing w:after="0"/>
              <w:rPr>
                <w:sz w:val="20"/>
                <w:szCs w:val="20"/>
                <w:color w:val="auto"/>
              </w:rPr>
            </w:pPr>
            <w:r>
              <w:rPr>
                <w:rFonts w:ascii="Arial" w:cs="Arial" w:eastAsia="Arial" w:hAnsi="Arial"/>
                <w:sz w:val="12"/>
                <w:szCs w:val="12"/>
                <w:b w:val="1"/>
                <w:bCs w:val="1"/>
                <w:color w:val="auto"/>
              </w:rPr>
              <w:t>Losses</w:t>
            </w:r>
          </w:p>
        </w:tc>
      </w:tr>
      <w:tr>
        <w:trPr>
          <w:trHeight w:val="205"/>
        </w:trPr>
        <w:tc>
          <w:tcPr>
            <w:tcW w:w="3380" w:type="dxa"/>
            <w:vAlign w:val="bottom"/>
          </w:tcPr>
          <w:p>
            <w:pPr>
              <w:spacing w:after="0"/>
              <w:rPr>
                <w:sz w:val="20"/>
                <w:szCs w:val="20"/>
                <w:color w:val="auto"/>
              </w:rPr>
            </w:pPr>
            <w:r>
              <w:rPr>
                <w:rFonts w:ascii="Arial" w:cs="Arial" w:eastAsia="Arial" w:hAnsi="Arial"/>
                <w:sz w:val="16"/>
                <w:szCs w:val="16"/>
                <w:color w:val="auto"/>
              </w:rPr>
              <w:t>Commercial paper</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139,980</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9"/>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139,980</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74,746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74,746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U.S. government treasury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95,038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 government agency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122,231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122,231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05"/>
        </w:trPr>
        <w:tc>
          <w:tcPr>
            <w:tcW w:w="3380" w:type="dxa"/>
            <w:vAlign w:val="bottom"/>
          </w:tcPr>
          <w:p>
            <w:pPr>
              <w:spacing w:after="0"/>
              <w:rPr>
                <w:sz w:val="20"/>
                <w:szCs w:val="20"/>
                <w:color w:val="auto"/>
              </w:rPr>
            </w:pPr>
            <w:r>
              <w:rPr>
                <w:rFonts w:ascii="Arial" w:cs="Arial" w:eastAsia="Arial" w:hAnsi="Arial"/>
                <w:sz w:val="16"/>
                <w:szCs w:val="16"/>
                <w:color w:val="auto"/>
              </w:rPr>
              <w:t>Total marketable securities</w:t>
            </w: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431,995</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ind w:right="80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431,995</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w:t>
            </w: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9"/>
        </w:trPr>
        <w:tc>
          <w:tcPr>
            <w:tcW w:w="3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2"/>
                <w:szCs w:val="12"/>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0"/>
        </w:trPr>
        <w:tc>
          <w:tcPr>
            <w:tcW w:w="3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67"/>
              <w:spacing w:after="0"/>
              <w:rPr>
                <w:sz w:val="20"/>
                <w:szCs w:val="20"/>
                <w:color w:val="auto"/>
              </w:rPr>
            </w:pPr>
            <w:r>
              <w:rPr>
                <w:rFonts w:ascii="Arial" w:cs="Arial" w:eastAsia="Arial" w:hAnsi="Arial"/>
                <w:sz w:val="12"/>
                <w:szCs w:val="12"/>
                <w:b w:val="1"/>
                <w:bCs w:val="1"/>
                <w:color w:val="auto"/>
              </w:rPr>
              <w:t>Less Than 12 Months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12 Months or Longer</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040" w:type="dxa"/>
            <w:vAlign w:val="bottom"/>
            <w:tcBorders>
              <w:bottom w:val="single" w:sz="8" w:color="auto"/>
            </w:tcBorders>
          </w:tcPr>
          <w:p>
            <w:pPr>
              <w:spacing w:after="0"/>
              <w:rPr>
                <w:sz w:val="16"/>
                <w:szCs w:val="16"/>
                <w:color w:val="auto"/>
              </w:rPr>
            </w:pPr>
          </w:p>
        </w:tc>
      </w:tr>
      <w:tr>
        <w:trPr>
          <w:trHeight w:val="154"/>
        </w:trPr>
        <w:tc>
          <w:tcPr>
            <w:tcW w:w="3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b w:val="1"/>
                <w:bCs w:val="1"/>
                <w:color w:val="auto"/>
              </w:rPr>
              <w:t>Unrealized</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209"/>
              <w:spacing w:after="0"/>
              <w:rPr>
                <w:sz w:val="20"/>
                <w:szCs w:val="20"/>
                <w:color w:val="auto"/>
              </w:rPr>
            </w:pPr>
            <w:r>
              <w:rPr>
                <w:rFonts w:ascii="Arial" w:cs="Arial" w:eastAsia="Arial" w:hAnsi="Arial"/>
                <w:sz w:val="12"/>
                <w:szCs w:val="12"/>
                <w:b w:val="1"/>
                <w:bCs w:val="1"/>
                <w:color w:val="auto"/>
              </w:rPr>
              <w:t>Unrealized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147"/>
              <w:spacing w:after="0"/>
              <w:rPr>
                <w:sz w:val="20"/>
                <w:szCs w:val="20"/>
                <w:color w:val="auto"/>
              </w:rPr>
            </w:pPr>
            <w:r>
              <w:rPr>
                <w:rFonts w:ascii="Arial" w:cs="Arial" w:eastAsia="Arial" w:hAnsi="Arial"/>
                <w:sz w:val="12"/>
                <w:szCs w:val="12"/>
                <w:b w:val="1"/>
                <w:bCs w:val="1"/>
                <w:color w:val="auto"/>
              </w:rPr>
              <w:t>Unrealized</w:t>
            </w:r>
          </w:p>
        </w:tc>
      </w:tr>
      <w:tr>
        <w:trPr>
          <w:trHeight w:val="189"/>
        </w:trPr>
        <w:tc>
          <w:tcPr>
            <w:tcW w:w="3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b w:val="1"/>
                <w:bCs w:val="1"/>
                <w:color w:val="auto"/>
              </w:rPr>
              <w:t>Fair Value</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b w:val="1"/>
                <w:bCs w:val="1"/>
                <w:color w:val="auto"/>
              </w:rPr>
              <w:t>Losses</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rPr>
              <w:t>Fair Value</w:t>
            </w:r>
          </w:p>
        </w:tc>
        <w:tc>
          <w:tcPr>
            <w:tcW w:w="980" w:type="dxa"/>
            <w:vAlign w:val="bottom"/>
            <w:shd w:val="clear" w:color="auto" w:fill="CCEEFF"/>
          </w:tcPr>
          <w:p>
            <w:pPr>
              <w:jc w:val="center"/>
              <w:ind w:left="209"/>
              <w:spacing w:after="0"/>
              <w:rPr>
                <w:sz w:val="20"/>
                <w:szCs w:val="20"/>
                <w:color w:val="auto"/>
              </w:rPr>
            </w:pPr>
            <w:r>
              <w:rPr>
                <w:rFonts w:ascii="Arial" w:cs="Arial" w:eastAsia="Arial" w:hAnsi="Arial"/>
                <w:sz w:val="12"/>
                <w:szCs w:val="12"/>
                <w:b w:val="1"/>
                <w:bCs w:val="1"/>
                <w:color w:val="auto"/>
              </w:rPr>
              <w:t>Losses</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b w:val="1"/>
                <w:bCs w:val="1"/>
                <w:color w:val="auto"/>
              </w:rPr>
              <w:t>Fair Value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147"/>
              <w:spacing w:after="0"/>
              <w:rPr>
                <w:sz w:val="20"/>
                <w:szCs w:val="20"/>
                <w:color w:val="auto"/>
              </w:rPr>
            </w:pPr>
            <w:r>
              <w:rPr>
                <w:rFonts w:ascii="Arial" w:cs="Arial" w:eastAsia="Arial" w:hAnsi="Arial"/>
                <w:sz w:val="12"/>
                <w:szCs w:val="12"/>
                <w:b w:val="1"/>
                <w:bCs w:val="1"/>
                <w:color w:val="auto"/>
              </w:rPr>
              <w:t>Losses</w:t>
            </w:r>
          </w:p>
        </w:tc>
      </w:tr>
      <w:tr>
        <w:trPr>
          <w:trHeight w:val="220"/>
        </w:trPr>
        <w:tc>
          <w:tcPr>
            <w:tcW w:w="3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r>
      <w:tr>
        <w:trPr>
          <w:trHeight w:val="205"/>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paper</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99,837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Corporate bonds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58,296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 government agency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5"/>
        </w:trPr>
        <w:tc>
          <w:tcPr>
            <w:tcW w:w="3380" w:type="dxa"/>
            <w:vAlign w:val="bottom"/>
          </w:tcPr>
          <w:p>
            <w:pPr>
              <w:spacing w:after="0"/>
              <w:rPr>
                <w:sz w:val="20"/>
                <w:szCs w:val="20"/>
                <w:color w:val="auto"/>
              </w:rPr>
            </w:pPr>
            <w:r>
              <w:rPr>
                <w:rFonts w:ascii="Arial" w:cs="Arial" w:eastAsia="Arial" w:hAnsi="Arial"/>
                <w:sz w:val="16"/>
                <w:szCs w:val="16"/>
                <w:color w:val="auto"/>
              </w:rPr>
              <w:t>Total marketable securities</w:t>
            </w: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180,961</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ind w:right="80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180,961</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561"/>
        <w:spacing w:after="0" w:line="295" w:lineRule="auto"/>
        <w:rPr>
          <w:sz w:val="20"/>
          <w:szCs w:val="20"/>
          <w:color w:val="auto"/>
        </w:rPr>
      </w:pPr>
      <w:r>
        <w:rPr>
          <w:rFonts w:ascii="Arial" w:cs="Arial" w:eastAsia="Arial" w:hAnsi="Arial"/>
          <w:sz w:val="14"/>
          <w:szCs w:val="14"/>
          <w:color w:val="auto"/>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does not expect it will be required to sell the securities before recovery of the unamortized cost basis. As of March 31, 2026 and December 31, 2025, an allowance for credit losses had not been recognized. Given the Company's intent and ability to hold such securities until recovery, and the lack of significant change in credit risk of these investments, the Company does not consider these marketable securities to be impaired as of March 31, 2026 and December 31,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15" w:name="page16"/>
    <w:bookmarkEnd w:id="15"/>
    <w:p>
      <w:pPr>
        <w:jc w:val="both"/>
        <w:ind w:firstLine="561"/>
        <w:spacing w:after="0" w:line="257" w:lineRule="auto"/>
        <w:rPr>
          <w:sz w:val="20"/>
          <w:szCs w:val="20"/>
          <w:color w:val="auto"/>
        </w:rPr>
      </w:pPr>
      <w:r>
        <w:rPr>
          <w:rFonts w:ascii="Arial" w:cs="Arial" w:eastAsia="Arial" w:hAnsi="Arial"/>
          <w:sz w:val="16"/>
          <w:szCs w:val="16"/>
          <w:color w:val="auto"/>
        </w:rPr>
        <w:t>The financial instruments that potentially subject the Company to a concentration of credit risk consist principally of cash deposits. Accounts at each of the Company's two U.S. banking institutions are insured by the Federal Deposit Insurance Corporation (“FDIC”) up to $250,000 per depositor. As of March 31, 2026 and December 31, 2025, cash deposits at the Company's U.S. banking institutions exceeded the FDIC limits.</w:t>
      </w:r>
    </w:p>
    <w:p>
      <w:pPr>
        <w:spacing w:after="0" w:line="157" w:lineRule="exact"/>
        <w:rPr>
          <w:sz w:val="20"/>
          <w:szCs w:val="20"/>
          <w:color w:val="auto"/>
        </w:rPr>
      </w:pPr>
    </w:p>
    <w:p>
      <w:pPr>
        <w:jc w:val="both"/>
        <w:ind w:right="20" w:firstLine="561"/>
        <w:spacing w:after="0" w:line="257" w:lineRule="auto"/>
        <w:rPr>
          <w:sz w:val="20"/>
          <w:szCs w:val="20"/>
          <w:color w:val="auto"/>
        </w:rPr>
      </w:pPr>
      <w:r>
        <w:rPr>
          <w:rFonts w:ascii="Arial" w:cs="Arial" w:eastAsia="Arial" w:hAnsi="Arial"/>
          <w:sz w:val="16"/>
          <w:szCs w:val="16"/>
          <w:color w:val="auto"/>
        </w:rPr>
        <w:t>There were no realized gains or losses on marketable securities for both the three months ended March 31, 2026 and 2025. Interest on marketable securities is included in interest income. Accrued interest receivable on available-for-sale debt securities as of March 31, 2026 and December 31, 2025, was $4.6 million and $4.5 million, respectively, and is reflected in Prepaid expenses and other current assets.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contractual maturities of the Company’s marketable securities at estimated fair value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68"/>
              <w:spacing w:after="0"/>
              <w:rPr>
                <w:sz w:val="20"/>
                <w:szCs w:val="20"/>
                <w:color w:val="auto"/>
              </w:rPr>
            </w:pPr>
            <w:r>
              <w:rPr>
                <w:rFonts w:ascii="Arial" w:cs="Arial" w:eastAsia="Arial" w:hAnsi="Arial"/>
                <w:sz w:val="12"/>
                <w:szCs w:val="12"/>
                <w:b w:val="1"/>
                <w:bCs w:val="1"/>
                <w:color w:val="auto"/>
              </w:rPr>
              <w:t>December 31,</w:t>
            </w:r>
          </w:p>
        </w:tc>
      </w:tr>
      <w:tr>
        <w:trPr>
          <w:trHeight w:val="177"/>
        </w:trPr>
        <w:tc>
          <w:tcPr>
            <w:tcW w:w="8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2025</w:t>
            </w:r>
          </w:p>
        </w:tc>
      </w:tr>
      <w:tr>
        <w:trPr>
          <w:trHeight w:val="212"/>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in one year or less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419,203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440,895</w:t>
            </w:r>
          </w:p>
        </w:tc>
      </w:tr>
      <w:tr>
        <w:trPr>
          <w:trHeight w:val="214"/>
        </w:trPr>
        <w:tc>
          <w:tcPr>
            <w:tcW w:w="8200" w:type="dxa"/>
            <w:vAlign w:val="bottom"/>
          </w:tcPr>
          <w:p>
            <w:pPr>
              <w:spacing w:after="0"/>
              <w:rPr>
                <w:sz w:val="20"/>
                <w:szCs w:val="20"/>
                <w:color w:val="auto"/>
              </w:rPr>
            </w:pPr>
            <w:r>
              <w:rPr>
                <w:rFonts w:ascii="Arial" w:cs="Arial" w:eastAsia="Arial" w:hAnsi="Arial"/>
                <w:sz w:val="16"/>
                <w:szCs w:val="16"/>
                <w:color w:val="auto"/>
              </w:rPr>
              <w:t>Due in 1 - 2 years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6"/>
                <w:szCs w:val="16"/>
                <w:color w:val="auto"/>
              </w:rPr>
              <w:t>229,917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marketable securities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670,812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The Company may sell investments at any time for use in current operations even if they have not yet reached maturity. As a result, the Company classifies marketable securities, including securities with maturities beyond twelve months as current assets.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Accrued and Other Current Liabilities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2"/>
                <w:szCs w:val="12"/>
                <w:color w:val="auto"/>
              </w:rPr>
            </w:pPr>
          </w:p>
        </w:tc>
        <w:tc>
          <w:tcPr>
            <w:tcW w:w="1260" w:type="dxa"/>
            <w:vAlign w:val="bottom"/>
          </w:tcPr>
          <w:p>
            <w:pPr>
              <w:jc w:val="right"/>
              <w:ind w:right="267"/>
              <w:spacing w:after="0"/>
              <w:rPr>
                <w:sz w:val="20"/>
                <w:szCs w:val="20"/>
                <w:color w:val="auto"/>
              </w:rPr>
            </w:pPr>
            <w:r>
              <w:rPr>
                <w:rFonts w:ascii="Arial" w:cs="Arial" w:eastAsia="Arial" w:hAnsi="Arial"/>
                <w:sz w:val="12"/>
                <w:szCs w:val="12"/>
                <w:b w:val="1"/>
                <w:bCs w:val="1"/>
                <w:color w:val="auto"/>
              </w:rPr>
              <w:t>December 31,</w:t>
            </w:r>
          </w:p>
        </w:tc>
      </w:tr>
      <w:tr>
        <w:trPr>
          <w:trHeight w:val="171"/>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27"/>
              <w:spacing w:after="0"/>
              <w:rPr>
                <w:sz w:val="20"/>
                <w:szCs w:val="20"/>
                <w:color w:val="auto"/>
              </w:rPr>
            </w:pPr>
            <w:r>
              <w:rPr>
                <w:rFonts w:ascii="Arial" w:cs="Arial" w:eastAsia="Arial" w:hAnsi="Arial"/>
                <w:sz w:val="12"/>
                <w:szCs w:val="12"/>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27"/>
              <w:spacing w:after="0"/>
              <w:rPr>
                <w:sz w:val="20"/>
                <w:szCs w:val="20"/>
                <w:color w:val="auto"/>
              </w:rPr>
            </w:pPr>
            <w:r>
              <w:rPr>
                <w:rFonts w:ascii="Arial" w:cs="Arial" w:eastAsia="Arial" w:hAnsi="Arial"/>
                <w:sz w:val="12"/>
                <w:szCs w:val="12"/>
                <w:b w:val="1"/>
                <w:bCs w:val="1"/>
                <w:color w:val="auto"/>
              </w:rPr>
              <w:t>2025</w:t>
            </w:r>
          </w:p>
        </w:tc>
      </w:tr>
      <w:tr>
        <w:trPr>
          <w:trHeight w:val="24"/>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7,940</w:t>
            </w:r>
          </w:p>
        </w:tc>
      </w:tr>
      <w:tr>
        <w:trPr>
          <w:trHeight w:val="214"/>
        </w:trPr>
        <w:tc>
          <w:tcPr>
            <w:tcW w:w="8200" w:type="dxa"/>
            <w:vAlign w:val="bottom"/>
          </w:tcPr>
          <w:p>
            <w:pPr>
              <w:spacing w:after="0"/>
              <w:rPr>
                <w:sz w:val="20"/>
                <w:szCs w:val="20"/>
                <w:color w:val="auto"/>
              </w:rPr>
            </w:pPr>
            <w:r>
              <w:rPr>
                <w:rFonts w:ascii="Arial" w:cs="Arial" w:eastAsia="Arial" w:hAnsi="Arial"/>
                <w:sz w:val="16"/>
                <w:szCs w:val="16"/>
                <w:color w:val="auto"/>
              </w:rPr>
              <w:t>Accrued contracted research and development costs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7"/>
              <w:spacing w:after="0"/>
              <w:rPr>
                <w:sz w:val="20"/>
                <w:szCs w:val="20"/>
                <w:color w:val="auto"/>
              </w:rPr>
            </w:pPr>
            <w:r>
              <w:rPr>
                <w:rFonts w:ascii="Arial" w:cs="Arial" w:eastAsia="Arial" w:hAnsi="Arial"/>
                <w:sz w:val="16"/>
                <w:szCs w:val="16"/>
                <w:color w:val="auto"/>
              </w:rPr>
              <w:t>17,424</w:t>
            </w:r>
          </w:p>
        </w:tc>
      </w:tr>
      <w:tr>
        <w:trPr>
          <w:trHeight w:val="20"/>
        </w:trPr>
        <w:tc>
          <w:tcPr>
            <w:tcW w:w="8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4"/>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professional and consulting fees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1,404</w:t>
            </w:r>
          </w:p>
        </w:tc>
      </w:tr>
      <w:tr>
        <w:trPr>
          <w:trHeight w:val="214"/>
        </w:trPr>
        <w:tc>
          <w:tcPr>
            <w:tcW w:w="8200" w:type="dxa"/>
            <w:vAlign w:val="bottom"/>
          </w:tcPr>
          <w:p>
            <w:pPr>
              <w:spacing w:after="0"/>
              <w:rPr>
                <w:sz w:val="20"/>
                <w:szCs w:val="20"/>
                <w:color w:val="auto"/>
              </w:rPr>
            </w:pPr>
            <w:r>
              <w:rPr>
                <w:rFonts w:ascii="Arial" w:cs="Arial" w:eastAsia="Arial" w:hAnsi="Arial"/>
                <w:sz w:val="16"/>
                <w:szCs w:val="16"/>
                <w:color w:val="auto"/>
              </w:rPr>
              <w:t>Accrued other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7"/>
              <w:spacing w:after="0"/>
              <w:rPr>
                <w:sz w:val="20"/>
                <w:szCs w:val="20"/>
                <w:color w:val="auto"/>
              </w:rPr>
            </w:pPr>
            <w:r>
              <w:rPr>
                <w:rFonts w:ascii="Arial" w:cs="Arial" w:eastAsia="Arial" w:hAnsi="Arial"/>
                <w:sz w:val="16"/>
                <w:szCs w:val="16"/>
                <w:color w:val="auto"/>
              </w:rPr>
              <w:t>179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accrued and other current liabilities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26,947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Licensing Agreements</w:t>
      </w:r>
    </w:p>
    <w:p>
      <w:pPr>
        <w:spacing w:after="0" w:line="285"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On July 12, 2023, December 14, 2023, and June 5, 2024, the Company exercised the Option (as defined below) available under the antibody discovery and option agreement, dated May 25, 2023 and subsequently amended and restated on September 29, 2023 and May 14, 2024, by and among the Company, Paragon Therapeutics, Inc. (“Paragon”) and Parapyre Holding LLC (“Parapyre”) (as amended, the “Paragon Agreement”) with respect to the SPY001, SPY002 and SPY072, and SPY003 research programs, respectively.</w:t>
      </w:r>
    </w:p>
    <w:p>
      <w:pPr>
        <w:spacing w:after="0" w:line="162"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On May 14, 2024, the Company and Paragon entered into (i) a license agreement (the “SPY001 License Agreement”), pursuant to which Paragon granted the Company a royalty-bearing, world-wide, exclusive license to develop, manufacture, commercialize or otherwise exploit certain antibodies and products targeting α4ß7 integrin and (ii) a license agreement (the “SPY002 and SPY072 License Agreement”), pursuant to which Paragon granted the Company a royalty-bearing, world-wide, exclusive license to develop, manufacture, commercialize or otherwise exploit certain antibodies and products targeting TL1A, respectively, which includes the Company's SPY002 and SPY072 product candidates.</w:t>
      </w:r>
    </w:p>
    <w:p>
      <w:pPr>
        <w:spacing w:after="0" w:line="163"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On October 11, 2024, the Company and Paragon entered into a license agreement (as amended, the “SPY003 License Agreement”, and together with the SPY001 License Agreement and the SPY002 and SPY072 License Agreement, the “License Agreements”), pursuant to which Paragon granted the Company a royalty-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6"/>
          <w:szCs w:val="16"/>
          <w:color w:val="auto"/>
        </w:rPr>
        <w:t>bearing, world-wide, exclusive license to develop, manufacture, commercialize or otherwise exploit certain antibodies and products targeting IL-23 in the field of IBD.</w:t>
      </w:r>
    </w:p>
    <w:p>
      <w:pPr>
        <w:spacing w:after="0" w:line="145"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On February 24, 2025, the SPY003 License Agreement was amended and restated to, among other things, clarify each party's rights and obligations with respect to license exclusivity and patent prosecution.</w:t>
      </w:r>
    </w:p>
    <w:p>
      <w:pPr>
        <w:spacing w:after="0" w:line="145"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Under the terms of each License Agreement, the Company is obligated to pay Paragon up to $22.0 million based on specific development, regulatory and clinical milestones for the first product under each agreement, respectively, that achieves such specified milestones, including a milestone payment of $3.0 million upon the first dosing of a human patient in a Phase 2 trial. In addition, the following summarizes other key terms of each License Agreement:</w:t>
      </w:r>
    </w:p>
    <w:p>
      <w:pPr>
        <w:spacing w:after="0" w:line="192" w:lineRule="exact"/>
        <w:rPr>
          <w:sz w:val="20"/>
          <w:szCs w:val="20"/>
          <w:color w:val="auto"/>
        </w:rPr>
      </w:pPr>
    </w:p>
    <w:p>
      <w:pPr>
        <w:ind w:left="560" w:hanging="286"/>
        <w:spacing w:after="0" w:line="233" w:lineRule="auto"/>
        <w:tabs>
          <w:tab w:leader="none" w:pos="555" w:val="left"/>
        </w:tabs>
        <w:numPr>
          <w:ilvl w:val="0"/>
          <w:numId w:val="4"/>
        </w:numPr>
        <w:rPr>
          <w:rFonts w:ascii="Times New Roman" w:cs="Times New Roman" w:eastAsia="Times New Roman" w:hAnsi="Times New Roman"/>
          <w:sz w:val="19"/>
          <w:szCs w:val="19"/>
          <w:color w:val="auto"/>
        </w:rPr>
      </w:pPr>
      <w:r>
        <w:rPr>
          <w:rFonts w:ascii="Arial" w:cs="Arial" w:eastAsia="Arial" w:hAnsi="Arial"/>
          <w:sz w:val="16"/>
          <w:szCs w:val="16"/>
          <w:color w:val="auto"/>
        </w:rPr>
        <w:t>Paragon will provide the Company with an exclusive license (such license, with respect to the SPY003 License Agreement only, being limited to the field of IBD) to its patents covering the related antibody, the method of use and its method of manufacture.</w:t>
      </w:r>
    </w:p>
    <w:p>
      <w:pPr>
        <w:spacing w:after="0" w:line="18" w:lineRule="exact"/>
        <w:rPr>
          <w:rFonts w:ascii="Times New Roman" w:cs="Times New Roman" w:eastAsia="Times New Roman" w:hAnsi="Times New Roman"/>
          <w:sz w:val="19"/>
          <w:szCs w:val="19"/>
          <w:color w:val="auto"/>
        </w:rPr>
      </w:pPr>
    </w:p>
    <w:p>
      <w:pPr>
        <w:ind w:left="560" w:right="20" w:hanging="286"/>
        <w:spacing w:after="0" w:line="233" w:lineRule="auto"/>
        <w:tabs>
          <w:tab w:leader="none" w:pos="555" w:val="left"/>
        </w:tabs>
        <w:numPr>
          <w:ilvl w:val="0"/>
          <w:numId w:val="4"/>
        </w:numPr>
        <w:rPr>
          <w:rFonts w:ascii="Arial" w:cs="Arial" w:eastAsia="Arial" w:hAnsi="Arial"/>
          <w:sz w:val="19"/>
          <w:szCs w:val="19"/>
          <w:color w:val="auto"/>
        </w:rPr>
      </w:pPr>
      <w:r>
        <w:rPr>
          <w:rFonts w:ascii="Arial" w:cs="Arial" w:eastAsia="Arial" w:hAnsi="Arial"/>
          <w:sz w:val="16"/>
          <w:szCs w:val="16"/>
          <w:color w:val="auto"/>
        </w:rPr>
        <w:t>Paragon will not conduct any new campaigns that generate anti-α4ß7 or anti-TL1A monospecific antibodies in any field or anti-IL-23 monospecific antibodies in the field of IBD, in each case for at least 5 years.</w:t>
      </w:r>
    </w:p>
    <w:p>
      <w:pPr>
        <w:spacing w:after="0" w:line="18" w:lineRule="exact"/>
        <w:rPr>
          <w:rFonts w:ascii="Arial" w:cs="Arial" w:eastAsia="Arial" w:hAnsi="Arial"/>
          <w:sz w:val="19"/>
          <w:szCs w:val="19"/>
          <w:color w:val="auto"/>
        </w:rPr>
      </w:pPr>
    </w:p>
    <w:p>
      <w:pPr>
        <w:ind w:left="560" w:right="20" w:hanging="286"/>
        <w:spacing w:after="0"/>
        <w:tabs>
          <w:tab w:leader="none" w:pos="555" w:val="left"/>
        </w:tabs>
        <w:numPr>
          <w:ilvl w:val="0"/>
          <w:numId w:val="4"/>
        </w:numPr>
        <w:rPr>
          <w:rFonts w:ascii="Arial" w:cs="Arial" w:eastAsia="Arial" w:hAnsi="Arial"/>
          <w:sz w:val="19"/>
          <w:szCs w:val="19"/>
          <w:color w:val="auto"/>
        </w:rPr>
      </w:pPr>
      <w:r>
        <w:rPr>
          <w:rFonts w:ascii="Arial" w:cs="Arial" w:eastAsia="Arial" w:hAnsi="Arial"/>
          <w:sz w:val="16"/>
          <w:szCs w:val="16"/>
          <w:color w:val="auto"/>
        </w:rPr>
        <w:t>The Company will pay Paragon a low single-digit percentage royalty for single antibody products and a mid single-digit percentage royalty for products containing more than one antibody from Paragon.</w:t>
      </w:r>
    </w:p>
    <w:p>
      <w:pPr>
        <w:spacing w:after="0" w:line="4" w:lineRule="exact"/>
        <w:rPr>
          <w:rFonts w:ascii="Arial" w:cs="Arial" w:eastAsia="Arial" w:hAnsi="Arial"/>
          <w:sz w:val="19"/>
          <w:szCs w:val="19"/>
          <w:color w:val="auto"/>
        </w:rPr>
      </w:pPr>
    </w:p>
    <w:p>
      <w:pPr>
        <w:ind w:left="540" w:hanging="266"/>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6"/>
          <w:szCs w:val="16"/>
          <w:color w:val="auto"/>
        </w:rPr>
        <w:t>There is a royalty step-down of 1/3rd if there is no Paragon patent in effect during the royalty term.</w:t>
      </w:r>
    </w:p>
    <w:p>
      <w:pPr>
        <w:spacing w:after="0" w:line="17" w:lineRule="exact"/>
        <w:rPr>
          <w:rFonts w:ascii="Arial" w:cs="Arial" w:eastAsia="Arial" w:hAnsi="Arial"/>
          <w:sz w:val="19"/>
          <w:szCs w:val="19"/>
          <w:color w:val="auto"/>
        </w:rPr>
      </w:pPr>
    </w:p>
    <w:p>
      <w:pPr>
        <w:ind w:left="560" w:hanging="286"/>
        <w:spacing w:after="0" w:line="233" w:lineRule="auto"/>
        <w:tabs>
          <w:tab w:leader="none" w:pos="555" w:val="left"/>
        </w:tabs>
        <w:numPr>
          <w:ilvl w:val="0"/>
          <w:numId w:val="4"/>
        </w:numPr>
        <w:rPr>
          <w:rFonts w:ascii="Arial" w:cs="Arial" w:eastAsia="Arial" w:hAnsi="Arial"/>
          <w:sz w:val="19"/>
          <w:szCs w:val="19"/>
          <w:color w:val="auto"/>
        </w:rPr>
      </w:pPr>
      <w:r>
        <w:rPr>
          <w:rFonts w:ascii="Arial" w:cs="Arial" w:eastAsia="Arial" w:hAnsi="Arial"/>
          <w:sz w:val="16"/>
          <w:szCs w:val="16"/>
          <w:color w:val="auto"/>
        </w:rPr>
        <w:t>The royalty term ends on the later of (i) the last-to-expire licensed patent or Company patent directed to the manufacture, use or sale of a licensed antibody in the country at issue or (ii) 12 years from the date of first sale of a Company product.</w:t>
      </w:r>
    </w:p>
    <w:p>
      <w:pPr>
        <w:spacing w:after="0" w:line="18" w:lineRule="exact"/>
        <w:rPr>
          <w:rFonts w:ascii="Arial" w:cs="Arial" w:eastAsia="Arial" w:hAnsi="Arial"/>
          <w:sz w:val="19"/>
          <w:szCs w:val="19"/>
          <w:color w:val="auto"/>
        </w:rPr>
      </w:pPr>
    </w:p>
    <w:p>
      <w:pPr>
        <w:ind w:left="560" w:hanging="286"/>
        <w:spacing w:after="0" w:line="233" w:lineRule="auto"/>
        <w:tabs>
          <w:tab w:leader="none" w:pos="555" w:val="left"/>
        </w:tabs>
        <w:numPr>
          <w:ilvl w:val="0"/>
          <w:numId w:val="4"/>
        </w:numPr>
        <w:rPr>
          <w:rFonts w:ascii="Arial" w:cs="Arial" w:eastAsia="Arial" w:hAnsi="Arial"/>
          <w:sz w:val="19"/>
          <w:szCs w:val="19"/>
          <w:color w:val="auto"/>
        </w:rPr>
      </w:pPr>
      <w:r>
        <w:rPr>
          <w:rFonts w:ascii="Arial" w:cs="Arial" w:eastAsia="Arial" w:hAnsi="Arial"/>
          <w:sz w:val="16"/>
          <w:szCs w:val="16"/>
          <w:color w:val="auto"/>
        </w:rPr>
        <w:t>Agreement may be terminated on 60 days’ notice by the Company; on material breach without cure; and to the extent permitted by law, on a party’s insolvency or bankruptcy.</w:t>
      </w:r>
    </w:p>
    <w:p>
      <w:pPr>
        <w:spacing w:after="0" w:line="18" w:lineRule="exact"/>
        <w:rPr>
          <w:rFonts w:ascii="Arial" w:cs="Arial" w:eastAsia="Arial" w:hAnsi="Arial"/>
          <w:sz w:val="19"/>
          <w:szCs w:val="19"/>
          <w:color w:val="auto"/>
        </w:rPr>
      </w:pPr>
    </w:p>
    <w:p>
      <w:pPr>
        <w:ind w:left="560" w:right="20" w:hanging="286"/>
        <w:spacing w:after="0" w:line="233" w:lineRule="auto"/>
        <w:tabs>
          <w:tab w:leader="none" w:pos="555" w:val="left"/>
        </w:tabs>
        <w:numPr>
          <w:ilvl w:val="0"/>
          <w:numId w:val="4"/>
        </w:numPr>
        <w:rPr>
          <w:rFonts w:ascii="Arial" w:cs="Arial" w:eastAsia="Arial" w:hAnsi="Arial"/>
          <w:sz w:val="19"/>
          <w:szCs w:val="19"/>
          <w:color w:val="auto"/>
        </w:rPr>
      </w:pPr>
      <w:r>
        <w:rPr>
          <w:rFonts w:ascii="Arial" w:cs="Arial" w:eastAsia="Arial" w:hAnsi="Arial"/>
          <w:sz w:val="16"/>
          <w:szCs w:val="16"/>
          <w:color w:val="auto"/>
        </w:rPr>
        <w:t>With respect to the SPY002 and SPY072 License Agreement only, on a product by product basis, the Company will pay sublicensing fees of up to approximately $20 million upon the achievement of mostly commercial milestones.</w:t>
      </w:r>
    </w:p>
    <w:p>
      <w:pPr>
        <w:spacing w:after="0" w:line="169"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16"/>
          <w:szCs w:val="16"/>
          <w:color w:val="auto"/>
        </w:rPr>
        <w:t>The Company recognizes the expense associated with each milestone when the achievement of the milestone is deemed probable.</w:t>
      </w:r>
    </w:p>
    <w:p>
      <w:pPr>
        <w:spacing w:after="0" w:line="19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The Company recognized expense related to Paragon license milestone payments, recorded within Research and development expenses, in the accompanying condensed statement of operations of $3.0 million and $2.5 million for the three months ended March 31, 2026 and 2025, respectively.</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Company paid milestone payments to Paragon totaling $3.0 million and nil for the three months ended March 31, 2026 and 2025, respectively. As of March 31, 2026 and December 31, 2025, there were no milestone payments outstanding and payable to Paragon.</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Additionally, the Company did not recognize any sublicensing fees expense for the three months ended March 31, 2026 or 2025.</w:t>
      </w:r>
    </w:p>
    <w:p>
      <w:pPr>
        <w:spacing w:after="0" w:line="190"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Company paid sublicensing fees to Paragon totaling nil and $0.5 million for the three months ended March 31, 2026 and 2025, respectively. As of March 31, 2026 and December 31, 2025, there were no sublicensing fees outstanding and payable to Paragon.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Related Party Transactions</w:t>
      </w:r>
    </w:p>
    <w:p>
      <w:pPr>
        <w:spacing w:after="0" w:line="192"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Paragon and Parapyre each beneficially own less than 5% of a class of the Company's voting securities through their respective holdings of the Company's common stock. Fairmount Funds Management LLC (“Fairmount”) beneficially owns more than 5% of a class of the Company's voting securities, has two seats on the Board (held by Peter Harwin and Tomas Kiselak) and beneficially owns more than 5% of Paragon.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6"/>
          <w:szCs w:val="16"/>
          <w:color w:val="auto"/>
        </w:rPr>
        <w:t>Fairmount appointed Paragon's board of directors and has the contractual right to approve the appointment of any executive officers of Paragon. Parapyre is an entity formed by Paragon as a vehicle to hold equity in Spyre in order to share profits with certain employees of Paragon and will not perform any substantive role under the Paragon Agreement other than to receive warrants granted to Parapyre under the Paragon Agreement.</w:t>
      </w:r>
    </w:p>
    <w:p>
      <w:pPr>
        <w:spacing w:after="0" w:line="157"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The following is the summary of expenses related to the License Agreements and other Paragon reimbursable expenses, which are ultimately settled in cash (in millions) and recorded within Research and development in the consolidated statement of operations for the periods presented:</w:t>
      </w:r>
    </w:p>
    <w:p>
      <w:pPr>
        <w:spacing w:after="0" w:line="101"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22860</wp:posOffset>
            </wp:positionV>
            <wp:extent cx="19361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spacing w:after="0" w:line="39" w:lineRule="exact"/>
        <w:rPr>
          <w:sz w:val="20"/>
          <w:szCs w:val="20"/>
          <w:color w:val="auto"/>
        </w:rPr>
      </w:pPr>
    </w:p>
    <w:tbl>
      <w:tblPr>
        <w:tblLayout w:type="fixed"/>
        <w:tblInd w:w="144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80" w:type="dxa"/>
            <w:vAlign w:val="bottom"/>
          </w:tcPr>
          <w:p>
            <w:pPr>
              <w:jc w:val="right"/>
              <w:ind w:right="85"/>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2025</w:t>
            </w:r>
          </w:p>
        </w:tc>
      </w:tr>
      <w:tr>
        <w:trPr>
          <w:trHeight w:val="21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License Agreements milestone and sublicensing fees</w:t>
            </w:r>
          </w:p>
        </w:tc>
        <w:tc>
          <w:tcPr>
            <w:tcW w:w="1080" w:type="dxa"/>
            <w:vAlign w:val="bottom"/>
            <w:tcBorders>
              <w:bottom w:val="single" w:sz="8" w:color="CCEEFF"/>
            </w:tcBorders>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5320" w:type="dxa"/>
            <w:vAlign w:val="bottom"/>
          </w:tcPr>
          <w:p>
            <w:pPr>
              <w:spacing w:after="0"/>
              <w:rPr>
                <w:sz w:val="20"/>
                <w:szCs w:val="20"/>
                <w:color w:val="auto"/>
              </w:rPr>
            </w:pPr>
            <w:r>
              <w:rPr>
                <w:rFonts w:ascii="Arial" w:cs="Arial" w:eastAsia="Arial" w:hAnsi="Arial"/>
                <w:sz w:val="16"/>
                <w:szCs w:val="16"/>
                <w:color w:val="auto"/>
              </w:rPr>
              <w:t>Other Paragon reimbursable expenses</w:t>
            </w:r>
          </w:p>
        </w:tc>
        <w:tc>
          <w:tcPr>
            <w:tcW w:w="108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related party expense (excludes stock-based compensation)</w:t>
            </w:r>
          </w:p>
        </w:tc>
        <w:tc>
          <w:tcPr>
            <w:tcW w:w="108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the summary of Related party accounts payable and other current liabilities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2"/>
                <w:szCs w:val="12"/>
                <w:color w:val="auto"/>
              </w:rPr>
            </w:pPr>
          </w:p>
        </w:tc>
        <w:tc>
          <w:tcPr>
            <w:tcW w:w="1260" w:type="dxa"/>
            <w:vAlign w:val="bottom"/>
          </w:tcPr>
          <w:p>
            <w:pPr>
              <w:jc w:val="center"/>
              <w:ind w:right="170"/>
              <w:spacing w:after="0"/>
              <w:rPr>
                <w:sz w:val="20"/>
                <w:szCs w:val="20"/>
                <w:color w:val="auto"/>
              </w:rPr>
            </w:pPr>
            <w:r>
              <w:rPr>
                <w:rFonts w:ascii="Arial" w:cs="Arial" w:eastAsia="Arial" w:hAnsi="Arial"/>
                <w:sz w:val="12"/>
                <w:szCs w:val="12"/>
                <w:b w:val="1"/>
                <w:bCs w:val="1"/>
                <w:color w:val="auto"/>
              </w:rPr>
              <w:t>December 31,</w:t>
            </w:r>
          </w:p>
        </w:tc>
      </w:tr>
      <w:tr>
        <w:trPr>
          <w:trHeight w:val="171"/>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30"/>
              <w:spacing w:after="0"/>
              <w:rPr>
                <w:sz w:val="20"/>
                <w:szCs w:val="20"/>
                <w:color w:val="auto"/>
              </w:rPr>
            </w:pPr>
            <w:r>
              <w:rPr>
                <w:rFonts w:ascii="Arial" w:cs="Arial" w:eastAsia="Arial" w:hAnsi="Arial"/>
                <w:sz w:val="12"/>
                <w:szCs w:val="12"/>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30"/>
              <w:spacing w:after="0"/>
              <w:rPr>
                <w:sz w:val="20"/>
                <w:szCs w:val="20"/>
                <w:color w:val="auto"/>
              </w:rPr>
            </w:pPr>
            <w:r>
              <w:rPr>
                <w:rFonts w:ascii="Arial" w:cs="Arial" w:eastAsia="Arial" w:hAnsi="Arial"/>
                <w:sz w:val="12"/>
                <w:szCs w:val="12"/>
                <w:b w:val="1"/>
                <w:bCs w:val="1"/>
                <w:color w:val="auto"/>
              </w:rPr>
              <w:t>2025</w:t>
            </w:r>
          </w:p>
        </w:tc>
      </w:tr>
      <w:tr>
        <w:trPr>
          <w:trHeight w:val="24"/>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Paragon reimbursable expenses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05"/>
        </w:trPr>
        <w:tc>
          <w:tcPr>
            <w:tcW w:w="8200" w:type="dxa"/>
            <w:vAlign w:val="bottom"/>
          </w:tcPr>
          <w:p>
            <w:pPr>
              <w:ind w:left="220"/>
              <w:spacing w:after="0"/>
              <w:rPr>
                <w:sz w:val="20"/>
                <w:szCs w:val="20"/>
                <w:color w:val="auto"/>
              </w:rPr>
            </w:pPr>
            <w:r>
              <w:rPr>
                <w:rFonts w:ascii="Arial" w:cs="Arial" w:eastAsia="Arial" w:hAnsi="Arial"/>
                <w:sz w:val="16"/>
                <w:szCs w:val="16"/>
                <w:color w:val="auto"/>
              </w:rPr>
              <w:t>Total related party accounts payable</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ind w:left="1040"/>
              <w:spacing w:after="0"/>
              <w:rPr>
                <w:sz w:val="20"/>
                <w:szCs w:val="20"/>
                <w:color w:val="auto"/>
              </w:rPr>
            </w:pPr>
            <w:r>
              <w:rPr>
                <w:rFonts w:ascii="Arial" w:cs="Arial" w:eastAsia="Arial" w:hAnsi="Arial"/>
                <w:sz w:val="16"/>
                <w:szCs w:val="16"/>
                <w:color w:val="auto"/>
              </w:rPr>
              <w:t>—</w:t>
            </w: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For the three months ended March 31, 2026 and 2025, the Company recognized $0.1 million and de minimis, respectively, of Paragon reimbursable expenses, which were recorded as Research and development expenses in the consolidated statements of operations.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For the three months ended March 31, 2026 and 2025, the Company made payments totaling de minimis and $0.1 million, respectively, in connection with Paragon reimbursable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Paragon License Agreements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6 for disclosures related to the License Agreements entered into with Paragon.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 McKenna Option Grant</w:t>
      </w:r>
    </w:p>
    <w:p>
      <w:pPr>
        <w:spacing w:after="0" w:line="190"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On February 1, 2024, the Board appointed Mark McKenna as a Class I director. Mr. McKenna and the Company are parties to a consulting agreement, pursuant to which Mr. McKenna agreed to continue to provide consulting services as an independent contractor to the Company, with an effective date of August 1, 2023 (the “Vesting Commencement Date”). As compensation for Mr. McKenna’s consulting services, on November 22, 2023, he was granted non-qualified stock options to purchase 477,000 shares of the Company’s common stock under the 2016 Plan (as defined in Note 9) with an exercise price of $10.39 per share, which vest as to 25% on the one year anniversary of the Vesting Commencement Date and thereafter vest and become exercisable in 36 equal monthly installments, subject to Mr. McKenna’s continued service to the Company through each applicable vesting date. The Company recognized stock-based compensation expense related to Mr. McKenna's consulting agreement of $0.3 million for the three months ended March 31, 2026 and 2025,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8" w:name="page19"/>
    <w:bookmarkEnd w:id="18"/>
    <w:p>
      <w:pPr>
        <w:ind w:left="7"/>
        <w:spacing w:after="0"/>
        <w:rPr>
          <w:sz w:val="20"/>
          <w:szCs w:val="20"/>
          <w:color w:val="auto"/>
        </w:rPr>
      </w:pPr>
      <w:r>
        <w:rPr>
          <w:rFonts w:ascii="Arial" w:cs="Arial" w:eastAsia="Arial" w:hAnsi="Arial"/>
          <w:sz w:val="16"/>
          <w:szCs w:val="16"/>
          <w:b w:val="1"/>
          <w:bCs w:val="1"/>
          <w:color w:val="auto"/>
        </w:rPr>
        <w:t>8. Convertible Preferred Stock and Stockholders’ Equity</w:t>
      </w:r>
    </w:p>
    <w:p>
      <w:pPr>
        <w:spacing w:after="0" w:line="28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Warrants</w:t>
      </w:r>
    </w:p>
    <w:p>
      <w:pPr>
        <w:spacing w:after="0" w:line="190" w:lineRule="exact"/>
        <w:rPr>
          <w:sz w:val="20"/>
          <w:szCs w:val="20"/>
          <w:color w:val="auto"/>
        </w:rPr>
      </w:pPr>
    </w:p>
    <w:p>
      <w:pPr>
        <w:ind w:left="567"/>
        <w:spacing w:after="0"/>
        <w:rPr>
          <w:sz w:val="20"/>
          <w:szCs w:val="20"/>
          <w:color w:val="auto"/>
        </w:rPr>
      </w:pPr>
      <w:r>
        <w:rPr>
          <w:rFonts w:ascii="Arial" w:cs="Arial" w:eastAsia="Arial" w:hAnsi="Arial"/>
          <w:sz w:val="16"/>
          <w:szCs w:val="16"/>
          <w:color w:val="auto"/>
        </w:rPr>
        <w:t>As of March 31, 2026, a total of 1,532,591 warrants with a weighted-average exercise price of $22.49 remain outstanding.</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Series A Non-Voting Convertible Preferred Stock</w:t>
      </w:r>
    </w:p>
    <w:p>
      <w:pPr>
        <w:spacing w:after="0" w:line="192" w:lineRule="exact"/>
        <w:rPr>
          <w:sz w:val="20"/>
          <w:szCs w:val="20"/>
          <w:color w:val="auto"/>
        </w:rPr>
      </w:pPr>
    </w:p>
    <w:p>
      <w:pPr>
        <w:jc w:val="both"/>
        <w:ind w:left="7" w:firstLine="561"/>
        <w:spacing w:after="0" w:line="282" w:lineRule="auto"/>
        <w:rPr>
          <w:sz w:val="20"/>
          <w:szCs w:val="20"/>
          <w:color w:val="auto"/>
        </w:rPr>
      </w:pPr>
      <w:r>
        <w:rPr>
          <w:rFonts w:ascii="Arial" w:cs="Arial" w:eastAsia="Arial" w:hAnsi="Arial"/>
          <w:sz w:val="14"/>
          <w:szCs w:val="14"/>
          <w:color w:val="auto"/>
        </w:rPr>
        <w:t>Pursuant to the Company's Certificate of Designation of Preferences, Rights and Limitations of the Series A Non-Voting Convertible Preferred Stock (the “Series A Certificate of Designation”), holders of Series A Preferred Stock are entitled to receive dividends on shares of Series A Preferred Stock equal to, on an as-if-converted-to-common stock basis, and in the same form as, dividends actually paid on shares of common stock. Except as provided in the Series A Certificate of Designation or as otherwise required by law, the Series A Preferred Stock does not have voting rights. However, as long as any shares of Series A Preferred Stock are outstanding, the Company will not, without the affirmative vote of the holders of a majority of the then outstanding shares of the Series A Preferred Stock:</w:t>
      </w:r>
    </w:p>
    <w:p>
      <w:pPr>
        <w:spacing w:after="0" w:line="3" w:lineRule="exact"/>
        <w:rPr>
          <w:sz w:val="20"/>
          <w:szCs w:val="20"/>
          <w:color w:val="auto"/>
        </w:rPr>
      </w:pPr>
    </w:p>
    <w:p>
      <w:pPr>
        <w:jc w:val="both"/>
        <w:ind w:left="7" w:hanging="7"/>
        <w:spacing w:after="0" w:line="244" w:lineRule="auto"/>
        <w:tabs>
          <w:tab w:leader="none" w:pos="254" w:val="left"/>
        </w:tabs>
        <w:numPr>
          <w:ilvl w:val="0"/>
          <w:numId w:val="5"/>
        </w:numPr>
        <w:rPr>
          <w:rFonts w:ascii="Arial" w:cs="Arial" w:eastAsia="Arial" w:hAnsi="Arial"/>
          <w:sz w:val="16"/>
          <w:szCs w:val="16"/>
          <w:color w:val="auto"/>
        </w:rPr>
      </w:pPr>
      <w:r>
        <w:rPr>
          <w:rFonts w:ascii="Arial" w:cs="Arial" w:eastAsia="Arial" w:hAnsi="Arial"/>
          <w:sz w:val="16"/>
          <w:szCs w:val="16"/>
          <w:color w:val="auto"/>
        </w:rPr>
        <w:t>alter or change adversely the powers, preferences or rights given to the Series A Preferred Stock, or alter or amend the Series A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or at any time while at least 30% of the originally issued Series A Preferred Stock remains issued and outstanding, consummate (x) any Fundamental Transaction (as defined in the Series A Certificate of Designation) or (y) any merger or consolidation of the Company with or into another entity or any stock sale to, or other business combination in which the Company's stockholders immediately before such transaction do not hold at least a majority of the Company's capital stock immediately after such transaction or (d) enter into any agreement with respect to any of the foregoing. The Series A Preferred Stock does not have a preference upon any liquidation, dissolution or winding-up of the Company.</w:t>
      </w:r>
    </w:p>
    <w:p>
      <w:pPr>
        <w:spacing w:after="0" w:line="171" w:lineRule="exact"/>
        <w:rPr>
          <w:sz w:val="20"/>
          <w:szCs w:val="20"/>
          <w:color w:val="auto"/>
        </w:rPr>
      </w:pPr>
    </w:p>
    <w:p>
      <w:pPr>
        <w:ind w:left="567"/>
        <w:spacing w:after="0"/>
        <w:rPr>
          <w:sz w:val="20"/>
          <w:szCs w:val="20"/>
          <w:color w:val="auto"/>
        </w:rPr>
      </w:pPr>
      <w:r>
        <w:rPr>
          <w:rFonts w:ascii="Arial" w:cs="Arial" w:eastAsia="Arial" w:hAnsi="Arial"/>
          <w:sz w:val="16"/>
          <w:szCs w:val="16"/>
          <w:color w:val="auto"/>
        </w:rPr>
        <w:t>As of March 31, 2026, 346,045 shares of Series A Preferred Stock remained outstanding and are convertible into 13,841,800 common shares.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B Non-Voting Convertible Preferred Stock</w:t>
      </w:r>
    </w:p>
    <w:p>
      <w:pPr>
        <w:spacing w:after="0" w:line="190" w:lineRule="exact"/>
        <w:rPr>
          <w:sz w:val="20"/>
          <w:szCs w:val="20"/>
          <w:color w:val="auto"/>
        </w:rPr>
      </w:pPr>
    </w:p>
    <w:p>
      <w:pPr>
        <w:jc w:val="both"/>
        <w:ind w:left="7" w:firstLine="561"/>
        <w:spacing w:after="0" w:line="246" w:lineRule="auto"/>
        <w:rPr>
          <w:sz w:val="20"/>
          <w:szCs w:val="20"/>
          <w:color w:val="auto"/>
        </w:rPr>
      </w:pPr>
      <w:r>
        <w:rPr>
          <w:rFonts w:ascii="Arial" w:cs="Arial" w:eastAsia="Arial" w:hAnsi="Arial"/>
          <w:sz w:val="16"/>
          <w:szCs w:val="16"/>
          <w:color w:val="auto"/>
        </w:rPr>
        <w:t>Pursuant to the Company's Certificate of Designation of Preferences, Rights and Limitations of Series B Non-Voting Convertible Preferred Stock (as amended, the “Series B Certificate of Designation”), holders of Series B Preferred Stock are entitled to receive dividends on shares of Series B Preferred Stock equal to, on an as-if-converted-to-common stock basis, and in the same form as, dividends actually paid on shares of common stock. Except as provided in the Series B Certificate of Designation or as otherwise required by law, the Series B Preferred Stock does not have voting rights. However, as long as any shares of Series B Preferred Stock are outstanding, the Company will not, without the affirmative vote of the holders of a majority of the then outstanding shares of the Series B Preferred Stock, alter or change adversely the powers, preferences or rights given to the Series B Preferred Stock, or alter or amend the Series B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The Series B Preferred Stock does not have a preference upon any liquidation, dissolution or winding-up of the Company.</w:t>
      </w: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1" w:right="31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color w:val="auto"/>
        </w:rPr>
        <w:t>As of March 31, 2026, 16,667 shares of Series B Preferred Stock remained outstanding and are convertible into 666,680 common shares.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ATM Facility</w:t>
      </w:r>
    </w:p>
    <w:p>
      <w:pPr>
        <w:spacing w:after="0" w:line="19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On September 6, 2024, the Company entered into the Sales Agreement, pursuant to which the Company may issue and sell up to $200.0 million of shares of common stock under an ATM offering program.</w:t>
      </w:r>
    </w:p>
    <w:p>
      <w:pPr>
        <w:spacing w:after="0" w:line="145"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During the year ended December 31, 2025, the Company sold an aggregate of 445,668 shares of common stock under its ATM offering program at an average price per share of $33.772 resulting in net proceeds of $14.8 million, after deducting sales agent commissions and other offering costs of $0.3 million.</w:t>
      </w:r>
    </w:p>
    <w:p>
      <w:pPr>
        <w:spacing w:after="0" w:line="145"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During the three months ended March 31, 2026, the Company sold an aggregate of 296,396 shares of common stock under the ATM offering program at an average price per share of $33.566 resulting in net proceeds of $9.7 million after deducting sales agent commissions and other offering costs of $0.2 million. As of March 31, 2026, $154.1 million remained available for sale under the Sales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October 2025 Underwritten Offering</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On October 13, 2025, the Company entered into the October 2025 Underwriting Agreement, pursuant to which the Company sold an aggregate of 17,094,594 shares of common stock, at a public offering price per share of $18.50, resulting in net proceeds of approximately $296.4 million after deducting approximately $19.9 million of underwriting discounts and other offering costs. The over-allotment option was exercised in full on October 14, 2025 and the transaction closed on October 15, 2025.</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April 2026 Underwritten Offering</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On April 13, 2026, the Company entered into the April 2026 Underwriting Agreement, pursuant to which the Company sold an aggregate of 7,475,000 shares of its common stock, inclusive of 975,000 shares pursuant to the full exercise of the underwriters' over-allotment option, at a public offering price per share of $62.00, resulting in net proceeds of approximately $ 435.3 million after deducting approximately $28.1 million of underwriting discounts and other offering costs. The over-allotment option was exercised in full on April 15, 2026 and the transaction closed on April 16, 2026.</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190"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The Company's 2016 Equity Incentive Plan (the “2016 Plan”) became effective in April 2016 and serves as the successor to the 2015 Plan. Under the 2016 Plan, the Company may grant stock options, stock appreciation rights, restricted stock awards, restricted stock units, performance awards, and stock bonuses. The 2016 Plan, as amended, provides for an automatic increase in the number of shares reserved for issuance thereunder on January 1 of each year for the remaining term of the plan equal to (a) 5.0% of the number of issued and outstanding shares of common stock (including such shares issuable pursuant to the exercise or conversion, as applicable, of any outstanding pre-funded warrants and nonvoting convertible preferred stock) on December 31 of the immediately preceding year, or (b) a lesser amount as approved by the board each year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20" w:name="page21"/>
    <w:bookmarkEnd w:id="20"/>
    <w:p>
      <w:pPr>
        <w:jc w:val="both"/>
        <w:ind w:right="20"/>
        <w:spacing w:after="0" w:line="271" w:lineRule="auto"/>
        <w:rPr>
          <w:sz w:val="20"/>
          <w:szCs w:val="20"/>
          <w:color w:val="auto"/>
        </w:rPr>
      </w:pPr>
      <w:r>
        <w:rPr>
          <w:rFonts w:ascii="Arial" w:cs="Arial" w:eastAsia="Arial" w:hAnsi="Arial"/>
          <w:sz w:val="16"/>
          <w:szCs w:val="16"/>
          <w:color w:val="auto"/>
        </w:rPr>
        <w:t>(the “Evergreen Provision”). As a result of the Evergreen Provision, on January 1, 2026 and 2025, an additional 4,711,544 and 3,814,905 shares, respectively, became available for issuance under the 2016 Plan.</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March 31, 2026, the 2016 Plan had 15,316,247 shares available for future issuance, of which 7,064,379 shares were subject to outstanding option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awards.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2018 Equity Inducement Plan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2018 Equity Inducement Plan (“2018 Plan”) became effective in February 2018.</w:t>
      </w:r>
    </w:p>
    <w:p>
      <w:pPr>
        <w:spacing w:after="0" w:line="1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During the second quarter of 2025, the Company amended the 2018 Plan to increase the number of shares of common stock reserved for issuance by 750,000. After this amendment and as of March 31, 2026, the 2018 Plan had 7,317,800 shares available for future issuance, of which 6,680,012 shares were subject to outstanding option awards and restricted unit awards.</w:t>
      </w:r>
    </w:p>
    <w:p>
      <w:pPr>
        <w:spacing w:after="0" w:line="157"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Service-based awards granted under the 2018 Plan and 2016 Plan generally vest over four years and expire after ten years, although awards have been granted with vesting terms less than four years. Under the 2016 Plan and 2018 Plan, the Company may grant stock-based awards with service conditions, performance conditions, and market conditions.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Company’s stock awards granted under all equity incentive and inducement plans for each of the periods indicated:</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25"/>
        </w:trPr>
        <w:tc>
          <w:tcPr>
            <w:tcW w:w="36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right="1062"/>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62"/>
              <w:spacing w:after="0"/>
              <w:rPr>
                <w:sz w:val="20"/>
                <w:szCs w:val="20"/>
                <w:color w:val="auto"/>
              </w:rPr>
            </w:pPr>
            <w:r>
              <w:rPr>
                <w:rFonts w:ascii="Arial" w:cs="Arial" w:eastAsia="Arial" w:hAnsi="Arial"/>
                <w:sz w:val="16"/>
                <w:szCs w:val="16"/>
                <w:b w:val="1"/>
                <w:bCs w:val="1"/>
                <w:color w:val="auto"/>
                <w:w w:val="89"/>
              </w:rPr>
              <w:t>2025</w:t>
            </w:r>
          </w:p>
        </w:tc>
      </w:tr>
      <w:tr>
        <w:trPr>
          <w:trHeight w:val="191"/>
        </w:trPr>
        <w:tc>
          <w:tcPr>
            <w:tcW w:w="3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Weighted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42"/>
              <w:spacing w:after="0"/>
              <w:rPr>
                <w:sz w:val="20"/>
                <w:szCs w:val="20"/>
                <w:color w:val="auto"/>
              </w:rPr>
            </w:pPr>
            <w:r>
              <w:rPr>
                <w:rFonts w:ascii="Arial" w:cs="Arial" w:eastAsia="Arial" w:hAnsi="Arial"/>
                <w:sz w:val="16"/>
                <w:szCs w:val="16"/>
                <w:b w:val="1"/>
                <w:bCs w:val="1"/>
                <w:color w:val="auto"/>
                <w:w w:val="97"/>
              </w:rPr>
              <w:t>Weighted</w:t>
            </w:r>
          </w:p>
        </w:tc>
      </w:tr>
      <w:tr>
        <w:trPr>
          <w:trHeight w:val="187"/>
        </w:trPr>
        <w:tc>
          <w:tcPr>
            <w:tcW w:w="3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Average Grant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42"/>
              <w:spacing w:after="0"/>
              <w:rPr>
                <w:sz w:val="20"/>
                <w:szCs w:val="20"/>
                <w:color w:val="auto"/>
              </w:rPr>
            </w:pPr>
            <w:r>
              <w:rPr>
                <w:rFonts w:ascii="Arial" w:cs="Arial" w:eastAsia="Arial" w:hAnsi="Arial"/>
                <w:sz w:val="16"/>
                <w:szCs w:val="16"/>
                <w:b w:val="1"/>
                <w:bCs w:val="1"/>
                <w:color w:val="auto"/>
                <w:w w:val="96"/>
              </w:rPr>
              <w:t>Average Grant</w:t>
            </w:r>
          </w:p>
        </w:tc>
      </w:tr>
      <w:tr>
        <w:trPr>
          <w:trHeight w:val="221"/>
        </w:trPr>
        <w:tc>
          <w:tcPr>
            <w:tcW w:w="3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Grants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6"/>
              </w:rPr>
              <w:t>Date Fair Value</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Grants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6"/>
              </w:rPr>
              <w:t>Date Fair Value</w:t>
            </w:r>
          </w:p>
        </w:tc>
      </w:tr>
      <w:tr>
        <w:trPr>
          <w:trHeight w:val="211"/>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2,578,605</w:t>
            </w:r>
          </w:p>
        </w:tc>
        <w:tc>
          <w:tcPr>
            <w:tcW w:w="220" w:type="dxa"/>
            <w:vAlign w:val="bottom"/>
            <w:tcBorders>
              <w:bottom w:val="single" w:sz="8" w:color="CCEEFF"/>
            </w:tcBorders>
            <w:gridSpan w:val="3"/>
            <w:shd w:val="clear" w:color="auto" w:fill="CCEEFF"/>
          </w:tcPr>
          <w:p>
            <w:pPr>
              <w:jc w:val="center"/>
              <w:ind w:left="2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31.00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1,897,917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21.45</w:t>
            </w:r>
          </w:p>
        </w:tc>
      </w:tr>
      <w:tr>
        <w:trPr>
          <w:trHeight w:val="214"/>
        </w:trPr>
        <w:tc>
          <w:tcPr>
            <w:tcW w:w="366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6"/>
                <w:szCs w:val="16"/>
                <w:color w:val="auto"/>
              </w:rPr>
              <w:t>125,400</w:t>
            </w:r>
          </w:p>
        </w:tc>
        <w:tc>
          <w:tcPr>
            <w:tcW w:w="220" w:type="dxa"/>
            <w:vAlign w:val="bottom"/>
            <w:gridSpan w:val="3"/>
          </w:tcPr>
          <w:p>
            <w:pPr>
              <w:jc w:val="center"/>
              <w:ind w:left="2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30.61</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Parapyre Option Obligation</w:t>
      </w:r>
    </w:p>
    <w:p>
      <w:pPr>
        <w:spacing w:after="0" w:line="1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As of March 31, 2026, a total of 1,532,591 warrants with a weighted-average exercise price of $22.49 had been issued to Parapyre under the Parapyre Option Obligation. As of March 31, 2026, none of the warrants issued under the Parapyre Option Obligation have been exercised and all remain outstanding. There are no ongoing obligations under the Parapyre Option Obligation as of December 31, 2024.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2016 Employee Stock Purchase Plan</w:t>
      </w:r>
    </w:p>
    <w:p>
      <w:pPr>
        <w:spacing w:after="0" w:line="190" w:lineRule="exact"/>
        <w:rPr>
          <w:sz w:val="20"/>
          <w:szCs w:val="20"/>
          <w:color w:val="auto"/>
        </w:rPr>
      </w:pPr>
    </w:p>
    <w:p>
      <w:pPr>
        <w:jc w:val="both"/>
        <w:ind w:right="20" w:firstLine="561"/>
        <w:spacing w:after="0" w:line="344" w:lineRule="auto"/>
        <w:rPr>
          <w:sz w:val="20"/>
          <w:szCs w:val="20"/>
          <w:color w:val="auto"/>
        </w:rPr>
      </w:pPr>
      <w:r>
        <w:rPr>
          <w:rFonts w:ascii="Arial" w:cs="Arial" w:eastAsia="Arial" w:hAnsi="Arial"/>
          <w:sz w:val="14"/>
          <w:szCs w:val="14"/>
          <w:color w:val="auto"/>
        </w:rPr>
        <w:t>Under the Company’s 2016 Employee Stock Purchase Plan (“2016 ESPP”), the Company issued and sold 16,877 shares during the three months ended March 31, 2025, resulting in aggregate cash proceeds of $0.3 million, respectively. There were no ESPP sales during the three months ended March 31, 2026.</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9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Total stock-based compensation expense recognized from the Company’s equity incentive plans, 2018 Plan and 2016 ESPP during the periods presented was as follows (in thousands):</w:t>
      </w:r>
    </w:p>
    <w:p>
      <w:pPr>
        <w:spacing w:after="0" w:line="105" w:lineRule="exact"/>
        <w:rPr>
          <w:sz w:val="20"/>
          <w:szCs w:val="20"/>
          <w:color w:val="auto"/>
        </w:rPr>
      </w:pPr>
    </w:p>
    <w:tbl>
      <w:tblPr>
        <w:tblLayout w:type="fixed"/>
        <w:tblInd w:w="380" w:type="dxa"/>
        <w:tblCellMar>
          <w:top w:w="0" w:type="dxa"/>
          <w:left w:w="0" w:type="dxa"/>
          <w:bottom w:w="0" w:type="dxa"/>
          <w:right w:w="0" w:type="dxa"/>
        </w:tblCellMar>
      </w:tblPr>
      <w:tr>
        <w:trPr>
          <w:trHeight w:val="152"/>
        </w:trPr>
        <w:tc>
          <w:tcPr>
            <w:tcW w:w="7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gridSpan w:val="4"/>
          </w:tcPr>
          <w:p>
            <w:pPr>
              <w:jc w:val="right"/>
              <w:ind w:right="646"/>
              <w:spacing w:after="0"/>
              <w:rPr>
                <w:sz w:val="20"/>
                <w:szCs w:val="20"/>
                <w:color w:val="auto"/>
              </w:rPr>
            </w:pPr>
            <w:r>
              <w:rPr>
                <w:rFonts w:ascii="Arial" w:cs="Arial" w:eastAsia="Arial" w:hAnsi="Arial"/>
                <w:sz w:val="12"/>
                <w:szCs w:val="12"/>
                <w:b w:val="1"/>
                <w:bCs w:val="1"/>
                <w:color w:val="auto"/>
              </w:rPr>
              <w:t>Three Months Ended</w:t>
            </w:r>
          </w:p>
        </w:tc>
      </w:tr>
      <w:tr>
        <w:trPr>
          <w:trHeight w:val="177"/>
        </w:trPr>
        <w:tc>
          <w:tcPr>
            <w:tcW w:w="7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2"/>
                <w:szCs w:val="12"/>
                <w:b w:val="1"/>
                <w:bCs w:val="1"/>
                <w:color w:val="auto"/>
              </w:rPr>
              <w:t>March 31,</w:t>
            </w:r>
          </w:p>
        </w:tc>
        <w:tc>
          <w:tcPr>
            <w:tcW w:w="900" w:type="dxa"/>
            <w:vAlign w:val="bottom"/>
            <w:tcBorders>
              <w:bottom w:val="single" w:sz="8" w:color="auto"/>
            </w:tcBorders>
          </w:tcPr>
          <w:p>
            <w:pPr>
              <w:spacing w:after="0"/>
              <w:rPr>
                <w:sz w:val="15"/>
                <w:szCs w:val="15"/>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2025</w:t>
            </w:r>
          </w:p>
        </w:tc>
      </w:tr>
      <w:tr>
        <w:trPr>
          <w:trHeight w:val="21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3,512</w:t>
            </w:r>
          </w:p>
        </w:tc>
      </w:tr>
      <w:tr>
        <w:trPr>
          <w:trHeight w:val="214"/>
        </w:trPr>
        <w:tc>
          <w:tcPr>
            <w:tcW w:w="78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5,347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following table summarizes the weighted-average Black-Scholes option pricing model assumptions used to estimate the fair value of stock options granted under the Company's equity incentive plans, and the shares purchased under the 2016 ESPP during the periods presented:</w:t>
      </w:r>
    </w:p>
    <w:p>
      <w:pPr>
        <w:spacing w:after="0" w:line="105" w:lineRule="exact"/>
        <w:rPr>
          <w:sz w:val="20"/>
          <w:szCs w:val="20"/>
          <w:color w:val="auto"/>
        </w:rPr>
      </w:pPr>
    </w:p>
    <w:p>
      <w:pPr>
        <w:jc w:val="center"/>
        <w:ind w:left="5040"/>
        <w:spacing w:after="0"/>
        <w:rPr>
          <w:sz w:val="20"/>
          <w:szCs w:val="20"/>
          <w:color w:val="auto"/>
        </w:rPr>
      </w:pPr>
      <w:r>
        <w:rPr>
          <w:rFonts w:ascii="Arial" w:cs="Arial" w:eastAsia="Arial" w:hAnsi="Arial"/>
          <w:sz w:val="12"/>
          <w:szCs w:val="12"/>
          <w:b w:val="1"/>
          <w:bCs w:val="1"/>
          <w:color w:val="auto"/>
        </w:rPr>
        <w:t>Three Months Ended</w:t>
      </w:r>
    </w:p>
    <w:p>
      <w:pPr>
        <w:spacing w:after="0" w:line="14" w:lineRule="exact"/>
        <w:rPr>
          <w:sz w:val="20"/>
          <w:szCs w:val="20"/>
          <w:color w:val="auto"/>
        </w:rPr>
      </w:pPr>
    </w:p>
    <w:p>
      <w:pPr>
        <w:jc w:val="center"/>
        <w:ind w:left="504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28575</wp:posOffset>
            </wp:positionV>
            <wp:extent cx="19437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3735" cy="7620"/>
                    </a:xfrm>
                    <a:prstGeom prst="rect">
                      <a:avLst/>
                    </a:prstGeom>
                    <a:noFill/>
                  </pic:spPr>
                </pic:pic>
              </a:graphicData>
            </a:graphic>
          </wp:anchor>
        </w:drawing>
      </w:r>
    </w:p>
    <w:p>
      <w:pPr>
        <w:spacing w:after="0" w:line="52" w:lineRule="exact"/>
        <w:rPr>
          <w:sz w:val="20"/>
          <w:szCs w:val="20"/>
          <w:color w:val="auto"/>
        </w:rPr>
      </w:pPr>
    </w:p>
    <w:tbl>
      <w:tblPr>
        <w:tblLayout w:type="fixed"/>
        <w:tblInd w:w="1580" w:type="dxa"/>
        <w:tblCellMar>
          <w:top w:w="0" w:type="dxa"/>
          <w:left w:w="0" w:type="dxa"/>
          <w:bottom w:w="0" w:type="dxa"/>
          <w:right w:w="0" w:type="dxa"/>
        </w:tblCellMar>
      </w:tblPr>
      <w:tr>
        <w:trPr>
          <w:trHeight w:val="177"/>
        </w:trPr>
        <w:tc>
          <w:tcPr>
            <w:tcW w:w="50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r>
      <w:tr>
        <w:trPr>
          <w:trHeight w:val="20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 Granted</w:t>
            </w: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14"/>
        </w:trPr>
        <w:tc>
          <w:tcPr>
            <w:tcW w:w="5040" w:type="dxa"/>
            <w:vAlign w:val="bottom"/>
          </w:tcPr>
          <w:p>
            <w:pPr>
              <w:ind w:left="220"/>
              <w:spacing w:after="0"/>
              <w:rPr>
                <w:sz w:val="20"/>
                <w:szCs w:val="20"/>
                <w:color w:val="auto"/>
              </w:rPr>
            </w:pPr>
            <w:r>
              <w:rPr>
                <w:rFonts w:ascii="Arial" w:cs="Arial" w:eastAsia="Arial" w:hAnsi="Arial"/>
                <w:sz w:val="16"/>
                <w:szCs w:val="16"/>
                <w:color w:val="auto"/>
              </w:rPr>
              <w:t>Expected term (in years)</w:t>
            </w:r>
          </w:p>
        </w:tc>
        <w:tc>
          <w:tcPr>
            <w:tcW w:w="1480" w:type="dxa"/>
            <w:vAlign w:val="bottom"/>
          </w:tcPr>
          <w:p>
            <w:pPr>
              <w:jc w:val="center"/>
              <w:spacing w:after="0"/>
              <w:rPr>
                <w:sz w:val="20"/>
                <w:szCs w:val="20"/>
                <w:color w:val="auto"/>
              </w:rPr>
            </w:pPr>
            <w:r>
              <w:rPr>
                <w:rFonts w:ascii="Arial" w:cs="Arial" w:eastAsia="Arial" w:hAnsi="Arial"/>
                <w:sz w:val="16"/>
                <w:szCs w:val="16"/>
                <w:color w:val="auto"/>
                <w:w w:val="96"/>
              </w:rPr>
              <w:t>6.03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6"/>
              </w:rPr>
              <w:t>6.03</w:t>
            </w:r>
          </w:p>
        </w:tc>
      </w:tr>
      <w:tr>
        <w:trPr>
          <w:trHeight w:val="20"/>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4"/>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73%</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76%</w:t>
            </w:r>
          </w:p>
        </w:tc>
      </w:tr>
      <w:tr>
        <w:trPr>
          <w:trHeight w:val="214"/>
        </w:trPr>
        <w:tc>
          <w:tcPr>
            <w:tcW w:w="5040" w:type="dxa"/>
            <w:vAlign w:val="bottom"/>
          </w:tcPr>
          <w:p>
            <w:pPr>
              <w:ind w:left="220"/>
              <w:spacing w:after="0"/>
              <w:rPr>
                <w:sz w:val="20"/>
                <w:szCs w:val="20"/>
                <w:color w:val="auto"/>
              </w:rPr>
            </w:pPr>
            <w:r>
              <w:rPr>
                <w:rFonts w:ascii="Arial" w:cs="Arial" w:eastAsia="Arial" w:hAnsi="Arial"/>
                <w:sz w:val="16"/>
                <w:szCs w:val="16"/>
                <w:color w:val="auto"/>
              </w:rPr>
              <w:t>Risk-free interest</w:t>
            </w:r>
          </w:p>
        </w:tc>
        <w:tc>
          <w:tcPr>
            <w:tcW w:w="1480" w:type="dxa"/>
            <w:vAlign w:val="bottom"/>
          </w:tcPr>
          <w:p>
            <w:pPr>
              <w:jc w:val="center"/>
              <w:spacing w:after="0"/>
              <w:rPr>
                <w:sz w:val="20"/>
                <w:szCs w:val="20"/>
                <w:color w:val="auto"/>
              </w:rPr>
            </w:pPr>
            <w:r>
              <w:rPr>
                <w:rFonts w:ascii="Arial" w:cs="Arial" w:eastAsia="Arial" w:hAnsi="Arial"/>
                <w:sz w:val="16"/>
                <w:szCs w:val="16"/>
                <w:color w:val="auto"/>
                <w:w w:val="96"/>
              </w:rPr>
              <w:t>3.85%</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4.46%</w:t>
            </w:r>
          </w:p>
        </w:tc>
      </w:tr>
      <w:tr>
        <w:trPr>
          <w:trHeight w:val="20"/>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4"/>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Dividend yield</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w:t>
            </w:r>
          </w:p>
        </w:tc>
      </w:tr>
      <w:tr>
        <w:trPr>
          <w:trHeight w:val="234"/>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 ESPP</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14"/>
        </w:trPr>
        <w:tc>
          <w:tcPr>
            <w:tcW w:w="5040" w:type="dxa"/>
            <w:vAlign w:val="bottom"/>
          </w:tcPr>
          <w:p>
            <w:pPr>
              <w:ind w:left="220"/>
              <w:spacing w:after="0"/>
              <w:rPr>
                <w:sz w:val="20"/>
                <w:szCs w:val="20"/>
                <w:color w:val="auto"/>
              </w:rPr>
            </w:pPr>
            <w:r>
              <w:rPr>
                <w:rFonts w:ascii="Arial" w:cs="Arial" w:eastAsia="Arial" w:hAnsi="Arial"/>
                <w:sz w:val="16"/>
                <w:szCs w:val="16"/>
                <w:color w:val="auto"/>
              </w:rPr>
              <w:t>Expected term (in years)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6"/>
              </w:rPr>
              <w:t>0.50</w:t>
            </w:r>
          </w:p>
        </w:tc>
      </w:tr>
      <w:tr>
        <w:trPr>
          <w:trHeight w:val="20"/>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4"/>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Expected volatility</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69%</w:t>
            </w:r>
          </w:p>
        </w:tc>
      </w:tr>
      <w:tr>
        <w:trPr>
          <w:trHeight w:val="214"/>
        </w:trPr>
        <w:tc>
          <w:tcPr>
            <w:tcW w:w="5040" w:type="dxa"/>
            <w:vAlign w:val="bottom"/>
          </w:tcPr>
          <w:p>
            <w:pPr>
              <w:ind w:left="220"/>
              <w:spacing w:after="0"/>
              <w:rPr>
                <w:sz w:val="20"/>
                <w:szCs w:val="20"/>
                <w:color w:val="auto"/>
              </w:rPr>
            </w:pPr>
            <w:r>
              <w:rPr>
                <w:rFonts w:ascii="Arial" w:cs="Arial" w:eastAsia="Arial" w:hAnsi="Arial"/>
                <w:sz w:val="16"/>
                <w:szCs w:val="16"/>
                <w:color w:val="auto"/>
              </w:rPr>
              <w:t>Risk-free interest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4.23%</w:t>
            </w:r>
          </w:p>
        </w:tc>
      </w:tr>
      <w:tr>
        <w:trPr>
          <w:trHeight w:val="20"/>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4"/>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yield</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r>
      <w:tr>
        <w:trPr>
          <w:trHeight w:val="20"/>
        </w:trPr>
        <w:tc>
          <w:tcPr>
            <w:tcW w:w="50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Sale of Pegzilarginase to Immedica</w:t>
      </w:r>
    </w:p>
    <w:p>
      <w:pPr>
        <w:spacing w:after="0" w:line="192"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On July 27, 2023, the Company announced that it had entered into an agreement to sell the global rights to pegzilarginase to Immedica Pharma AB (“Immedica”) for $15.0 million in upfront cash proceeds and up to $100.0 million in contingent milestone payments.</w:t>
      </w:r>
    </w:p>
    <w:p>
      <w:pPr>
        <w:spacing w:after="0" w:line="145" w:lineRule="exact"/>
        <w:rPr>
          <w:sz w:val="20"/>
          <w:szCs w:val="20"/>
          <w:color w:val="auto"/>
        </w:rPr>
      </w:pPr>
    </w:p>
    <w:p>
      <w:pPr>
        <w:jc w:val="both"/>
        <w:ind w:firstLine="561"/>
        <w:spacing w:after="0" w:line="300" w:lineRule="auto"/>
        <w:rPr>
          <w:sz w:val="20"/>
          <w:szCs w:val="20"/>
          <w:color w:val="auto"/>
        </w:rPr>
      </w:pPr>
      <w:r>
        <w:rPr>
          <w:rFonts w:ascii="Arial" w:cs="Arial" w:eastAsia="Arial" w:hAnsi="Arial"/>
          <w:sz w:val="14"/>
          <w:szCs w:val="14"/>
          <w:color w:val="auto"/>
        </w:rPr>
        <w:t>The milestone payments are contingent on formal reimbursement decisions by national authorities in key European markets and pegzilarginase approval by the FDA, among other events. In the three months ending March 31, 2026, the Company recognized a gain of $30.0 million within Gain on Sale of in-process research and development, for achieving certain approval decision milestones during the period. As of March 31, 2026 and December 31, 2025, $3.0 million remains outstanding and due to the Company from a previously achieved milestone, which is reflected in Prepaid expenses and other current assets.</w:t>
      </w:r>
    </w:p>
    <w:p>
      <w:pPr>
        <w:spacing w:after="0" w:line="130"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Milestone payments, net of allowable expenses and adjustments, will be distributed to CVR holders pursuant to the CVR agreement resulting from the Asset Acquisition and will reduce the CVR liability.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Segment Reporting</w:t>
      </w:r>
    </w:p>
    <w:p>
      <w:pPr>
        <w:spacing w:after="0" w:line="192"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The Company operates under a single operating and reportable segment, which is the development of biopharmaceutical products for the treatment of patients with IBD and rheumatic diseases. The Company's Chief Operating Decision Maker (“CODM”) is the Company's Chief Executive Officer. The Company's CODM uses consolidated Net loss as the measure of segment profit or loss and uses consolidated Total Assets as reported on the balance sheet as the measure of segment assets. The Company's CODM compares Net loss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22" w:name="page23"/>
    <w:bookmarkEnd w:id="22"/>
    <w:p>
      <w:pPr>
        <w:ind w:left="7"/>
        <w:spacing w:after="0" w:line="271" w:lineRule="auto"/>
        <w:rPr>
          <w:sz w:val="20"/>
          <w:szCs w:val="20"/>
          <w:color w:val="auto"/>
        </w:rPr>
      </w:pPr>
      <w:r>
        <w:rPr>
          <w:rFonts w:ascii="Arial" w:cs="Arial" w:eastAsia="Arial" w:hAnsi="Arial"/>
          <w:sz w:val="16"/>
          <w:szCs w:val="16"/>
          <w:color w:val="auto"/>
        </w:rPr>
        <w:t>against budgeted and/or forecasted amounts to track the Company's financial performance against expectations and to inform, along with development timelines and scientific and commercial considerations, their decisions regarding resource allocations to fund the Company's development of its pipeline.</w:t>
      </w:r>
    </w:p>
    <w:p>
      <w:pPr>
        <w:spacing w:after="0" w:line="145"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sets forth the significant expenses provided to the CODM on a regular basis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144780</wp:posOffset>
            </wp:positionV>
            <wp:extent cx="6594475" cy="244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4475" cy="244475"/>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22860</wp:posOffset>
            </wp:positionV>
            <wp:extent cx="19583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8340" cy="7620"/>
                    </a:xfrm>
                    <a:prstGeom prst="rect">
                      <a:avLst/>
                    </a:prstGeom>
                    <a:noFill/>
                  </pic:spPr>
                </pic:pic>
              </a:graphicData>
            </a:graphic>
          </wp:anchor>
        </w:drawing>
      </w:r>
    </w:p>
    <w:p>
      <w:pPr>
        <w:spacing w:after="0" w:line="39" w:lineRule="exact"/>
        <w:rPr>
          <w:sz w:val="20"/>
          <w:szCs w:val="20"/>
          <w:color w:val="auto"/>
        </w:rPr>
      </w:pPr>
    </w:p>
    <w:tbl>
      <w:tblPr>
        <w:tblLayout w:type="fixed"/>
        <w:tblInd w:w="447" w:type="dxa"/>
        <w:tblCellMar>
          <w:top w:w="0" w:type="dxa"/>
          <w:left w:w="0" w:type="dxa"/>
          <w:bottom w:w="0" w:type="dxa"/>
          <w:right w:w="0" w:type="dxa"/>
        </w:tblCellMar>
      </w:tblPr>
      <w:tr>
        <w:trPr>
          <w:trHeight w:val="196"/>
        </w:trPr>
        <w:tc>
          <w:tcPr>
            <w:tcW w:w="73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2025</w:t>
            </w:r>
          </w:p>
        </w:tc>
      </w:tr>
      <w:tr>
        <w:trPr>
          <w:trHeight w:val="205"/>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6,991</w:t>
            </w:r>
          </w:p>
        </w:tc>
      </w:tr>
      <w:tr>
        <w:trPr>
          <w:trHeight w:val="210"/>
        </w:trPr>
        <w:tc>
          <w:tcPr>
            <w:tcW w:w="7300" w:type="dxa"/>
            <w:vAlign w:val="bottom"/>
          </w:tcPr>
          <w:p>
            <w:pPr>
              <w:spacing w:after="0"/>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(1)</w:t>
            </w:r>
          </w:p>
        </w:tc>
        <w:tc>
          <w:tcPr>
            <w:tcW w:w="9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12,806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8,859</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Research and development, excluding compensation and stock-based compensation </w:t>
            </w:r>
            <w:r>
              <w:rPr>
                <w:rFonts w:ascii="Arial" w:cs="Arial" w:eastAsia="Arial" w:hAnsi="Arial"/>
                <w:sz w:val="18"/>
                <w:szCs w:val="18"/>
                <w:color w:val="auto"/>
                <w:vertAlign w:val="superscript"/>
              </w:rPr>
              <w:t>(2) (3)</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46,893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33,551</w:t>
            </w:r>
          </w:p>
        </w:tc>
      </w:tr>
      <w:tr>
        <w:trPr>
          <w:trHeight w:val="210"/>
        </w:trPr>
        <w:tc>
          <w:tcPr>
            <w:tcW w:w="7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 (5)</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(4,628)</w:t>
            </w:r>
          </w:p>
        </w:tc>
      </w:tr>
      <w:tr>
        <w:trPr>
          <w:trHeight w:val="22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Segment net loss</w:t>
            </w: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69,005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44,773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147" w:hanging="147"/>
        <w:spacing w:after="0"/>
        <w:tabs>
          <w:tab w:leader="none" w:pos="147"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Includes $0.3 million in related party expenses for the three months ended March 31, 2026 and 2025, respectively.</w:t>
      </w:r>
    </w:p>
    <w:p>
      <w:pPr>
        <w:spacing w:after="0" w:line="70" w:lineRule="exact"/>
        <w:rPr>
          <w:rFonts w:ascii="Arial" w:cs="Arial" w:eastAsia="Arial" w:hAnsi="Arial"/>
          <w:sz w:val="17"/>
          <w:szCs w:val="17"/>
          <w:color w:val="auto"/>
          <w:vertAlign w:val="superscript"/>
        </w:rPr>
      </w:pPr>
    </w:p>
    <w:p>
      <w:pPr>
        <w:ind w:left="167" w:hanging="167"/>
        <w:spacing w:after="0" w:line="229" w:lineRule="auto"/>
        <w:tabs>
          <w:tab w:leader="none" w:pos="167"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Includes non-clinical study, clinical trial, and manufacturing expenses.</w:t>
      </w:r>
    </w:p>
    <w:p>
      <w:pPr>
        <w:spacing w:after="0" w:line="60" w:lineRule="exact"/>
        <w:rPr>
          <w:rFonts w:ascii="Arial" w:cs="Arial" w:eastAsia="Arial" w:hAnsi="Arial"/>
          <w:sz w:val="20"/>
          <w:szCs w:val="20"/>
          <w:color w:val="auto"/>
          <w:vertAlign w:val="superscript"/>
        </w:rPr>
      </w:pPr>
    </w:p>
    <w:p>
      <w:pPr>
        <w:ind w:left="167" w:hanging="167"/>
        <w:spacing w:after="0" w:line="229" w:lineRule="auto"/>
        <w:tabs>
          <w:tab w:leader="none" w:pos="167"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Includes $3.1 million and $2.5 million in related party expenses for the three months ended March 31, 2026 and 2025, respectively.</w:t>
      </w:r>
    </w:p>
    <w:p>
      <w:pPr>
        <w:spacing w:after="0" w:line="75" w:lineRule="exact"/>
        <w:rPr>
          <w:rFonts w:ascii="Arial" w:cs="Arial" w:eastAsia="Arial" w:hAnsi="Arial"/>
          <w:sz w:val="20"/>
          <w:szCs w:val="20"/>
          <w:color w:val="auto"/>
          <w:vertAlign w:val="superscript"/>
        </w:rPr>
      </w:pPr>
    </w:p>
    <w:p>
      <w:pPr>
        <w:ind w:left="7" w:right="20" w:hanging="7"/>
        <w:spacing w:after="0" w:line="227"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Includes general and administrative expenses such as audit, legal, and other professional fees, interest income, and other expense, net. Additionally, includes a $30.0 million gain recognized in connection with the sale of pegzilarginase to Immedica for the three months ended March 31, 2026.</w:t>
      </w:r>
    </w:p>
    <w:p>
      <w:pPr>
        <w:spacing w:after="0" w:line="50" w:lineRule="exact"/>
        <w:rPr>
          <w:rFonts w:ascii="Arial" w:cs="Arial" w:eastAsia="Arial" w:hAnsi="Arial"/>
          <w:sz w:val="20"/>
          <w:szCs w:val="20"/>
          <w:color w:val="auto"/>
          <w:vertAlign w:val="superscript"/>
        </w:rPr>
      </w:pPr>
    </w:p>
    <w:p>
      <w:pPr>
        <w:ind w:left="167" w:hanging="167"/>
        <w:spacing w:after="0"/>
        <w:tabs>
          <w:tab w:leader="none" w:pos="167"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Includes $30.3 million increase and a $2.4 million decrease in fair value of CVR liability for the three months ended March 31, 2026 and 2025, respectively.</w:t>
      </w:r>
    </w:p>
    <w:p>
      <w:pPr>
        <w:spacing w:after="0" w:line="26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12. Net Loss Per Share</w:t>
      </w:r>
    </w:p>
    <w:p>
      <w:pPr>
        <w:spacing w:after="0" w:line="285" w:lineRule="exact"/>
        <w:rPr>
          <w:sz w:val="20"/>
          <w:szCs w:val="20"/>
          <w:color w:val="auto"/>
        </w:rPr>
      </w:pPr>
    </w:p>
    <w:p>
      <w:pPr>
        <w:jc w:val="both"/>
        <w:ind w:left="7" w:right="20" w:firstLine="561"/>
        <w:spacing w:after="0" w:line="271" w:lineRule="auto"/>
        <w:rPr>
          <w:sz w:val="20"/>
          <w:szCs w:val="20"/>
          <w:color w:val="auto"/>
        </w:rPr>
      </w:pPr>
      <w:r>
        <w:rPr>
          <w:rFonts w:ascii="Arial" w:cs="Arial" w:eastAsia="Arial" w:hAnsi="Arial"/>
          <w:sz w:val="16"/>
          <w:szCs w:val="16"/>
          <w:color w:val="auto"/>
        </w:rPr>
        <w:t>The Company computes net loss per share of common stock, Series A Preferred Stock, and Series B Preferred Stock using the two-class method required for multiple classes of common stock and other participating securities.</w:t>
      </w:r>
    </w:p>
    <w:p>
      <w:pPr>
        <w:spacing w:after="0" w:line="145" w:lineRule="exact"/>
        <w:rPr>
          <w:sz w:val="20"/>
          <w:szCs w:val="20"/>
          <w:color w:val="auto"/>
        </w:rPr>
      </w:pPr>
    </w:p>
    <w:p>
      <w:pPr>
        <w:jc w:val="both"/>
        <w:ind w:left="7" w:firstLine="561"/>
        <w:spacing w:after="0" w:line="257" w:lineRule="auto"/>
        <w:rPr>
          <w:sz w:val="20"/>
          <w:szCs w:val="20"/>
          <w:color w:val="auto"/>
        </w:rPr>
      </w:pPr>
      <w:r>
        <w:rPr>
          <w:rFonts w:ascii="Arial" w:cs="Arial" w:eastAsia="Arial" w:hAnsi="Arial"/>
          <w:sz w:val="16"/>
          <w:szCs w:val="16"/>
          <w:color w:val="auto"/>
        </w:rPr>
        <w:t>The two-class method is an earnings (loss) allocation method under which earnings (loss) per share is calculated for each class of common stock. The Company has determined that the Series A Preferred Stock and Series B Preferred Stock do not have preferential rights when compared to the Company's common stock and therefore it must allocate losses to these other classes of common stock, as illustrated in the table below.</w:t>
      </w:r>
    </w:p>
    <w:p>
      <w:pPr>
        <w:spacing w:after="0" w:line="157" w:lineRule="exact"/>
        <w:rPr>
          <w:sz w:val="20"/>
          <w:szCs w:val="20"/>
          <w:color w:val="auto"/>
        </w:rPr>
      </w:pPr>
    </w:p>
    <w:p>
      <w:pPr>
        <w:jc w:val="both"/>
        <w:ind w:left="7" w:firstLine="561"/>
        <w:spacing w:after="0" w:line="249" w:lineRule="auto"/>
        <w:rPr>
          <w:sz w:val="20"/>
          <w:szCs w:val="20"/>
          <w:color w:val="auto"/>
        </w:rPr>
      </w:pPr>
      <w:r>
        <w:rPr>
          <w:rFonts w:ascii="Arial" w:cs="Arial" w:eastAsia="Arial" w:hAnsi="Arial"/>
          <w:sz w:val="16"/>
          <w:szCs w:val="16"/>
          <w:color w:val="auto"/>
        </w:rPr>
        <w:t>Basic and diluted net loss per share is computed by dividing the net loss by the weighted-average number of shares and pre-funded warrants outstanding during the period, without consideration of potential dilutive securities. The pre-funded warrants are included in the computation of basic net loss per share as the exercise price is negligible and they are fully vested and exercisable. For periods in which the Company generated a net loss, the Company does not include potential shares of common stock in diluted net loss per share when the impact of these items is anti-dilutive. The Company has generated a net loss for all periods presented, therefore diluted net loss per share is the same as basic net loss per share since the inclusion of potential shares of common stock would be anti-dilutive.</w:t>
      </w: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199" w:right="319" w:bottom="1440" w:gutter="0" w:footer="0" w:header="0"/>
        </w:sectPr>
      </w:pPr>
    </w:p>
    <w:bookmarkStart w:id="23" w:name="page24"/>
    <w:bookmarkEnd w:id="23"/>
    <w:p>
      <w:pPr>
        <w:ind w:firstLine="561"/>
        <w:spacing w:after="0" w:line="271" w:lineRule="auto"/>
        <w:rPr>
          <w:sz w:val="20"/>
          <w:szCs w:val="20"/>
          <w:color w:val="auto"/>
        </w:rPr>
      </w:pPr>
      <w:r>
        <w:rPr>
          <w:rFonts w:ascii="Arial" w:cs="Arial" w:eastAsia="Arial" w:hAnsi="Arial"/>
          <w:sz w:val="16"/>
          <w:szCs w:val="16"/>
          <w:color w:val="auto"/>
        </w:rPr>
        <w:t>The following table sets forth the computation of basic and diluted net loss per share of common stock, Series A Preferred Stock, and Series B Preferred Stock (in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2"/>
                <w:szCs w:val="12"/>
                <w:b w:val="1"/>
                <w:bCs w:val="1"/>
                <w:color w:val="auto"/>
              </w:rPr>
              <w:t>Three Months Ended March 31,</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5"/>
        </w:trPr>
        <w:tc>
          <w:tcPr>
            <w:tcW w:w="44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Series A Preferred</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Series B Preferred</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rPr>
              <w:t>Common</w:t>
            </w:r>
          </w:p>
        </w:tc>
        <w:tc>
          <w:tcPr>
            <w:tcW w:w="116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Series A Preferred</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Series B Preferred</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Common</w:t>
            </w:r>
          </w:p>
        </w:tc>
      </w:tr>
      <w:tr>
        <w:trPr>
          <w:trHeight w:val="183"/>
        </w:trPr>
        <w:tc>
          <w:tcPr>
            <w:tcW w:w="4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Stock</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Stock</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99"/>
              </w:rPr>
              <w:t>Stock</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Stock</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Stock</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Stock</w:t>
            </w:r>
          </w:p>
        </w:tc>
      </w:tr>
      <w:tr>
        <w:trPr>
          <w:trHeight w:val="169"/>
        </w:trPr>
        <w:tc>
          <w:tcPr>
            <w:tcW w:w="4400" w:type="dxa"/>
            <w:vAlign w:val="bottom"/>
          </w:tcPr>
          <w:p>
            <w:pPr>
              <w:spacing w:after="0"/>
              <w:rPr>
                <w:sz w:val="20"/>
                <w:szCs w:val="20"/>
                <w:color w:val="auto"/>
              </w:rPr>
            </w:pPr>
            <w:r>
              <w:rPr>
                <w:rFonts w:ascii="Arial" w:cs="Arial" w:eastAsia="Arial" w:hAnsi="Arial"/>
                <w:sz w:val="12"/>
                <w:szCs w:val="12"/>
                <w:color w:val="auto"/>
              </w:rPr>
              <w:t>Net loss per share, basic and diluted:</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08"/>
        </w:trPr>
        <w:tc>
          <w:tcPr>
            <w:tcW w:w="4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Numerator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9"/>
        </w:trPr>
        <w:tc>
          <w:tcPr>
            <w:tcW w:w="4400" w:type="dxa"/>
            <w:vAlign w:val="bottom"/>
          </w:tcPr>
          <w:p>
            <w:pPr>
              <w:ind w:left="280"/>
              <w:spacing w:after="0"/>
              <w:rPr>
                <w:sz w:val="20"/>
                <w:szCs w:val="20"/>
                <w:color w:val="auto"/>
              </w:rPr>
            </w:pPr>
            <w:r>
              <w:rPr>
                <w:rFonts w:ascii="Arial" w:cs="Arial" w:eastAsia="Arial" w:hAnsi="Arial"/>
                <w:sz w:val="12"/>
                <w:szCs w:val="12"/>
                <w:color w:val="auto"/>
              </w:rPr>
              <w:t>Allocation of losses</w:t>
            </w: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(10,264)</w:t>
            </w:r>
          </w:p>
        </w:tc>
        <w:tc>
          <w:tcPr>
            <w:tcW w:w="8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(58,247)</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(8,288)</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(399)</w:t>
            </w:r>
          </w:p>
        </w:tc>
        <w:tc>
          <w:tcPr>
            <w:tcW w:w="80" w:type="dxa"/>
            <w:vAlign w:val="bottom"/>
          </w:tcPr>
          <w:p>
            <w:pPr>
              <w:spacing w:after="0"/>
              <w:rPr>
                <w:sz w:val="16"/>
                <w:szCs w:val="16"/>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(36,086)</w:t>
            </w:r>
          </w:p>
        </w:tc>
      </w:tr>
      <w:tr>
        <w:trPr>
          <w:trHeight w:val="208"/>
        </w:trPr>
        <w:tc>
          <w:tcPr>
            <w:tcW w:w="4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Denominator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0"/>
        </w:trPr>
        <w:tc>
          <w:tcPr>
            <w:tcW w:w="4400" w:type="dxa"/>
            <w:vAlign w:val="bottom"/>
          </w:tcPr>
          <w:p>
            <w:pPr>
              <w:ind w:left="280"/>
              <w:spacing w:after="0"/>
              <w:rPr>
                <w:sz w:val="20"/>
                <w:szCs w:val="20"/>
                <w:color w:val="auto"/>
              </w:rPr>
            </w:pPr>
            <w:r>
              <w:rPr>
                <w:rFonts w:ascii="Arial" w:cs="Arial" w:eastAsia="Arial" w:hAnsi="Arial"/>
                <w:sz w:val="12"/>
                <w:szCs w:val="12"/>
                <w:color w:val="auto"/>
              </w:rPr>
              <w:t>Weighted-average shares outstanding</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346,045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16,667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78,548,709</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346,045</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16,667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60,265,932</w:t>
            </w:r>
          </w:p>
        </w:tc>
      </w:tr>
      <w:tr>
        <w:trPr>
          <w:trHeight w:val="190"/>
        </w:trPr>
        <w:tc>
          <w:tcPr>
            <w:tcW w:w="4400" w:type="dxa"/>
            <w:vAlign w:val="bottom"/>
          </w:tcPr>
          <w:p>
            <w:pPr>
              <w:spacing w:after="0"/>
              <w:rPr>
                <w:sz w:val="20"/>
                <w:szCs w:val="20"/>
                <w:color w:val="auto"/>
              </w:rPr>
            </w:pPr>
            <w:r>
              <w:rPr>
                <w:rFonts w:ascii="Arial" w:cs="Arial" w:eastAsia="Arial" w:hAnsi="Arial"/>
                <w:sz w:val="12"/>
                <w:szCs w:val="12"/>
                <w:color w:val="auto"/>
              </w:rPr>
              <w:t>Net loss per share, basic and diluted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(29.66)</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(0.74)</w:t>
            </w:r>
          </w:p>
        </w:tc>
        <w:tc>
          <w:tcPr>
            <w:tcW w:w="80" w:type="dxa"/>
            <w:vAlign w:val="bottom"/>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(23.95)</w:t>
            </w:r>
          </w:p>
        </w:tc>
        <w:tc>
          <w:tcPr>
            <w:tcW w:w="80" w:type="dxa"/>
            <w:vAlign w:val="bottom"/>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(0.60)</w:t>
            </w:r>
          </w:p>
        </w:tc>
      </w:tr>
      <w:tr>
        <w:trPr>
          <w:trHeight w:val="23"/>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6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The following weighted-average equity instruments were excluded from the calculation of diluted net loss per share because their effect would have been anti-dilutive for the periods presented:</w:t>
      </w:r>
    </w:p>
    <w:p>
      <w:pPr>
        <w:spacing w:after="0" w:line="105" w:lineRule="exact"/>
        <w:rPr>
          <w:sz w:val="20"/>
          <w:szCs w:val="20"/>
          <w:color w:val="auto"/>
        </w:rPr>
      </w:pPr>
    </w:p>
    <w:p>
      <w:pPr>
        <w:jc w:val="center"/>
        <w:ind w:left="8140"/>
        <w:spacing w:after="0"/>
        <w:rPr>
          <w:sz w:val="20"/>
          <w:szCs w:val="20"/>
          <w:color w:val="auto"/>
        </w:rPr>
      </w:pPr>
      <w:r>
        <w:rPr>
          <w:rFonts w:ascii="Arial" w:cs="Arial" w:eastAsia="Arial" w:hAnsi="Arial"/>
          <w:sz w:val="12"/>
          <w:szCs w:val="12"/>
          <w:b w:val="1"/>
          <w:bCs w:val="1"/>
          <w:color w:val="auto"/>
        </w:rPr>
        <w:t>Three Months Ended</w:t>
      </w:r>
    </w:p>
    <w:p>
      <w:pPr>
        <w:spacing w:after="0" w:line="14" w:lineRule="exact"/>
        <w:rPr>
          <w:sz w:val="20"/>
          <w:szCs w:val="20"/>
          <w:color w:val="auto"/>
        </w:rPr>
      </w:pPr>
    </w:p>
    <w:p>
      <w:pPr>
        <w:jc w:val="center"/>
        <w:ind w:left="814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28575</wp:posOffset>
            </wp:positionV>
            <wp:extent cx="19361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1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2025</w:t>
            </w:r>
          </w:p>
        </w:tc>
      </w:tr>
      <w:tr>
        <w:trPr>
          <w:trHeight w:val="21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4,624,299</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1,866,235</w:t>
            </w:r>
          </w:p>
        </w:tc>
      </w:tr>
      <w:tr>
        <w:trPr>
          <w:trHeight w:val="214"/>
        </w:trPr>
        <w:tc>
          <w:tcPr>
            <w:tcW w:w="816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480" w:type="dxa"/>
            <w:vAlign w:val="bottom"/>
          </w:tcPr>
          <w:p>
            <w:pPr>
              <w:jc w:val="right"/>
              <w:spacing w:after="0"/>
              <w:rPr>
                <w:sz w:val="20"/>
                <w:szCs w:val="20"/>
                <w:color w:val="auto"/>
              </w:rPr>
            </w:pPr>
            <w:r>
              <w:rPr>
                <w:rFonts w:ascii="Arial" w:cs="Arial" w:eastAsia="Arial" w:hAnsi="Arial"/>
                <w:sz w:val="16"/>
                <w:szCs w:val="16"/>
                <w:color w:val="auto"/>
              </w:rPr>
              <w:t>69,494</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22,622</w:t>
            </w:r>
          </w:p>
        </w:tc>
      </w:tr>
      <w:tr>
        <w:trPr>
          <w:trHeight w:val="20"/>
        </w:trPr>
        <w:tc>
          <w:tcPr>
            <w:tcW w:w="8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Parapyre warrants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1,532,591</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1,532,591</w:t>
            </w:r>
          </w:p>
        </w:tc>
      </w:tr>
      <w:tr>
        <w:trPr>
          <w:trHeight w:val="20"/>
        </w:trPr>
        <w:tc>
          <w:tcPr>
            <w:tcW w:w="81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24" w:name="page25"/>
    <w:bookmarkEnd w:id="24"/>
    <w:p>
      <w:pPr>
        <w:ind w:left="7"/>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85" w:lineRule="exact"/>
        <w:rPr>
          <w:sz w:val="20"/>
          <w:szCs w:val="20"/>
          <w:color w:val="auto"/>
        </w:rPr>
      </w:pPr>
    </w:p>
    <w:p>
      <w:pPr>
        <w:jc w:val="both"/>
        <w:ind w:left="7" w:firstLine="561"/>
        <w:spacing w:after="0" w:line="287"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in conjunction with our unaudited condensed consolidated financial statements and related notes included in Part I, Item 1 of this Quarterly Report for the quarterly period ended March 31, 2026 (this “Quarterly Report”) as well as the audited consolidated financial statements and notes and Management’s Discussion and Analysis of Financial Condition and Results of Operations, included in our Annual Report on Form 10-K for the year ended December 31, 2025 (the “Annual Report”) filed with the U.S. Securities and Exchange Commission (the “SEC”) on February 19, 2026. This discussion and other parts of this Quarterly Report contain forward-looking statements that involve risks and uncertainties, such as statements regarding our expected results, outcomes, and the timing of these results and outcomes, plans, objectives, expectations and intentions.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 As used in this report, unless the context suggests otherwise, “we”, “us”, “our”, “the Company,” or “Spyre” refers to Spyre Therapeutics, Inc. and its consolidated subsidiaries taken as a whole.</w:t>
      </w:r>
    </w:p>
    <w:p>
      <w:pPr>
        <w:spacing w:after="0" w:line="32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Overview</w:t>
      </w:r>
    </w:p>
    <w:p>
      <w:pPr>
        <w:spacing w:after="0" w:line="192" w:lineRule="exact"/>
        <w:rPr>
          <w:sz w:val="20"/>
          <w:szCs w:val="20"/>
          <w:color w:val="auto"/>
        </w:rPr>
      </w:pPr>
    </w:p>
    <w:p>
      <w:pPr>
        <w:jc w:val="both"/>
        <w:ind w:left="7" w:firstLine="561"/>
        <w:spacing w:after="0" w:line="257" w:lineRule="auto"/>
        <w:rPr>
          <w:sz w:val="20"/>
          <w:szCs w:val="20"/>
          <w:color w:val="auto"/>
        </w:rPr>
      </w:pPr>
      <w:r>
        <w:rPr>
          <w:rFonts w:ascii="Arial" w:cs="Arial" w:eastAsia="Arial" w:hAnsi="Arial"/>
          <w:sz w:val="16"/>
          <w:szCs w:val="16"/>
          <w:color w:val="auto"/>
        </w:rPr>
        <w:t>We are a biotechnology company pioneering long-acting antibodies and antibody combinations to redefine the standard of care for inflammatory bowel disease (“IBD”) and rheumatic diseases. Our pipeline includes extended half-life antibodies targeting α4β7, TL1A, and IL-23 in development as monotherapies and pair-wise combinations..</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Our Strategy</w:t>
      </w:r>
    </w:p>
    <w:p>
      <w:pPr>
        <w:spacing w:after="0" w:line="192" w:lineRule="exact"/>
        <w:rPr>
          <w:sz w:val="20"/>
          <w:szCs w:val="20"/>
          <w:color w:val="auto"/>
        </w:rPr>
      </w:pPr>
    </w:p>
    <w:p>
      <w:pPr>
        <w:jc w:val="both"/>
        <w:ind w:left="7" w:firstLine="561"/>
        <w:spacing w:after="0" w:line="271" w:lineRule="auto"/>
        <w:rPr>
          <w:sz w:val="20"/>
          <w:szCs w:val="20"/>
          <w:color w:val="auto"/>
        </w:rPr>
      </w:pPr>
      <w:r>
        <w:rPr>
          <w:rFonts w:ascii="Arial" w:cs="Arial" w:eastAsia="Arial" w:hAnsi="Arial"/>
          <w:sz w:val="16"/>
          <w:szCs w:val="16"/>
          <w:color w:val="auto"/>
        </w:rPr>
        <w:t>Our goal is to develop next-generation therapeutics to redefine the standard of care for the treatment of IBD and other immune-mediated diseases, relying on three strategic pillars:</w:t>
      </w:r>
    </w:p>
    <w:p>
      <w:pPr>
        <w:spacing w:after="0" w:line="145" w:lineRule="exact"/>
        <w:rPr>
          <w:sz w:val="20"/>
          <w:szCs w:val="20"/>
          <w:color w:val="auto"/>
        </w:rPr>
      </w:pPr>
    </w:p>
    <w:p>
      <w:pPr>
        <w:ind w:left="567" w:right="20" w:hanging="286"/>
        <w:spacing w:after="0" w:line="271" w:lineRule="auto"/>
        <w:tabs>
          <w:tab w:leader="none" w:pos="563"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Advancing a portfolio of next-generation monotherapies - novel antibody candidates engineered for optimized potency, selectivity, and pharmacokinetics (“PK”) against validated IBD targets</w:t>
      </w:r>
    </w:p>
    <w:p>
      <w:pPr>
        <w:spacing w:after="0" w:line="145" w:lineRule="exact"/>
        <w:rPr>
          <w:rFonts w:ascii="Arial" w:cs="Arial" w:eastAsia="Arial" w:hAnsi="Arial"/>
          <w:sz w:val="16"/>
          <w:szCs w:val="16"/>
          <w:color w:val="auto"/>
        </w:rPr>
      </w:pPr>
    </w:p>
    <w:p>
      <w:pPr>
        <w:ind w:left="567" w:right="20" w:hanging="286"/>
        <w:spacing w:after="0" w:line="271" w:lineRule="auto"/>
        <w:tabs>
          <w:tab w:leader="none" w:pos="563" w:val="left"/>
        </w:tabs>
        <w:numPr>
          <w:ilvl w:val="0"/>
          <w:numId w:val="7"/>
        </w:numPr>
        <w:rPr>
          <w:rFonts w:ascii="Arial" w:cs="Arial" w:eastAsia="Arial" w:hAnsi="Arial"/>
          <w:sz w:val="16"/>
          <w:szCs w:val="16"/>
          <w:color w:val="auto"/>
        </w:rPr>
      </w:pPr>
      <w:r>
        <w:rPr>
          <w:rFonts w:ascii="Arial" w:cs="Arial" w:eastAsia="Arial" w:hAnsi="Arial"/>
          <w:sz w:val="16"/>
          <w:szCs w:val="16"/>
          <w:color w:val="auto"/>
        </w:rPr>
        <w:t>Evaluating paradigm-changing IBD combinations - fixed-dose-combinations of our engineered investigational antibodies designed to enable superior efficacy, safety, and convenience</w:t>
      </w:r>
    </w:p>
    <w:p>
      <w:pPr>
        <w:spacing w:after="0" w:line="145" w:lineRule="exact"/>
        <w:rPr>
          <w:rFonts w:ascii="Arial" w:cs="Arial" w:eastAsia="Arial" w:hAnsi="Arial"/>
          <w:sz w:val="16"/>
          <w:szCs w:val="16"/>
          <w:color w:val="auto"/>
        </w:rPr>
      </w:pPr>
    </w:p>
    <w:p>
      <w:pPr>
        <w:ind w:left="567" w:hanging="286"/>
        <w:spacing w:after="0" w:line="271" w:lineRule="auto"/>
        <w:tabs>
          <w:tab w:leader="none" w:pos="563"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Expansion of our anti-TL1A program into additional indications - pipeline-in-a-product potential in diseases with first-in-class and best-in-class opportunity, starting with rheumatoid arthritis (“RA”), psoriatic arthritis (“PsA”), and axial spondyloarthritis (“axSpA”)</w:t>
      </w:r>
    </w:p>
    <w:p>
      <w:pPr>
        <w:spacing w:after="0" w:line="23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Our Portfolio and Development Plan Updates</w:t>
      </w:r>
    </w:p>
    <w:p>
      <w:pPr>
        <w:spacing w:after="0" w:line="98" w:lineRule="exact"/>
        <w:rPr>
          <w:sz w:val="20"/>
          <w:szCs w:val="20"/>
          <w:color w:val="auto"/>
        </w:rPr>
      </w:pPr>
    </w:p>
    <w:p>
      <w:pPr>
        <w:ind w:left="567"/>
        <w:spacing w:after="0"/>
        <w:rPr>
          <w:sz w:val="20"/>
          <w:szCs w:val="20"/>
          <w:color w:val="auto"/>
        </w:rPr>
      </w:pPr>
      <w:r>
        <w:rPr>
          <w:rFonts w:ascii="Arial" w:cs="Arial" w:eastAsia="Arial" w:hAnsi="Arial"/>
          <w:sz w:val="14"/>
          <w:szCs w:val="14"/>
          <w:color w:val="auto"/>
        </w:rPr>
        <w:t>We are advancing a pipeline of monoclonal antibodies (“mAbs”) for the treatment of IBD and other immune-mediated diseases. The following table (Figure</w:t>
      </w:r>
    </w:p>
    <w:p>
      <w:pPr>
        <w:spacing w:after="0" w:line="40" w:lineRule="exact"/>
        <w:rPr>
          <w:sz w:val="20"/>
          <w:szCs w:val="20"/>
          <w:color w:val="auto"/>
        </w:rPr>
      </w:pPr>
    </w:p>
    <w:p>
      <w:pPr>
        <w:jc w:val="both"/>
        <w:ind w:left="7" w:hanging="7"/>
        <w:spacing w:after="0" w:line="248" w:lineRule="auto"/>
        <w:tabs>
          <w:tab w:leader="none" w:pos="227" w:val="left"/>
        </w:tabs>
        <w:numPr>
          <w:ilvl w:val="0"/>
          <w:numId w:val="8"/>
        </w:numPr>
        <w:rPr>
          <w:rFonts w:ascii="Arial" w:cs="Arial" w:eastAsia="Arial" w:hAnsi="Arial"/>
          <w:sz w:val="16"/>
          <w:szCs w:val="16"/>
          <w:color w:val="auto"/>
        </w:rPr>
      </w:pPr>
      <w:r>
        <w:rPr>
          <w:rFonts w:ascii="Arial" w:cs="Arial" w:eastAsia="Arial" w:hAnsi="Arial"/>
          <w:sz w:val="16"/>
          <w:szCs w:val="16"/>
          <w:color w:val="auto"/>
        </w:rPr>
        <w:t>summarizes our pipeline and development strategy, including our SKYLINE Phase 2 platform trial evaluating SPY001, SPY002, SPY003, and pairwise combinations thereof in subjects with moderately to severely active UC and our SKYWAY basket trial evaluating SPY072 in three rheumatic diseases: RA, PsA, and axSpA:</w:t>
      </w: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104" w:right="319" w:bottom="1440" w:gutter="0" w:footer="0" w:header="0"/>
        </w:sectPr>
      </w:pPr>
    </w:p>
    <w:bookmarkStart w:id="25" w:name="page26"/>
    <w:bookmarkEnd w:id="25"/>
    <w:p>
      <w:pPr>
        <w:ind w:left="560"/>
        <w:spacing w:after="0"/>
        <w:rPr>
          <w:sz w:val="20"/>
          <w:szCs w:val="20"/>
          <w:color w:val="auto"/>
        </w:rPr>
      </w:pPr>
      <w:r>
        <w:rPr>
          <w:rFonts w:ascii="Arial" w:cs="Arial" w:eastAsia="Arial" w:hAnsi="Arial"/>
          <w:sz w:val="16"/>
          <w:szCs w:val="16"/>
          <w:color w:val="auto"/>
        </w:rPr>
        <w:t>Figure 1. Spyre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100330</wp:posOffset>
            </wp:positionV>
            <wp:extent cx="4539615" cy="1668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39615" cy="166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SKYLINE Phase 2 Platform Trial in UC</w:t>
      </w:r>
    </w:p>
    <w:p>
      <w:pPr>
        <w:spacing w:after="0" w:line="145" w:lineRule="exact"/>
        <w:rPr>
          <w:sz w:val="20"/>
          <w:szCs w:val="20"/>
          <w:color w:val="auto"/>
        </w:rPr>
      </w:pPr>
    </w:p>
    <w:p>
      <w:pPr>
        <w:ind w:right="20" w:firstLine="561"/>
        <w:spacing w:after="0" w:line="271" w:lineRule="auto"/>
        <w:rPr>
          <w:sz w:val="20"/>
          <w:szCs w:val="20"/>
          <w:color w:val="auto"/>
        </w:rPr>
      </w:pPr>
      <w:r>
        <w:rPr>
          <w:rFonts w:ascii="Arial" w:cs="Arial" w:eastAsia="Arial" w:hAnsi="Arial"/>
          <w:sz w:val="16"/>
          <w:szCs w:val="16"/>
          <w:color w:val="auto"/>
        </w:rPr>
        <w:t>In May 2025, we initiated our SKYLINE Phase 2 platform trial evaluating SPY001, SPY002, SPY003, as well as pairwise combinations thereof (six investigational agents in total), in subjects with moderately to severely active UC (Figure 2). The trial consists of two parts:</w:t>
      </w:r>
    </w:p>
    <w:p>
      <w:pPr>
        <w:spacing w:after="0" w:line="96" w:lineRule="exact"/>
        <w:rPr>
          <w:sz w:val="20"/>
          <w:szCs w:val="20"/>
          <w:color w:val="auto"/>
        </w:rPr>
      </w:pPr>
    </w:p>
    <w:p>
      <w:pPr>
        <w:jc w:val="both"/>
        <w:ind w:left="560" w:firstLine="275"/>
        <w:spacing w:after="0" w:line="258" w:lineRule="auto"/>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Part A: </w:t>
      </w:r>
      <w:r>
        <w:rPr>
          <w:rFonts w:ascii="Arial" w:cs="Arial" w:eastAsia="Arial" w:hAnsi="Arial"/>
          <w:sz w:val="16"/>
          <w:szCs w:val="16"/>
          <w:color w:val="auto"/>
        </w:rPr>
        <w:t>Open-label assessment of the safety and preliminary efficacy of a single dose level of each investigational monotherapy. Enrollment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Part A has completed, with initial SPY001 Part A topline induction data announced in April 2026, and initial topline data expected for SPY002 and SPY003 in mid-2026 and the third quarter of 2026, respectively.</w:t>
      </w:r>
    </w:p>
    <w:p>
      <w:pPr>
        <w:spacing w:after="0" w:line="107" w:lineRule="exact"/>
        <w:rPr>
          <w:rFonts w:ascii="Arial" w:cs="Arial" w:eastAsia="Arial" w:hAnsi="Arial"/>
          <w:sz w:val="16"/>
          <w:szCs w:val="16"/>
          <w:color w:val="auto"/>
        </w:rPr>
      </w:pPr>
    </w:p>
    <w:p>
      <w:pPr>
        <w:ind w:left="560" w:firstLine="275"/>
        <w:spacing w:after="0" w:line="273" w:lineRule="auto"/>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Part B: </w:t>
      </w:r>
      <w:r>
        <w:rPr>
          <w:rFonts w:ascii="Arial" w:cs="Arial" w:eastAsia="Arial" w:hAnsi="Arial"/>
          <w:sz w:val="16"/>
          <w:szCs w:val="16"/>
          <w:color w:val="auto"/>
        </w:rPr>
        <w:t>Randomized and placebo-controlled assessment of the safety and efficacy of monotherapies and combinations, designed to provide dose-ranging data on monotherapies, proof-of-concept and contribution of components for combinations, with induction data expected in 2027.</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SKYLINE is currently enrolling subjects into Part B of the trial.</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Figure 2. SKYLINE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100330</wp:posOffset>
            </wp:positionV>
            <wp:extent cx="4539615" cy="1913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39615" cy="191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line="307" w:lineRule="auto"/>
        <w:rPr>
          <w:sz w:val="20"/>
          <w:szCs w:val="20"/>
          <w:color w:val="auto"/>
        </w:rPr>
      </w:pPr>
      <w:r>
        <w:rPr>
          <w:rFonts w:ascii="Arial" w:cs="Arial" w:eastAsia="Arial" w:hAnsi="Arial"/>
          <w:sz w:val="12"/>
          <w:szCs w:val="12"/>
          <w:i w:val="1"/>
          <w:iCs w:val="1"/>
          <w:color w:val="auto"/>
        </w:rPr>
        <w:t>mMS=modified mayo score; RHI=Robarts Histopathology Index; HEMI=Histo-Endoscopic Mucosal Improvement; P=primary endpoint; S=secondary endpoint. Initiation of each cohort subject to regulatory clearance.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53" w:right="3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SKYWAY Phase 2 Basket Trial in Rheumatic Diseases (RA, PsA, axSpA)</w:t>
      </w:r>
    </w:p>
    <w:p>
      <w:pPr>
        <w:spacing w:after="0" w:line="145" w:lineRule="exact"/>
        <w:rPr>
          <w:sz w:val="20"/>
          <w:szCs w:val="20"/>
          <w:color w:val="auto"/>
        </w:rPr>
      </w:pPr>
    </w:p>
    <w:p>
      <w:pPr>
        <w:ind w:firstLine="561"/>
        <w:spacing w:after="0" w:line="271" w:lineRule="auto"/>
        <w:rPr>
          <w:sz w:val="20"/>
          <w:szCs w:val="20"/>
          <w:color w:val="auto"/>
        </w:rPr>
      </w:pPr>
      <w:r>
        <w:rPr>
          <w:rFonts w:ascii="Arial" w:cs="Arial" w:eastAsia="Arial" w:hAnsi="Arial"/>
          <w:sz w:val="16"/>
          <w:szCs w:val="16"/>
          <w:color w:val="auto"/>
        </w:rPr>
        <w:t>In September 2025, we initiated our SKYWAY Phase 2 randomized and placebo-controlled basket trial of SPY072 in subjects with moderately to severely active RA, PsA, or axSpA (Figure 3). The trial consists of three sub-studies:</w:t>
      </w:r>
    </w:p>
    <w:p>
      <w:pPr>
        <w:spacing w:after="0" w:line="96" w:lineRule="exact"/>
        <w:rPr>
          <w:sz w:val="20"/>
          <w:szCs w:val="20"/>
          <w:color w:val="auto"/>
        </w:rPr>
      </w:pPr>
    </w:p>
    <w:p>
      <w:pPr>
        <w:ind w:left="560" w:right="20" w:firstLine="275"/>
        <w:spacing w:after="0" w:line="347" w:lineRule="auto"/>
        <w:tabs>
          <w:tab w:leader="none" w:pos="1117"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RA sub-study: </w:t>
      </w:r>
      <w:r>
        <w:rPr>
          <w:rFonts w:ascii="Arial" w:cs="Arial" w:eastAsia="Arial" w:hAnsi="Arial"/>
          <w:sz w:val="14"/>
          <w:szCs w:val="14"/>
          <w:color w:val="auto"/>
        </w:rPr>
        <w:t>Double-blind, placebo-controlled safety and efficacy study of two dose levels of SPY072 at Week 12 with open-label follow-up</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Week 36. This sub-study has completed enrollment ahead of schedule and topline proof-of-concept data are expected in the third quarter of 2026.</w:t>
      </w:r>
    </w:p>
    <w:p>
      <w:pPr>
        <w:spacing w:after="0" w:line="48" w:lineRule="exact"/>
        <w:rPr>
          <w:rFonts w:ascii="Arial" w:cs="Arial" w:eastAsia="Arial" w:hAnsi="Arial"/>
          <w:sz w:val="14"/>
          <w:szCs w:val="14"/>
          <w:color w:val="auto"/>
        </w:rPr>
      </w:pPr>
    </w:p>
    <w:p>
      <w:pPr>
        <w:ind w:left="560" w:right="20" w:firstLine="275"/>
        <w:spacing w:after="0" w:line="273" w:lineRule="auto"/>
        <w:tabs>
          <w:tab w:leader="none" w:pos="1117"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PsA sub-study: </w:t>
      </w:r>
      <w:r>
        <w:rPr>
          <w:rFonts w:ascii="Arial" w:cs="Arial" w:eastAsia="Arial" w:hAnsi="Arial"/>
          <w:sz w:val="16"/>
          <w:szCs w:val="16"/>
          <w:color w:val="auto"/>
        </w:rPr>
        <w:t>Double-blind, placebo-controlled safety and efficacy study of a single dose level of SPY072 at Week 16 with open-label follow-up</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Week 40. Enrollment continues in this sub-study and topline proof-of-concept data are expected in the fourth quarter of 2026.</w:t>
      </w:r>
    </w:p>
    <w:p>
      <w:pPr>
        <w:spacing w:after="0" w:line="95" w:lineRule="exact"/>
        <w:rPr>
          <w:rFonts w:ascii="Arial" w:cs="Arial" w:eastAsia="Arial" w:hAnsi="Arial"/>
          <w:sz w:val="16"/>
          <w:szCs w:val="16"/>
          <w:color w:val="auto"/>
        </w:rPr>
      </w:pPr>
    </w:p>
    <w:p>
      <w:pPr>
        <w:ind w:left="560" w:right="20" w:firstLine="275"/>
        <w:spacing w:after="0" w:line="273" w:lineRule="auto"/>
        <w:tabs>
          <w:tab w:leader="none" w:pos="1117"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axSpA sub-study: </w:t>
      </w:r>
      <w:r>
        <w:rPr>
          <w:rFonts w:ascii="Arial" w:cs="Arial" w:eastAsia="Arial" w:hAnsi="Arial"/>
          <w:sz w:val="16"/>
          <w:szCs w:val="16"/>
          <w:color w:val="auto"/>
        </w:rPr>
        <w:t>Double-blind, placebo-controlled safety and efficacy study of a single dose level of SPY072 at Week 16 with open-label follow-up through Week 40. Enrollment continues in this sub-study and topline proof-of-concept data are expected in the fourth quarter of 2026.</w:t>
      </w:r>
    </w:p>
    <w:p>
      <w:pPr>
        <w:spacing w:after="0" w:line="3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Figure 3. SKYWAY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100330</wp:posOffset>
            </wp:positionV>
            <wp:extent cx="4539615" cy="1936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39615"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spacing w:after="0" w:line="286" w:lineRule="auto"/>
        <w:rPr>
          <w:sz w:val="20"/>
          <w:szCs w:val="20"/>
          <w:color w:val="auto"/>
        </w:rPr>
      </w:pPr>
      <w:r>
        <w:rPr>
          <w:rFonts w:ascii="Arial" w:cs="Arial" w:eastAsia="Arial" w:hAnsi="Arial"/>
          <w:sz w:val="12"/>
          <w:szCs w:val="12"/>
          <w:i w:val="1"/>
          <w:iCs w:val="1"/>
          <w:color w:val="auto"/>
        </w:rPr>
        <w:t>RF=rheumatoid factor; ACPA= Anti-citrullinated protein antibodies; cs/b/tsDMARD=conventional synthetic, biologic, or targeted synthetic disease modifying antirheumatic drugs; BASDAI=Bath Ankylosing Spondylitis Disease Activity Index; P=primary endpoint; S=secondary endpoint; E=exploratory endpoint. IR=inadequate response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SPY001 – anti-α4β7 mAb</w:t>
      </w:r>
    </w:p>
    <w:p>
      <w:pPr>
        <w:spacing w:after="0" w:line="145" w:lineRule="exact"/>
        <w:rPr>
          <w:sz w:val="20"/>
          <w:szCs w:val="20"/>
          <w:color w:val="auto"/>
        </w:rPr>
      </w:pPr>
    </w:p>
    <w:p>
      <w:pPr>
        <w:jc w:val="both"/>
        <w:ind w:firstLine="561"/>
        <w:spacing w:after="0" w:line="291" w:lineRule="auto"/>
        <w:rPr>
          <w:sz w:val="20"/>
          <w:szCs w:val="20"/>
          <w:color w:val="auto"/>
        </w:rPr>
      </w:pPr>
      <w:r>
        <w:rPr>
          <w:rFonts w:ascii="Arial" w:cs="Arial" w:eastAsia="Arial" w:hAnsi="Arial"/>
          <w:sz w:val="14"/>
          <w:szCs w:val="14"/>
          <w:color w:val="auto"/>
        </w:rPr>
        <w:t>SPY001 is a highly potent, highly selective, and humanized monoclonal immunoglobulin G1 investigational antibody designed to bind selectively to the α4β7 integrin being developed for the treatment of IBD (UC and CD). The α4β7 integrin is a protein found on the surface of immune cells. This integrin regulates the migration of immune cells to the gut where they contribute to the inflammatory process in IBD. By selectively binding to the α4β7 integrin, SPY001 is designed to prevent the interaction of these immune cells with MAdCAM-1, a molecule expressed on endothelial cells lining the blood vessels in the gut. By blocking the interaction between α4β7 integrin and MAdCAM-1, SPY001 aims to reduce the recruitment of immune cells to the gut, leading to a decrease in inflammation. Since it specifically targets the gut immune system, SPY001 is designed to minimize systemic immunosuppressive effects unrelated to IBD pathology.</w:t>
      </w:r>
    </w:p>
    <w:p>
      <w:pPr>
        <w:spacing w:after="0" w:line="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 xml:space="preserve">SPY001 demonstrates similar potency and selectivity as synthesized vedolizumab in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 including surface plasmon residence and cellular adhesion assays. We initiated a first-in-human (“FIH”) Phase 1 trial for SPY001 in June 2024. The SPY001 Phase 1 trial was a double blind, placebo-controlled trial in healthy volunteers consisting of a single-ascending dose (“SAD”) component and a multi-ascending dose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27" w:name="page28"/>
    <w:bookmarkEnd w:id="27"/>
    <w:p>
      <w:pPr>
        <w:jc w:val="both"/>
        <w:ind w:right="20"/>
        <w:spacing w:after="0" w:line="257" w:lineRule="auto"/>
        <w:rPr>
          <w:sz w:val="20"/>
          <w:szCs w:val="20"/>
          <w:color w:val="auto"/>
        </w:rPr>
      </w:pPr>
      <w:r>
        <w:rPr>
          <w:rFonts w:ascii="Arial" w:cs="Arial" w:eastAsia="Arial" w:hAnsi="Arial"/>
          <w:sz w:val="16"/>
          <w:szCs w:val="16"/>
          <w:color w:val="auto"/>
        </w:rPr>
        <w:t>(“MAD”) component. The trial enrolled 56 healthy adult participants into five SAD cohorts and two MAD cohorts in the main portion of the trial. The primary endpoint was safety, with PK and anti-drug antibodies (“ADA”) serving as secondary endpoints. Additional cohorts were added to the trial to evaluate PK in healthy volunteers of various ethnicities to facilitate subsequent global clinical trials. The Phase 1 study is now complete.</w:t>
      </w:r>
    </w:p>
    <w:p>
      <w:pPr>
        <w:spacing w:after="0" w:line="11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Interim results were initially presented in November 2024, with additional data presented in May 2025 with up to eight months of follow up. To date, SPY001 has demonstrated a favorable safety profile across all dose groups, a meaningfully differentiated PK profile supporting potential quarterly or twice annual maintenance dosing, and rapid, complete saturation of α4β7 receptors beyond six months with a single dose of 600mg. Based on these results, SPY001 was advanced into the SKYLINE Phase 2 platform clinical trial.</w:t>
      </w:r>
    </w:p>
    <w:p>
      <w:pPr>
        <w:spacing w:after="0" w:line="173" w:lineRule="exact"/>
        <w:rPr>
          <w:sz w:val="20"/>
          <w:szCs w:val="20"/>
          <w:color w:val="auto"/>
        </w:rPr>
      </w:pPr>
    </w:p>
    <w:p>
      <w:pPr>
        <w:ind w:right="140" w:firstLine="561"/>
        <w:spacing w:after="0" w:line="235" w:lineRule="auto"/>
        <w:rPr>
          <w:sz w:val="20"/>
          <w:szCs w:val="20"/>
          <w:color w:val="auto"/>
        </w:rPr>
      </w:pPr>
      <w:r>
        <w:rPr>
          <w:rFonts w:ascii="Arial" w:cs="Arial" w:eastAsia="Arial" w:hAnsi="Arial"/>
          <w:sz w:val="16"/>
          <w:szCs w:val="16"/>
          <w:color w:val="auto"/>
        </w:rPr>
        <w:t>Initial topline induction results from Part A of the SKYLINE trial in ulcerative colitis subjects were presented in April 2026. 43 subjects were dosed with SPY001 and 41 subjects completed the induction period. Baseline characteristics were consistent with expectations (Figure 4). SPY001 was well tolerated with a safety profile consistent with the α4β7 class. There were six subjects with treatment-emergent adverse events (TEAEs) during the induction treatment period, with one serious adverse event (SAE), deemed not drug-related. The most common AE (occurring in ≥ 2 subjects) was back pain (n=2) (Figure 5). SPY001 achieved the primary endpoint, demonstrating a statistically significant reduction in the RHI score of 9.2 points (p&lt;0.0001). Rates of key secondary endpoints of clinical remission and endoscopic improvement were clinically meaningful at 40% and 51%, respectively (Figure 6).</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Figure 4. SPY001 disposition and baseline demographics from SKYLINE Part A Induction Topline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100330</wp:posOffset>
            </wp:positionV>
            <wp:extent cx="4539615" cy="2091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3961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vertAlign w:val="superscript"/>
        </w:rPr>
        <w:t>1</w:t>
      </w:r>
      <w:r>
        <w:rPr>
          <w:rFonts w:ascii="Arial" w:cs="Arial" w:eastAsia="Arial" w:hAnsi="Arial"/>
          <w:sz w:val="12"/>
          <w:szCs w:val="12"/>
          <w:i w:val="1"/>
          <w:iCs w:val="1"/>
          <w:color w:val="auto"/>
        </w:rPr>
        <w:t>Two subjects withdrew consent.</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Figure 5. SPY001 safety summary from SKYLINE Part A Induction Topline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100330</wp:posOffset>
            </wp:positionV>
            <wp:extent cx="4539615" cy="1498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39615" cy="149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53" w:right="319" w:bottom="1440" w:gutter="0" w:footer="0" w:header="0"/>
        </w:sectPr>
      </w:pPr>
    </w:p>
    <w:bookmarkStart w:id="28" w:name="page29"/>
    <w:bookmarkEnd w:id="28"/>
    <w:p>
      <w:pPr>
        <w:ind w:left="560"/>
        <w:spacing w:after="0"/>
        <w:rPr>
          <w:sz w:val="20"/>
          <w:szCs w:val="20"/>
          <w:color w:val="auto"/>
        </w:rPr>
      </w:pPr>
      <w:r>
        <w:rPr>
          <w:rFonts w:ascii="Arial" w:cs="Arial" w:eastAsia="Arial" w:hAnsi="Arial"/>
          <w:sz w:val="12"/>
          <w:szCs w:val="12"/>
          <w:i w:val="1"/>
          <w:iCs w:val="1"/>
          <w:color w:val="auto"/>
        </w:rPr>
        <w:t>*Chest pain in a 68-year-old male with history of coronary artery disease and angina pectoris, type 2 diabetes mellitus, hypertension, and hypercholesterolemia who presented with chest pain.</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ECG and cardiac enzymes did not show signs of a myocardial infarction.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Figure 6. SPY001 efficacy summary from SKYLINE Part A Induction Topline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100330</wp:posOffset>
            </wp:positionV>
            <wp:extent cx="4539615" cy="197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39615" cy="197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0" w:right="20"/>
        <w:spacing w:after="0" w:line="307" w:lineRule="auto"/>
        <w:rPr>
          <w:sz w:val="20"/>
          <w:szCs w:val="20"/>
          <w:color w:val="auto"/>
        </w:rPr>
      </w:pPr>
      <w:r>
        <w:rPr>
          <w:rFonts w:ascii="Arial" w:cs="Arial" w:eastAsia="Arial" w:hAnsi="Arial"/>
          <w:sz w:val="12"/>
          <w:szCs w:val="12"/>
          <w:i w:val="1"/>
          <w:iCs w:val="1"/>
          <w:color w:val="auto"/>
        </w:rPr>
        <w:t>Primary endpoint of ΔRHI was analyzed using per protocol analysis set and t-test was applied to test against the null hypothesis of ΔRHI =0 (N=41); Secondary endpoints including Clinical Remission and Endoscopic Improvement rates were analyzed using full analysis set (N=43).</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SPY002 and SPY072 – anti-TL1A mAbs</w:t>
      </w:r>
    </w:p>
    <w:p>
      <w:pPr>
        <w:spacing w:after="0" w:line="145"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For our anti-TL1A program, we nominated two highly potent, highly selective, and fully human mAb candidates designed to bind to tumor necrosis factor-like ligand 1A (“TL1A”). SPY002 (formerly SPY002-091) is being developed for the treatment of IBD (UC and CD) and SPY072 (formerly SPY002-072) is being developed for the treatment of RD.</w:t>
      </w:r>
    </w:p>
    <w:p>
      <w:pPr>
        <w:spacing w:after="0" w:line="110"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TL1A is a protein that plays a role in regulating the immune system and is elevated in gut tissue of individuals with IBD and serum or synovial tissue of individuals with RA, PsA, and axSpA. TL1A interacts with its receptor, death receptor 3 (“DR3”), which is expressed in various immune cells, including T cells and fibroblast-like synoviocytes. This interaction triggers signaling pathways that contribute to inflammation and joint injury in RD, leading to symptomology, such as pain and swelling. SPY002 and SPY072 have been designed to block the interaction between TL1A and DR3, and thereby inhibit the downstream signaling events to dampen the inflammatory response. By neutralizing TL1A, we believe that SPY002 and SPY072 have the potential to modulate the immune response in IBD and rheumatic disease patients, potentially reducing disease activity.</w:t>
      </w:r>
    </w:p>
    <w:p>
      <w:pPr>
        <w:spacing w:after="0" w:line="116"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SPY002 and SPY072 bind and inhibit TL1A with subnanomolar potency in preclinical cellular assays. We initiated FIH Phase 1 trials for SPY002 and SPY072 in the fourth quarter of 2024. The Phase 1 trials were each double blind, placebo-controlled evaluations in healthy volunteers, consisting of five SAD cohorts. Each trial enrolled 40 healthy adult participants across the five SAD cohorts in the main portion of the trial. The primary endpoint is safety, with PK and ADAs serving as secondary endpoints, and PD markers as exploratory endpoints. Phase 1 trial enrollment is complete.</w:t>
      </w:r>
    </w:p>
    <w:p>
      <w:pPr>
        <w:spacing w:after="0" w:line="115"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Phase 1 data were presented in June 2025 and October 2025, with up to 24-weeks of follow up. To date, SPY002 and SPY072 have demonstrated favorable safety profiles, meaningfully differentiated PK profiles supporting potential quarterly or twice annual maintenance dosing, and complete suppression of free TL1A through up to 20-24 weeks at single 100mg doses. Based on these results, SPY002 was advanced to the SKYLINE Phase 2 platform trial in UC subjects and SPY072 was advanced to the SKYWAY Phase 2 basket trial in RA, PsA, and axSpA subjects.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SPY003 – anti-IL-23 mAb</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SPY003 is a clinical-stage program designed to bind to interleukin 23 (“IL-23”) and incorporates half-life extending modifications. IL-23 is a cytokine that is produced by immune cells and is involved in immune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62" w:right="319" w:bottom="1440" w:gutter="0" w:footer="0" w:header="0"/>
        </w:sectPr>
      </w:pPr>
    </w:p>
    <w:bookmarkStart w:id="29" w:name="page30"/>
    <w:bookmarkEnd w:id="29"/>
    <w:p>
      <w:pPr>
        <w:jc w:val="both"/>
        <w:ind w:right="20"/>
        <w:spacing w:after="0" w:line="257" w:lineRule="auto"/>
        <w:rPr>
          <w:sz w:val="20"/>
          <w:szCs w:val="20"/>
          <w:color w:val="auto"/>
        </w:rPr>
      </w:pPr>
      <w:r>
        <w:rPr>
          <w:rFonts w:ascii="Arial" w:cs="Arial" w:eastAsia="Arial" w:hAnsi="Arial"/>
          <w:sz w:val="16"/>
          <w:szCs w:val="16"/>
          <w:color w:val="auto"/>
        </w:rPr>
        <w:t>response regulation. IL-23 promotes the survival, expansion, and activity of Th17 cells. Th17 cells produce inflammatory cytokines, such as IL-17, which contribute to the inflammation seen in IBD. IL-23 also helps in the recruitment and activation of other immune cells, such as neutrophils, which further contribute to tissue damage in the gut.</w:t>
      </w:r>
    </w:p>
    <w:p>
      <w:pPr>
        <w:spacing w:after="0" w:line="11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SPY003 binds to the p19 subunit of IL-23 with subnanomolar potency in cellular assays. SPY003 also exhibited extended PK half-life of greater than three-fold relative to a synthesized risankizumab comparator that does not incorporate half-life extending modifications, based on head-to-head preclinical studies in non-human primates (“NHPs”).</w:t>
      </w:r>
    </w:p>
    <w:p>
      <w:pPr>
        <w:spacing w:after="0" w:line="11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We initiated a FIH trial in March 2025. The SPY003 Phase 1 trial is a double blind, placebo-controlled trial in healthy volunteers trial that enrolled 59 healthy adult participants into five SAD cohorts, one multiple dose (MD) cohort, and one Chinese ethnobridging cohort. The primary endpoint is safety, with PK and ADAs serving as secondary endpoints. Phase 1 trial enrollment is now complete.</w:t>
      </w:r>
    </w:p>
    <w:p>
      <w:pPr>
        <w:spacing w:after="0" w:line="11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Interim Phase 1 data were disclosed in November 2025, and additional data were presented in February 2026 with up to 20 weeks of follow-up, demonstrating that SPY003 exhibited a favorable safety profile and a meaningfully differentiated PK profile supporting quarterly or twice annual maintenance dosing. Based on these results, SPY003 was advanced to the SKYLINE Phase 2 platform trial.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SPY120 - combination, anti-α4β7 and anti-TL1A mAbs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SPY120 combines SPY001 (anti-α4β7) and SPY002 (anti-TL1A) antibodies, pairing two complementary mechanisms studied in third-party clinical trials targeting non-overlapping sites of action.</w:t>
      </w:r>
    </w:p>
    <w:p>
      <w:pPr>
        <w:spacing w:after="0" w:line="98"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In February and May 2025, we presented preclinical data demonstrating that combinations resulted in additive or greater than additive in vivo biological activity relative to either monotherapy in mouse hapten reagent 2,4,6-trinitrobenzene sulfonic acid (“TNBS”) and anti-CD40 colitis models. In October 2025, we presented preclinical data further demonstrating that combined inhibition resulted in superior efficacy relative to constituent monotherapies in a mouse TNBS-induced colitis model. In addition, combination toxicology studies have been completed with no drug-related adverse findings observed.</w:t>
      </w:r>
    </w:p>
    <w:p>
      <w:pPr>
        <w:spacing w:after="0" w:line="115"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Based on these preclinical data, in addition to our positive interim Phase 1 results for SPY001 and SPY002, SPY120 was advanced into Part B of the SKYLINE Phase 2 platform trial.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SPY130 - combination anti-α4β7 and anti-IL-23 mAbs</w:t>
      </w:r>
    </w:p>
    <w:p>
      <w:pPr>
        <w:spacing w:after="0" w:line="145"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SPY130 combines SPY001 (anti-α4β7) and SPY003 (anti-IL-23) antibodies, pairing two commercially validated mechanisms targeting non-overlapping sites of action.</w:t>
      </w:r>
    </w:p>
    <w:p>
      <w:pPr>
        <w:spacing w:after="0" w:line="98"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In October 2024, we presented preclinical data, demonstrating in a T-cell transfer model of IBD, that combinations with anti-IL-23 and anti-α4ß7 improved body weight and reduced colonic CD4+ infiltration and IL-17 levels relative to monotherapy.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spacing w:after="0" w:line="115"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Based on these preclinical data, in addition to our positive interim Phase 1 results for SPY001 and SPY003, SPY130 was advanced into Part B of the SKYLINE Phase 2 platform trial.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SPY230 – combination anti-TL1A and anti-IL-23 mAbs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SPY230 combines SPY002 (anti-TL1A) and SPY003 (anti-IL-23) antibodies, pairing two complementary mechanisms of action with potential to address overlapping and non-overlapping triggers of inflammation.</w:t>
      </w:r>
    </w:p>
    <w:p>
      <w:pPr>
        <w:spacing w:after="0" w:line="98"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In October 2024, we presented preclinical data, demonstrating that anti-IL-23 and anti-TL1A have a synergistic effect on promoting IL-17 secretion from human and mouse cells, and that the combination of anti-IL-23 and anti-TL1A suppressed IL-17 secretion more effectively than either agent alone.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53" w:right="319" w:bottom="1440" w:gutter="0" w:footer="0" w:header="0"/>
        </w:sectPr>
      </w:pPr>
    </w:p>
    <w:bookmarkStart w:id="30" w:name="page31"/>
    <w:bookmarkEnd w:id="30"/>
    <w:p>
      <w:pPr>
        <w:jc w:val="both"/>
        <w:ind w:firstLine="561"/>
        <w:spacing w:after="0" w:line="271" w:lineRule="auto"/>
        <w:rPr>
          <w:sz w:val="20"/>
          <w:szCs w:val="20"/>
          <w:color w:val="auto"/>
        </w:rPr>
      </w:pPr>
      <w:r>
        <w:rPr>
          <w:rFonts w:ascii="Arial" w:cs="Arial" w:eastAsia="Arial" w:hAnsi="Arial"/>
          <w:sz w:val="16"/>
          <w:szCs w:val="16"/>
          <w:color w:val="auto"/>
        </w:rPr>
        <w:t>Based on these preclinical data, in addition to our positive interim Phase 1 results for SPY002 and SPY003, SPY230 was advanced into Part B of the SKYLINE Phase 2 platform trial.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Paragon Agreement</w:t>
      </w:r>
    </w:p>
    <w:p>
      <w:pPr>
        <w:spacing w:after="0" w:line="192"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Pursuant to the Paragon Agreement, we received the option to license the intellectual property rights related to four research programs (collectively, the “Option”) from Paragon in accordance with a license agreement to be entered into following each exercise of the Option.</w:t>
      </w:r>
    </w:p>
    <w:p>
      <w:pPr>
        <w:spacing w:after="0" w:line="145"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On July 12, 2023, December 14, 2023 and June 5, 2024, we exercised our Option available under the Paragon Agreement with respect to the SPY001, SPY002 and SPY003 research programs, respectively. In May 2024, we signed license agreements with Paragon for rights to royalty-bearing, world-wide, exclusive licenses to develop, manufacture, commercialize or otherwise exploit certain antibodies and products targeting ɑ4β7 integrin (SPY001 program) (the “SPY001 License Agreement”) and TL1A (SPY002 and SPY072 programs) (the “SPY002 and SPY072 License Agreement”) and, in October 2024, we signed a license agreement for rights to a royalty-bearing, world-wide, exclusive license to develop, manufacture, commercialize or otherwise exploit certain antibodies and products targeting IL-23 (SPY003 program) (the “SPY003 License Agreement” and, together with the SPY001 License Agreement and the SPY002 and SPY072 License Agreement, the “License Agreements”) in the field of IBD. The SPY003 License Agreement was subsequently amended and restated in February 2025. The Option with respect to one additional program remains unexercised under the Paragon Agreement.</w:t>
      </w:r>
    </w:p>
    <w:p>
      <w:pPr>
        <w:spacing w:after="0" w:line="167"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Under the terms of each License Agreement, we are obligated to pay Paragon up to $22.0 million upon the achievement of specific development, regulatory and clinical milestones for the first product under each agreement, respectively, that achieves such specified milestones, including a milestone payment of $5 million upon the first dosing of a human patient in a Phase 3 trial. With respect to the SPY002 and SPY072 License Agreement only, on a product by product basis, we are obligated to pay sublicensing fees of up to approximately $20 million upon the achievement of mostly commercial milestones. Subject to the execution of the Option with respect to the remaining research program, we expect to be obligated to make similar payments upon and following the execution of a license agreement with respect to such research program.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2"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Our condensed consolidated financial statements are prepared in accordance with generally accepted accounting principles in the United States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liabilities and equity and the amount of revenues and expenses, which are not readily apparent from other sources. We base our estimates on historical experience and on various other assumptions that we believe are reasonable under the circumstances. On an ongoing basis, we evaluate our estimates and assumptions. Our actual results may differ materially from these estimates under different assumptions or conditions.</w:t>
      </w:r>
    </w:p>
    <w:p>
      <w:pPr>
        <w:spacing w:after="0" w:line="163"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critical accounting policies are those policies which require the most significant judgments and estimates in the preparation of our consolidated financial statements. The most significant estimates and assumptions that management considers in the preparation of our financial statements relate to accrued research and development costs; the discount rate, probabilities of success, estimated reimbursement rates compared with reimbursement targets, and timing of estimated cash flows in the valuation of the contingent value right (“CVR”) liability and inputs used in the Black-Scholes model for stock-based compensation expense.</w:t>
      </w:r>
    </w:p>
    <w:p>
      <w:pPr>
        <w:spacing w:after="0" w:line="163"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There have been no significant changes to our critical accounting policies and estimates as compared to the critical accounting policies and estimates disclosed in “Management’s Discussion and Analysis of Financial Condition and Operations” included in our Annual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53" w:right="319" w:bottom="1440" w:gutter="0" w:footer="0" w:header="0"/>
        </w:sectPr>
      </w:pPr>
    </w:p>
    <w:bookmarkStart w:id="31" w:name="page32"/>
    <w:bookmarkEnd w:id="31"/>
    <w:p>
      <w:pPr>
        <w:ind w:left="7"/>
        <w:spacing w:after="0"/>
        <w:rPr>
          <w:sz w:val="20"/>
          <w:szCs w:val="20"/>
          <w:color w:val="auto"/>
        </w:rPr>
      </w:pPr>
      <w:r>
        <w:rPr>
          <w:rFonts w:ascii="Arial" w:cs="Arial" w:eastAsia="Arial" w:hAnsi="Arial"/>
          <w:sz w:val="16"/>
          <w:szCs w:val="16"/>
          <w:b w:val="1"/>
          <w:bCs w:val="1"/>
          <w:color w:val="auto"/>
        </w:rPr>
        <w:t>Results of Operations</w:t>
      </w:r>
    </w:p>
    <w:p>
      <w:pPr>
        <w:spacing w:after="0" w:line="28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Comparison of the Three Months Ended March 31, 2026 and 2025</w:t>
      </w:r>
    </w:p>
    <w:p>
      <w:pPr>
        <w:spacing w:after="0" w:line="192" w:lineRule="exact"/>
        <w:rPr>
          <w:sz w:val="20"/>
          <w:szCs w:val="20"/>
          <w:color w:val="auto"/>
        </w:rPr>
      </w:pPr>
    </w:p>
    <w:p>
      <w:pPr>
        <w:ind w:left="7" w:firstLine="561"/>
        <w:spacing w:after="0" w:line="271" w:lineRule="auto"/>
        <w:rPr>
          <w:sz w:val="20"/>
          <w:szCs w:val="20"/>
          <w:color w:val="auto"/>
        </w:rPr>
      </w:pPr>
      <w:r>
        <w:rPr>
          <w:rFonts w:ascii="Arial" w:cs="Arial" w:eastAsia="Arial" w:hAnsi="Arial"/>
          <w:sz w:val="16"/>
          <w:szCs w:val="16"/>
          <w:color w:val="auto"/>
        </w:rPr>
        <w:t>The following table summarizes our results of operations for the three months ended March 31, 2026 and 2025, together with the changes in those items in dollars and as a percentage:</w:t>
      </w:r>
    </w:p>
    <w:p>
      <w:pPr>
        <w:spacing w:after="0" w:line="101" w:lineRule="exact"/>
        <w:rPr>
          <w:sz w:val="20"/>
          <w:szCs w:val="20"/>
          <w:color w:val="auto"/>
        </w:rPr>
      </w:pPr>
    </w:p>
    <w:tbl>
      <w:tblPr>
        <w:tblLayout w:type="fixed"/>
        <w:tblInd w:w="7" w:type="dxa"/>
        <w:tblCellMar>
          <w:top w:w="0" w:type="dxa"/>
          <w:left w:w="0" w:type="dxa"/>
          <w:bottom w:w="0" w:type="dxa"/>
          <w:right w:w="0" w:type="dxa"/>
        </w:tblCellMar>
      </w:tblPr>
      <w:tr>
        <w:trPr>
          <w:trHeight w:val="164"/>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Three Months Ended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3"/>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7"/>
        </w:trPr>
        <w:tc>
          <w:tcPr>
            <w:tcW w:w="5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Increase/(Decrease)</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586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60,411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41,623</w:t>
            </w:r>
          </w:p>
        </w:tc>
        <w:tc>
          <w:tcPr>
            <w:tcW w:w="8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18,788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45 %</w:t>
            </w:r>
          </w:p>
        </w:tc>
      </w:tr>
      <w:tr>
        <w:trPr>
          <w:trHeight w:val="217"/>
        </w:trPr>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15,230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203"/>
        </w:trPr>
        <w:tc>
          <w:tcPr>
            <w:tcW w:w="5860" w:type="dxa"/>
            <w:vAlign w:val="bottom"/>
          </w:tcPr>
          <w:p>
            <w:pPr>
              <w:ind w:left="140"/>
              <w:spacing w:after="0"/>
              <w:rPr>
                <w:sz w:val="20"/>
                <w:szCs w:val="20"/>
                <w:color w:val="auto"/>
              </w:rPr>
            </w:pPr>
            <w:r>
              <w:rPr>
                <w:rFonts w:ascii="Arial" w:cs="Arial" w:eastAsia="Arial" w:hAnsi="Arial"/>
                <w:sz w:val="14"/>
                <w:szCs w:val="14"/>
                <w:color w:val="auto"/>
              </w:rPr>
              <w:t>Gain on sale of in-process research and development asset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8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45,641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53,567</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(7,926)</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2"/>
        </w:trPr>
        <w:tc>
          <w:tcPr>
            <w:tcW w:w="586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(45,641)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(53,567)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(7,926)</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229"/>
        </w:trPr>
        <w:tc>
          <w:tcPr>
            <w:tcW w:w="5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Other (expense) income:</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5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8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(30,359)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other (expense) income</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8,779</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860" w:type="dxa"/>
            <w:vAlign w:val="bottom"/>
          </w:tcPr>
          <w:p>
            <w:pPr>
              <w:spacing w:after="0"/>
              <w:rPr>
                <w:sz w:val="20"/>
                <w:szCs w:val="20"/>
                <w:color w:val="auto"/>
              </w:rPr>
            </w:pPr>
            <w:r>
              <w:rPr>
                <w:rFonts w:ascii="Arial" w:cs="Arial" w:eastAsia="Arial" w:hAnsi="Arial"/>
                <w:sz w:val="14"/>
                <w:szCs w:val="14"/>
                <w:color w:val="auto"/>
              </w:rPr>
              <w:t>Loss before income tax expense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(69,005)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(44,788)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24,217</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benefit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86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(69,005)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(44,773)</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24,232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67" w:lineRule="exact"/>
        <w:rPr>
          <w:sz w:val="20"/>
          <w:szCs w:val="20"/>
          <w:color w:val="auto"/>
        </w:rPr>
      </w:pPr>
    </w:p>
    <w:p>
      <w:pPr>
        <w:ind w:left="7"/>
        <w:spacing w:after="0"/>
        <w:rPr>
          <w:sz w:val="20"/>
          <w:szCs w:val="20"/>
          <w:color w:val="auto"/>
        </w:rPr>
      </w:pPr>
      <w:r>
        <w:rPr>
          <w:rFonts w:ascii="Arial" w:cs="Arial" w:eastAsia="Arial" w:hAnsi="Arial"/>
          <w:sz w:val="16"/>
          <w:szCs w:val="16"/>
          <w:color w:val="auto"/>
        </w:rPr>
        <w:t>__________________________________</w:t>
      </w:r>
    </w:p>
    <w:p>
      <w:pPr>
        <w:spacing w:after="0" w:line="17" w:lineRule="exact"/>
        <w:rPr>
          <w:sz w:val="20"/>
          <w:szCs w:val="20"/>
          <w:color w:val="auto"/>
        </w:rPr>
      </w:pPr>
    </w:p>
    <w:p>
      <w:pPr>
        <w:ind w:left="267" w:hanging="267"/>
        <w:spacing w:after="0"/>
        <w:tabs>
          <w:tab w:leader="none" w:pos="2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Percentage not meaningful</w:t>
      </w:r>
    </w:p>
    <w:p>
      <w:pPr>
        <w:spacing w:after="0" w:line="176" w:lineRule="exact"/>
        <w:rPr>
          <w:sz w:val="20"/>
          <w:szCs w:val="20"/>
          <w:color w:val="auto"/>
        </w:rPr>
      </w:pPr>
    </w:p>
    <w:p>
      <w:pPr>
        <w:jc w:val="both"/>
        <w:ind w:left="7" w:firstLine="561"/>
        <w:spacing w:after="0" w:line="257"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by $18.8 million, or 45%, to $ 60.4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2026, from $41.6 million for the three months ended March 31, 2025. The increase was primarily driven by higher clinical trial expenses , manufacturing expenses, and increased compensation costs partially offset by lower early-stage research and development costs.</w:t>
      </w: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1" w:right="319" w:bottom="1440" w:gutter="0" w:footer="0" w:header="0"/>
        </w:sectPr>
      </w:pPr>
    </w:p>
    <w:bookmarkStart w:id="32" w:name="page33"/>
    <w:bookmarkEnd w:id="32"/>
    <w:tbl>
      <w:tblPr>
        <w:tblLayout w:type="fixed"/>
        <w:tblInd w:w="7" w:type="dxa"/>
        <w:tblCellMar>
          <w:top w:w="0" w:type="dxa"/>
          <w:left w:w="0" w:type="dxa"/>
          <w:bottom w:w="0" w:type="dxa"/>
          <w:right w:w="0" w:type="dxa"/>
        </w:tblCellMar>
      </w:tblPr>
      <w:tr>
        <w:trPr>
          <w:trHeight w:val="164"/>
        </w:trPr>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3"/>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7"/>
        </w:trPr>
        <w:tc>
          <w:tcPr>
            <w:tcW w:w="5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Dollar Change</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External research and development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5960" w:type="dxa"/>
            <w:vAlign w:val="bottom"/>
          </w:tcPr>
          <w:p>
            <w:pPr>
              <w:ind w:left="140"/>
              <w:spacing w:after="0"/>
              <w:rPr>
                <w:sz w:val="20"/>
                <w:szCs w:val="20"/>
                <w:color w:val="auto"/>
              </w:rPr>
            </w:pPr>
            <w:r>
              <w:rPr>
                <w:rFonts w:ascii="Arial" w:cs="Arial" w:eastAsia="Arial" w:hAnsi="Arial"/>
                <w:sz w:val="14"/>
                <w:szCs w:val="14"/>
                <w:color w:val="auto"/>
              </w:rPr>
              <w:t>Preclinical</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1,881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8,479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(6,598)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17"/>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IBD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11,639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w:t>
            </w:r>
          </w:p>
        </w:tc>
      </w:tr>
      <w:tr>
        <w:trPr>
          <w:trHeight w:val="203"/>
        </w:trPr>
        <w:tc>
          <w:tcPr>
            <w:tcW w:w="5960" w:type="dxa"/>
            <w:vAlign w:val="bottom"/>
          </w:tcPr>
          <w:p>
            <w:pPr>
              <w:ind w:left="140"/>
              <w:spacing w:after="0"/>
              <w:rPr>
                <w:sz w:val="20"/>
                <w:szCs w:val="20"/>
                <w:color w:val="auto"/>
              </w:rPr>
            </w:pPr>
            <w:r>
              <w:rPr>
                <w:rFonts w:ascii="Arial" w:cs="Arial" w:eastAsia="Arial" w:hAnsi="Arial"/>
                <w:sz w:val="14"/>
                <w:szCs w:val="14"/>
                <w:color w:val="auto"/>
              </w:rPr>
              <w:t>Rheumatic diseases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7,895</w:t>
            </w:r>
          </w:p>
        </w:tc>
        <w:tc>
          <w:tcPr>
            <w:tcW w:w="1340" w:type="dxa"/>
            <w:vAlign w:val="bottom"/>
            <w:gridSpan w:val="2"/>
          </w:tcPr>
          <w:p>
            <w:pPr>
              <w:jc w:val="right"/>
              <w:ind w:right="70"/>
              <w:spacing w:after="0"/>
              <w:rPr>
                <w:sz w:val="20"/>
                <w:szCs w:val="20"/>
                <w:color w:val="auto"/>
              </w:rPr>
            </w:pPr>
            <w:r>
              <w:rPr>
                <w:rFonts w:ascii="Arial" w:cs="Arial" w:eastAsia="Arial" w:hAnsi="Arial"/>
                <w:sz w:val="14"/>
                <w:szCs w:val="14"/>
                <w:color w:val="auto"/>
              </w:rPr>
              <w:t>389%</w:t>
            </w:r>
          </w:p>
        </w:tc>
      </w:tr>
      <w:tr>
        <w:trPr>
          <w:trHeight w:val="217"/>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Legacy Aeglea assets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95"/>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external research and development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12,719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38 %</w:t>
            </w:r>
          </w:p>
        </w:tc>
      </w:tr>
      <w:tr>
        <w:trPr>
          <w:trHeight w:val="221"/>
        </w:trPr>
        <w:tc>
          <w:tcPr>
            <w:tcW w:w="5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4"/>
                <w:szCs w:val="14"/>
                <w:color w:val="auto"/>
              </w:rPr>
              <w:t>Internal research and development 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3,168</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69%</w:t>
            </w:r>
          </w:p>
        </w:tc>
      </w:tr>
      <w:tr>
        <w:trPr>
          <w:trHeight w:val="203"/>
        </w:trPr>
        <w:tc>
          <w:tcPr>
            <w:tcW w:w="5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2,279</w:t>
            </w:r>
          </w:p>
        </w:tc>
        <w:tc>
          <w:tcPr>
            <w:tcW w:w="1340" w:type="dxa"/>
            <w:vAlign w:val="bottom"/>
            <w:gridSpan w:val="2"/>
          </w:tcPr>
          <w:p>
            <w:pPr>
              <w:jc w:val="right"/>
              <w:ind w:right="70"/>
              <w:spacing w:after="0"/>
              <w:rPr>
                <w:sz w:val="20"/>
                <w:szCs w:val="20"/>
                <w:color w:val="auto"/>
              </w:rPr>
            </w:pPr>
            <w:r>
              <w:rPr>
                <w:rFonts w:ascii="Arial" w:cs="Arial" w:eastAsia="Arial" w:hAnsi="Arial"/>
                <w:sz w:val="14"/>
                <w:szCs w:val="14"/>
                <w:color w:val="auto"/>
              </w:rPr>
              <w:t>65%</w:t>
            </w:r>
          </w:p>
        </w:tc>
      </w:tr>
      <w:tr>
        <w:trPr>
          <w:trHeight w:val="217"/>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internal research and development expenses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6,069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75 %</w:t>
            </w:r>
          </w:p>
        </w:tc>
      </w:tr>
      <w:tr>
        <w:trPr>
          <w:trHeight w:val="234"/>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research and development expense</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41,623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18,788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45 %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__________________________________</w:t>
      </w:r>
    </w:p>
    <w:p>
      <w:pPr>
        <w:spacing w:after="0" w:line="17" w:lineRule="exact"/>
        <w:rPr>
          <w:sz w:val="20"/>
          <w:szCs w:val="20"/>
          <w:color w:val="auto"/>
        </w:rPr>
      </w:pPr>
    </w:p>
    <w:p>
      <w:pPr>
        <w:ind w:left="267" w:hanging="267"/>
        <w:spacing w:after="0"/>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Percentage not meaningful</w:t>
      </w:r>
    </w:p>
    <w:p>
      <w:pPr>
        <w:spacing w:after="0" w:line="176" w:lineRule="exact"/>
        <w:rPr>
          <w:sz w:val="20"/>
          <w:szCs w:val="20"/>
          <w:color w:val="auto"/>
        </w:rPr>
      </w:pPr>
    </w:p>
    <w:p>
      <w:pPr>
        <w:jc w:val="both"/>
        <w:ind w:left="7" w:right="20" w:firstLine="561"/>
        <w:spacing w:after="0" w:line="249" w:lineRule="auto"/>
        <w:rPr>
          <w:sz w:val="20"/>
          <w:szCs w:val="20"/>
          <w:color w:val="auto"/>
        </w:rPr>
      </w:pPr>
      <w:r>
        <w:rPr>
          <w:rFonts w:ascii="Arial" w:cs="Arial" w:eastAsia="Arial" w:hAnsi="Arial"/>
          <w:sz w:val="16"/>
          <w:szCs w:val="16"/>
          <w:color w:val="auto"/>
        </w:rPr>
        <w:t>External research and development expenses include costs associated with third parties contracted to conduct research and development activities on our behalf, including through Paragon, contract research organizations, contract manufacturing organizations, and third-party laboratories. For the three months ended March 31, 2026 and 2025, external research and development costs accounted for $46.3 million and $33.5 million, respectively. Preclinical expenses decreased primarily due to a reduction in early-stage research and development activities given our pipeline's advancement. IBD expenses increased primarily due to an increase in manufacturing costs and clinical development activities related to ongoing or planned clinical trials. Rheumatic diseases costs increased due to increases in manufacturing costs and clinical development costs.</w:t>
      </w:r>
    </w:p>
    <w:p>
      <w:pPr>
        <w:spacing w:after="0" w:line="163" w:lineRule="exact"/>
        <w:rPr>
          <w:sz w:val="20"/>
          <w:szCs w:val="20"/>
          <w:color w:val="auto"/>
        </w:rPr>
      </w:pPr>
    </w:p>
    <w:p>
      <w:pPr>
        <w:jc w:val="both"/>
        <w:ind w:left="7" w:right="20" w:firstLine="199"/>
        <w:spacing w:after="0" w:line="257" w:lineRule="auto"/>
        <w:rPr>
          <w:sz w:val="20"/>
          <w:szCs w:val="20"/>
          <w:color w:val="auto"/>
        </w:rPr>
      </w:pPr>
      <w:r>
        <w:rPr>
          <w:rFonts w:ascii="Arial" w:cs="Arial" w:eastAsia="Arial" w:hAnsi="Arial"/>
          <w:sz w:val="16"/>
          <w:szCs w:val="16"/>
          <w:color w:val="auto"/>
        </w:rPr>
        <w:t>Internal research and development expenses include compensation and related costs associated with our research and development employees. For the three months ended March 31, 2026 and 2025, internal research and development costs accounted for $14.2 million and $8.1 million, respectively. The increase was primarily driven by an increase in compensation costs due to an increase in research and development headcount.</w:t>
      </w:r>
    </w:p>
    <w:p>
      <w:pPr>
        <w:spacing w:after="0" w:line="157" w:lineRule="exact"/>
        <w:rPr>
          <w:sz w:val="20"/>
          <w:szCs w:val="20"/>
          <w:color w:val="auto"/>
        </w:rPr>
      </w:pPr>
    </w:p>
    <w:p>
      <w:pPr>
        <w:jc w:val="both"/>
        <w:ind w:left="7" w:right="20" w:firstLine="561"/>
        <w:spacing w:after="0" w:line="25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$3.3 million, or 28%, to $15.2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2026, from $11.9 million for the three months ended March 31, 2025. The increase was primarily attributable to an increase in compensation costs due to an increase in general and administrative headcount.</w:t>
      </w:r>
    </w:p>
    <w:p>
      <w:pPr>
        <w:spacing w:after="0" w:line="157" w:lineRule="exact"/>
        <w:rPr>
          <w:sz w:val="20"/>
          <w:szCs w:val="20"/>
          <w:color w:val="auto"/>
        </w:rPr>
      </w:pPr>
    </w:p>
    <w:p>
      <w:pPr>
        <w:jc w:val="both"/>
        <w:ind w:left="7" w:right="20" w:firstLine="561"/>
        <w:spacing w:after="0" w:line="257" w:lineRule="auto"/>
        <w:rPr>
          <w:sz w:val="20"/>
          <w:szCs w:val="20"/>
          <w:color w:val="auto"/>
        </w:rPr>
      </w:pPr>
      <w:r>
        <w:rPr>
          <w:rFonts w:ascii="Arial" w:cs="Arial" w:eastAsia="Arial" w:hAnsi="Arial"/>
          <w:sz w:val="16"/>
          <w:szCs w:val="16"/>
          <w:i w:val="1"/>
          <w:iCs w:val="1"/>
          <w:color w:val="auto"/>
        </w:rPr>
        <w:t>Gain on Sale of In-Process Research and Development Asset</w:t>
      </w:r>
      <w:r>
        <w:rPr>
          <w:rFonts w:ascii="Arial" w:cs="Arial" w:eastAsia="Arial" w:hAnsi="Arial"/>
          <w:sz w:val="16"/>
          <w:szCs w:val="16"/>
          <w:color w:val="auto"/>
        </w:rPr>
        <w:t>. During the three months ended March 31, 2026, the Company recognized a gain of $30.0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an achieved milestone related to the 2023 sale of the global rights of the legacy Aeglea asset pegzilarginase to Immedica, driven by regulatory approval of pegzilarginase in the United States. There was no similar gain or loss during the three months ended March 31, 2025.</w:t>
      </w:r>
    </w:p>
    <w:p>
      <w:pPr>
        <w:spacing w:after="0" w:line="157" w:lineRule="exact"/>
        <w:rPr>
          <w:sz w:val="20"/>
          <w:szCs w:val="20"/>
          <w:color w:val="auto"/>
        </w:rPr>
      </w:pPr>
    </w:p>
    <w:p>
      <w:pPr>
        <w:jc w:val="both"/>
        <w:ind w:left="7" w:firstLine="561"/>
        <w:spacing w:after="0" w:line="257" w:lineRule="auto"/>
        <w:rPr>
          <w:sz w:val="20"/>
          <w:szCs w:val="20"/>
          <w:color w:val="auto"/>
        </w:rPr>
      </w:pPr>
      <w:r>
        <w:rPr>
          <w:rFonts w:ascii="Arial" w:cs="Arial" w:eastAsia="Arial" w:hAnsi="Arial"/>
          <w:sz w:val="16"/>
          <w:szCs w:val="16"/>
          <w:i w:val="1"/>
          <w:iCs w:val="1"/>
          <w:color w:val="auto"/>
        </w:rPr>
        <w:t xml:space="preserve">Other (expense) income, net. </w:t>
      </w:r>
      <w:r>
        <w:rPr>
          <w:rFonts w:ascii="Arial" w:cs="Arial" w:eastAsia="Arial" w:hAnsi="Arial"/>
          <w:sz w:val="16"/>
          <w:szCs w:val="16"/>
          <w:color w:val="auto"/>
        </w:rPr>
        <w:t>Other (expense) income, net for the three months ended March 31, 2026 increased by $32.6 million versus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2025 primarily driven by changes in the fair value of the CVR liability, which was primarily driven by changes in the likelihood of achievement of certain milestones, changes in the risk-adjusted discount rates and time value of money adjustments.</w:t>
      </w: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49"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2" w:lineRule="exact"/>
        <w:rPr>
          <w:sz w:val="20"/>
          <w:szCs w:val="20"/>
          <w:color w:val="auto"/>
        </w:rPr>
      </w:pPr>
    </w:p>
    <w:p>
      <w:pPr>
        <w:jc w:val="both"/>
        <w:ind w:right="20" w:firstLine="561"/>
        <w:spacing w:after="0" w:line="257" w:lineRule="auto"/>
        <w:rPr>
          <w:sz w:val="20"/>
          <w:szCs w:val="20"/>
          <w:color w:val="auto"/>
        </w:rPr>
      </w:pPr>
      <w:r>
        <w:rPr>
          <w:rFonts w:ascii="Arial" w:cs="Arial" w:eastAsia="Arial" w:hAnsi="Arial"/>
          <w:sz w:val="16"/>
          <w:szCs w:val="16"/>
          <w:color w:val="auto"/>
        </w:rPr>
        <w:t>We are a clinical stage biotechnology company with a limited operating history, and due to our significant research and development expenditures, we have generated operating losses since our inception and have not generated any revenue from the commercial sale of any products. There can be no assurance that profitable operations will ever be achieved, and, if achieved, whether profitability can be sustained on a continuing basis.</w:t>
      </w:r>
    </w:p>
    <w:p>
      <w:pPr>
        <w:spacing w:after="0" w:line="157" w:lineRule="exact"/>
        <w:rPr>
          <w:sz w:val="20"/>
          <w:szCs w:val="20"/>
          <w:color w:val="auto"/>
        </w:rPr>
      </w:pPr>
    </w:p>
    <w:p>
      <w:pPr>
        <w:jc w:val="both"/>
        <w:ind w:firstLine="561"/>
        <w:spacing w:after="0" w:line="300" w:lineRule="auto"/>
        <w:rPr>
          <w:sz w:val="20"/>
          <w:szCs w:val="20"/>
          <w:color w:val="auto"/>
        </w:rPr>
      </w:pPr>
      <w:r>
        <w:rPr>
          <w:rFonts w:ascii="Arial" w:cs="Arial" w:eastAsia="Arial" w:hAnsi="Arial"/>
          <w:sz w:val="14"/>
          <w:szCs w:val="14"/>
          <w:color w:val="auto"/>
        </w:rPr>
        <w:t>Since our inception and through March 31, 2026, we have funded our operations by raising an aggregate of approximately $1.7 billion of gross proceeds from the sale and issuance of convertible preferred stock and common stock, pre-funded warrants, the collection of grant proceeds, and the licensing of our product rights for commercialization of pegzilarginase in Europe and certain countries in the Middle East. As of March 31, 2026, we had an accumulated deficit of $1.2 billion. In April 2026, we raised an additional approximately $435.3 million in net proceeds from a public underwritten offering of our common stock.</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Our primary use of cash is to fund the development of our product candidates, and advance our pipeline. This includes both the research and development costs and the general and administrative expenses required to support those operations. Since we are a clinical stage biotechnology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Based on current operating plans, we have sufficient resources to fund operations for at least one year from the issuance date of the financial statements included in this Quarterly Report with existing cash, cash equivalents, and marketable securities.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us.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90" w:lineRule="exact"/>
        <w:rPr>
          <w:sz w:val="20"/>
          <w:szCs w:val="20"/>
          <w:color w:val="auto"/>
        </w:rPr>
      </w:pPr>
    </w:p>
    <w:p>
      <w:pPr>
        <w:jc w:val="both"/>
        <w:ind w:right="20" w:firstLine="561"/>
        <w:spacing w:after="0" w:line="248" w:lineRule="auto"/>
        <w:rPr>
          <w:sz w:val="20"/>
          <w:szCs w:val="20"/>
          <w:color w:val="auto"/>
        </w:rPr>
      </w:pPr>
      <w:r>
        <w:rPr>
          <w:rFonts w:ascii="Arial" w:cs="Arial" w:eastAsia="Arial" w:hAnsi="Arial"/>
          <w:sz w:val="16"/>
          <w:szCs w:val="16"/>
          <w:color w:val="auto"/>
        </w:rPr>
        <w:t>On September 6, 2024, the Company entered into a sales agreement (the “Sales Agreement”) with TD Securities (USA) LLC as its agent, pursuant to which the Company may issue and sell up to $200.0 million of shares of common stock under an at-the-market (“ATM”) offering program. During the year ended December 31, 2025, we sold an aggregate of 445,668 shares of common stock under the ATM offering program at an average price per share of $33.772 resulting in net proceeds of $14.8 million, after deducting sales agent commissions and other offering costs of $0.3 million. During the three months ended March 31, 2026, the Company sold an aggregate of 296,396 shares of common stock under the ATM offering program at an average price per share of $33.566 resulting in net proceeds of $ 9.7 million after deducting sales agent commissions and other offering costs of $0.2 million. As of March 31, 2026, $154.1 million remained available for sale under the Sales Agreement.</w:t>
      </w:r>
    </w:p>
    <w:p>
      <w:pPr>
        <w:spacing w:after="0" w:line="164"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In October 2025, we sold 17,094,594 shares of our common stock in an underwritten public offering, inclusive of 2,229,729 shares pursuant to the full exercise of the underwriters' over-allotment option, under our shelf registration statement on Form S-3 at a price per share of $18.50, resulting in net proceeds of $296.4 million after deducting approximately $19.9 million of underwriting discounts and other offering costs.</w:t>
      </w:r>
    </w:p>
    <w:p>
      <w:pPr>
        <w:spacing w:after="0" w:line="168" w:lineRule="exact"/>
        <w:rPr>
          <w:sz w:val="20"/>
          <w:szCs w:val="20"/>
          <w:color w:val="auto"/>
        </w:rPr>
      </w:pPr>
    </w:p>
    <w:p>
      <w:pPr>
        <w:jc w:val="both"/>
        <w:ind w:firstLine="561"/>
        <w:spacing w:after="0" w:line="242" w:lineRule="auto"/>
        <w:rPr>
          <w:sz w:val="20"/>
          <w:szCs w:val="20"/>
          <w:color w:val="auto"/>
        </w:rPr>
      </w:pPr>
      <w:r>
        <w:rPr>
          <w:rFonts w:ascii="Arial" w:cs="Arial" w:eastAsia="Arial" w:hAnsi="Arial"/>
          <w:sz w:val="16"/>
          <w:szCs w:val="16"/>
          <w:color w:val="auto"/>
        </w:rPr>
        <w:t>In April 2026, we sold an aggregate of 7,475,000 shares of our common stock, inclusive of 975,000 shares pursuant to the full exercise of the underwriters' over-allotment option, at a public offering price per share of $62.00, resulting in net proceeds of approximately $435.3 million after deducting approximately $28.1 million of underwriting discounts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1"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indicated (in thousands):</w:t>
      </w:r>
    </w:p>
    <w:p>
      <w:pPr>
        <w:spacing w:after="0" w:line="150" w:lineRule="exact"/>
        <w:rPr>
          <w:sz w:val="20"/>
          <w:szCs w:val="20"/>
          <w:color w:val="auto"/>
        </w:rPr>
      </w:pPr>
    </w:p>
    <w:p>
      <w:pPr>
        <w:jc w:val="center"/>
        <w:ind w:left="8200"/>
        <w:spacing w:after="0"/>
        <w:rPr>
          <w:sz w:val="20"/>
          <w:szCs w:val="20"/>
          <w:color w:val="auto"/>
        </w:rPr>
      </w:pPr>
      <w:r>
        <w:rPr>
          <w:rFonts w:ascii="Arial" w:cs="Arial" w:eastAsia="Arial" w:hAnsi="Arial"/>
          <w:sz w:val="12"/>
          <w:szCs w:val="12"/>
          <w:b w:val="1"/>
          <w:bCs w:val="1"/>
          <w:color w:val="auto"/>
        </w:rPr>
        <w:t>Three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20955</wp:posOffset>
            </wp:positionV>
            <wp:extent cx="193611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2026</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2025</w:t>
            </w:r>
          </w:p>
        </w:tc>
      </w:tr>
      <w:tr>
        <w:trPr>
          <w:trHeight w:val="200"/>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and cash equivalents (used in) provided by:</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4"/>
        </w:trPr>
        <w:tc>
          <w:tcPr>
            <w:tcW w:w="820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880" w:type="dxa"/>
            <w:vAlign w:val="bottom"/>
          </w:tcPr>
          <w:p>
            <w:pPr>
              <w:jc w:val="right"/>
              <w:ind w:right="707"/>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(57,372)</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(40,994)</w:t>
            </w:r>
          </w:p>
        </w:tc>
      </w:tr>
      <w:tr>
        <w:trPr>
          <w:trHeight w:val="20"/>
        </w:trPr>
        <w:tc>
          <w:tcPr>
            <w:tcW w:w="8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4"/>
        </w:trPr>
        <w:tc>
          <w:tcPr>
            <w:tcW w:w="820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125</w:t>
            </w:r>
          </w:p>
        </w:tc>
      </w:tr>
      <w:tr>
        <w:trPr>
          <w:trHeight w:val="20"/>
        </w:trPr>
        <w:tc>
          <w:tcPr>
            <w:tcW w:w="8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4"/>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Effect of exchange rate on cash and cash equivalents</w:t>
            </w:r>
          </w:p>
        </w:tc>
        <w:tc>
          <w:tcPr>
            <w:tcW w:w="8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25"/>
        </w:trPr>
        <w:tc>
          <w:tcPr>
            <w:tcW w:w="82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(40,930)</w:t>
            </w:r>
          </w:p>
        </w:tc>
      </w:tr>
      <w:tr>
        <w:trPr>
          <w:trHeight w:val="20"/>
        </w:trPr>
        <w:tc>
          <w:tcPr>
            <w:tcW w:w="8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Used in Operating Activities</w:t>
      </w:r>
    </w:p>
    <w:p>
      <w:pPr>
        <w:spacing w:after="0" w:line="190" w:lineRule="exact"/>
        <w:rPr>
          <w:sz w:val="20"/>
          <w:szCs w:val="20"/>
          <w:color w:val="auto"/>
        </w:rPr>
      </w:pPr>
    </w:p>
    <w:p>
      <w:pPr>
        <w:jc w:val="both"/>
        <w:ind w:firstLine="561"/>
        <w:spacing w:after="0" w:line="311" w:lineRule="auto"/>
        <w:rPr>
          <w:sz w:val="20"/>
          <w:szCs w:val="20"/>
          <w:color w:val="auto"/>
        </w:rPr>
      </w:pPr>
      <w:r>
        <w:rPr>
          <w:rFonts w:ascii="Arial" w:cs="Arial" w:eastAsia="Arial" w:hAnsi="Arial"/>
          <w:sz w:val="14"/>
          <w:szCs w:val="14"/>
          <w:color w:val="auto"/>
        </w:rPr>
        <w:t>Cash used in operating activities for the three months ended March 31, 2026 was $57.4 million and primarily reflected a net loss of $69.0 million adjusted for a $30.0 million non-operating gain on sale of in-process research and development and a $30.3 million increase in the fair value of the CVR liability, partially offset by non-cash expenses of $12.8 million for share-based compensation expense, $2.1 million in net accretion of discount on marketable securities.</w:t>
      </w:r>
    </w:p>
    <w:p>
      <w:pPr>
        <w:spacing w:after="0" w:line="122" w:lineRule="exact"/>
        <w:rPr>
          <w:sz w:val="20"/>
          <w:szCs w:val="20"/>
          <w:color w:val="auto"/>
        </w:rPr>
      </w:pPr>
    </w:p>
    <w:p>
      <w:pPr>
        <w:jc w:val="both"/>
        <w:ind w:right="20" w:firstLine="561"/>
        <w:spacing w:after="0" w:line="257" w:lineRule="auto"/>
        <w:rPr>
          <w:sz w:val="20"/>
          <w:szCs w:val="20"/>
          <w:color w:val="auto"/>
        </w:rPr>
      </w:pPr>
      <w:r>
        <w:rPr>
          <w:rFonts w:ascii="Arial" w:cs="Arial" w:eastAsia="Arial" w:hAnsi="Arial"/>
          <w:sz w:val="16"/>
          <w:szCs w:val="16"/>
          <w:color w:val="auto"/>
        </w:rPr>
        <w:t>Cash used in operating activities for the three months ended March 31, 2025 was $41.0 million and reflected a net loss of $44.8 million coupled with $ 2.6 million in net accretion of discount on marketable securities and a $2.4 million non-cash gain from the decrease of the CVR liability fair value, partially offset by stock-based compensation of $8.9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Provided By (Used in) Investing Activities</w:t>
      </w:r>
    </w:p>
    <w:p>
      <w:pPr>
        <w:spacing w:after="0" w:line="1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Cash provided by investing activities for the three months ended March 31, 2026 was $56.6 million and primarily consisted of $ 107.7 million in maturities and sales of marketable securities and $30.0 million in proceeds from the sale of in-process research &amp; development asset, partially offset by $81.2 million in purchases of marketable securities.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for the three months ended March 31, 2025 was $0.1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Provided by Financing Activities</w:t>
      </w:r>
    </w:p>
    <w:p>
      <w:pPr>
        <w:spacing w:after="0" w:line="1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Cash provided by financing activities for the three months ended March 31, 2026 was $12.3 million, which primarily consisted of $9.8 million net proceeds from the issuance of common stock in connection with the ATM offering program and $2.7 million proceeds from stock option exercises and sales of common stock under our Employee Stock Purchase Plan, partially offset by $0.2 million payment of deferred offering costs.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provided by financing activities for the three months ended March 31, 2025 was $0.1 million.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Contingent Contractual Obligations</w:t>
      </w:r>
    </w:p>
    <w:p>
      <w:pPr>
        <w:spacing w:after="0" w:line="190"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Through the Asset Acquisition, we received the Option to license certain intellectual property rights related to certain research programs. The exercise of the Option allows for us to enter into an exclusive license agreement with Paragon for the respective research program. Thus far we have exercised the Option and entered into license agreements with respect to SPY001, SPY002, SPY072 and SPY003. Under the terms of each License Agreement, we are obligated to pay Paragon up to $22.0 million based on specific development, regulatory and clinical milestones for the first product under each agreement. As of March 31, 2026, we have incurred a total of $21 million of milestone fees out of a total maximum of $66.0 million in potential milestone fees across all License Agreements. As of March 31, 2026 no achieved milestone fees are outstanding and payable. With respect to the SPY002 and SPY072 License Agreement only, on a product by product basis, we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3" w:right="319" w:bottom="1440" w:gutter="0" w:footer="0" w:header="0"/>
        </w:sectPr>
      </w:pPr>
    </w:p>
    <w:bookmarkStart w:id="35" w:name="page36"/>
    <w:bookmarkEnd w:id="35"/>
    <w:p>
      <w:pPr>
        <w:jc w:val="both"/>
        <w:ind w:right="20"/>
        <w:spacing w:after="0" w:line="271" w:lineRule="auto"/>
        <w:rPr>
          <w:sz w:val="20"/>
          <w:szCs w:val="20"/>
          <w:color w:val="auto"/>
        </w:rPr>
      </w:pPr>
      <w:r>
        <w:rPr>
          <w:rFonts w:ascii="Arial" w:cs="Arial" w:eastAsia="Arial" w:hAnsi="Arial"/>
          <w:sz w:val="16"/>
          <w:szCs w:val="16"/>
          <w:color w:val="auto"/>
        </w:rPr>
        <w:t>are obligated to pay sublicensing fees of up to approximately $20 million upon the achievement of mostly commercial milestones. As of March 31, 2026, we have incurred $2.6 million of sublicensing fees of which none is outstanding and payable.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recent adopted accounting pronouncements that have had a material effect on our financial position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2"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related to our interest-earning investments, foreign currency exchange rates and inflation risk affecting labor costs and clinical trial costs.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19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United States interest rates, particularly because our investments are in marketable securities. As of March 31, 2026, we held $741.5 million in cash, cash equivalents, and marketable securities, all of which were denominated in U.S. dollars, and consisted primarily of investments in money market funds, commercial paper, U.S. government obligations, and corporate bonds. Our marketable securities are subject to interest rate risk and could fall in value if market interest rates increase. However, we believe that our exposure to interest rate risk is not significant as the majority of our investments are short-term in duration and have a low risk profile. A hypothetical 10% change in interest rates during any of the periods presented would not have had a material effect on the total market value of our cash equivalents and marketable securities as of March 31, 2026. To date, we have not experienced a loss of principal on any of our investments and as of March 31, 2026, we did not record any allowance for credit loss from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w:t>
      </w:r>
    </w:p>
    <w:p>
      <w:pPr>
        <w:spacing w:after="0" w:line="19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are also exposed to market risk related to changes in foreign currency exchange rates as a result of our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Volatile market conditions arising from the macroeconomic environment (including financial conditions affecting the banking system and financial institutions), inflation, tariff/trade policy, or global political instability may result in significant changes in exchange rates, and in particular, a weakening of the U.S. dollar relative to foreign currencies may negatively affect our expenses and net income as expressed in U.S. dollars. An adverse movement in foreign exchange rates could have a material effect on payments made to foreign suppliers. For the three months ended March 31, 2026, a majority of our expenditures were denominated in U.S. dollars. A hypothetical 10% change in foreign exchange rates during any of the periods presented would not have had a material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Fluctuation Risk</w:t>
      </w:r>
    </w:p>
    <w:p>
      <w:pPr>
        <w:spacing w:after="0" w:line="19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Inflation generally affects us by increasing our costs, such as the cost of labor and research and development contract costs. We do not believe inflation has had a material adverse effect on the results of our operations during the three months ended March 31, 2026.</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2" w:lineRule="exact"/>
        <w:rPr>
          <w:sz w:val="20"/>
          <w:szCs w:val="20"/>
          <w:color w:val="auto"/>
        </w:rPr>
      </w:pPr>
    </w:p>
    <w:p>
      <w:pPr>
        <w:jc w:val="both"/>
        <w:ind w:right="20" w:firstLine="561"/>
        <w:spacing w:after="0" w:line="344"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the effectiveness of our disclosure controls and procedures. Based on the foregoing evaluation of our disclosure controls and procedures, as 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36" w:name="page37"/>
    <w:bookmarkEnd w:id="36"/>
    <w:p>
      <w:pPr>
        <w:jc w:val="both"/>
        <w:spacing w:after="0" w:line="247" w:lineRule="auto"/>
        <w:rPr>
          <w:sz w:val="20"/>
          <w:szCs w:val="20"/>
          <w:color w:val="auto"/>
        </w:rPr>
      </w:pPr>
      <w:r>
        <w:rPr>
          <w:rFonts w:ascii="Arial" w:cs="Arial" w:eastAsia="Arial" w:hAnsi="Arial"/>
          <w:sz w:val="16"/>
          <w:szCs w:val="16"/>
          <w:color w:val="auto"/>
        </w:rPr>
        <w:t>March 31, 2026, our principal executive officer and principal financial officer concluded that our disclosure controls and procedures were effective at the reasonable assurance level.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2"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37" w:name="page38"/>
    <w:bookmarkEnd w:id="37"/>
    <w:p>
      <w:pPr>
        <w:ind w:left="7"/>
        <w:spacing w:after="0"/>
        <w:rPr>
          <w:sz w:val="20"/>
          <w:szCs w:val="20"/>
          <w:color w:val="auto"/>
        </w:rPr>
      </w:pPr>
      <w:r>
        <w:rPr>
          <w:rFonts w:ascii="Arial" w:cs="Arial" w:eastAsia="Arial" w:hAnsi="Arial"/>
          <w:sz w:val="16"/>
          <w:szCs w:val="16"/>
          <w:b w:val="1"/>
          <w:bCs w:val="1"/>
          <w:color w:val="auto"/>
        </w:rPr>
        <w:t>PART II. – Other Information</w:t>
      </w:r>
    </w:p>
    <w:p>
      <w:pPr>
        <w:spacing w:after="0" w:line="28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 Legal Proceedings</w:t>
      </w:r>
    </w:p>
    <w:p>
      <w:pPr>
        <w:spacing w:after="0" w:line="192" w:lineRule="exact"/>
        <w:rPr>
          <w:sz w:val="20"/>
          <w:szCs w:val="20"/>
          <w:color w:val="auto"/>
        </w:rPr>
      </w:pPr>
    </w:p>
    <w:p>
      <w:pPr>
        <w:jc w:val="both"/>
        <w:ind w:left="7" w:firstLine="561"/>
        <w:spacing w:after="0" w:line="257" w:lineRule="auto"/>
        <w:rPr>
          <w:sz w:val="20"/>
          <w:szCs w:val="20"/>
          <w:color w:val="auto"/>
        </w:rPr>
      </w:pPr>
      <w:r>
        <w:rPr>
          <w:rFonts w:ascii="Arial" w:cs="Arial" w:eastAsia="Arial" w:hAnsi="Arial"/>
          <w:sz w:val="16"/>
          <w:szCs w:val="16"/>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1A. Risk Factors</w:t>
      </w:r>
    </w:p>
    <w:p>
      <w:pPr>
        <w:spacing w:after="0" w:line="192" w:lineRule="exact"/>
        <w:rPr>
          <w:sz w:val="20"/>
          <w:szCs w:val="20"/>
          <w:color w:val="auto"/>
        </w:rPr>
      </w:pPr>
    </w:p>
    <w:p>
      <w:pPr>
        <w:jc w:val="both"/>
        <w:ind w:left="7"/>
        <w:spacing w:after="0" w:line="247" w:lineRule="auto"/>
        <w:rPr>
          <w:sz w:val="20"/>
          <w:szCs w:val="20"/>
          <w:color w:val="auto"/>
        </w:rPr>
      </w:pPr>
      <w:r>
        <w:rPr>
          <w:rFonts w:ascii="Arial" w:cs="Arial" w:eastAsia="Arial" w:hAnsi="Arial"/>
          <w:sz w:val="16"/>
          <w:szCs w:val="16"/>
          <w:i w:val="1"/>
          <w:iCs w:val="1"/>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public filings when evaluating our business.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Risk Factor Summary</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Risks Related to Our Financial Condition and Capital Requirements</w:t>
      </w:r>
    </w:p>
    <w:p>
      <w:pPr>
        <w:spacing w:after="0" w:line="50" w:lineRule="exact"/>
        <w:rPr>
          <w:sz w:val="20"/>
          <w:szCs w:val="20"/>
          <w:color w:val="auto"/>
        </w:rPr>
      </w:pPr>
    </w:p>
    <w:p>
      <w:pPr>
        <w:ind w:left="287" w:right="20" w:hanging="287"/>
        <w:spacing w:after="0" w:line="271" w:lineRule="auto"/>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will not be able to continue as a going concern if we are unable to raise additional capital when needed and raising additional capital may cause dilution to our stockholders and restrict our operations.</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never generated any revenue from product sales and may never be profitable.</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anticipate that we will continue to incur significant losses for the foreseeable future.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Risks Related to Discovery, Development and Commercialization</w:t>
      </w:r>
    </w:p>
    <w:p>
      <w:pPr>
        <w:spacing w:after="0" w:line="50" w:lineRule="exact"/>
        <w:rPr>
          <w:sz w:val="20"/>
          <w:szCs w:val="20"/>
          <w:color w:val="auto"/>
        </w:rPr>
      </w:pPr>
    </w:p>
    <w:p>
      <w:pPr>
        <w:jc w:val="both"/>
        <w:ind w:left="287" w:hanging="287"/>
        <w:spacing w:after="0" w:line="257"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programs are in clinical and preclinical stages of development and may fail or suffer delays or may be more costly than anticipated for various reasons, including but not limited to delays or failures in achieving alignment with regulatory authorities on interpretation of data and its sufficiency to support approval of our product candidates, participant recruitment or other clinical trial or supply challenges.</w:t>
      </w:r>
    </w:p>
    <w:p>
      <w:pPr>
        <w:spacing w:after="0" w:line="16" w:lineRule="exact"/>
        <w:rPr>
          <w:rFonts w:ascii="Arial" w:cs="Arial" w:eastAsia="Arial" w:hAnsi="Arial"/>
          <w:sz w:val="16"/>
          <w:szCs w:val="16"/>
          <w:color w:val="auto"/>
        </w:rPr>
      </w:pPr>
    </w:p>
    <w:p>
      <w:pPr>
        <w:ind w:left="287" w:right="20" w:hanging="287"/>
        <w:spacing w:after="0" w:line="271"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substantially dependent on the success of the SPY001, SPY002, SPY072 and SPY003 programs, alone or in combination, and may fail to achieve our development goals in the time frames we expect.</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drug delivery device used may have its own regulatory development, supply, and other risks.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not be successful in building a pipeline of product candidates with commercial value.</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studies and trials may be insufficient to support regulatory approval of any product candidates.</w:t>
      </w:r>
    </w:p>
    <w:p>
      <w:pPr>
        <w:spacing w:after="0" w:line="49" w:lineRule="exact"/>
        <w:rPr>
          <w:rFonts w:ascii="Arial" w:cs="Arial" w:eastAsia="Arial" w:hAnsi="Arial"/>
          <w:sz w:val="16"/>
          <w:szCs w:val="16"/>
          <w:color w:val="auto"/>
        </w:rPr>
      </w:pPr>
    </w:p>
    <w:p>
      <w:pPr>
        <w:ind w:left="287" w:right="20" w:hanging="287"/>
        <w:spacing w:after="0" w:line="271"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not be successful in discovering, developing and commercializing our intra-portfolio investigational drug combinations to achieve superior outcomes relative to the use of other therapies.</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Preliminary or “topline” data from our clinical trials may change as more data becomes available.</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or future clinical trials may reveal significant adverse events or undesirable side effects.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fail to capitalize on more profitable or potentially successful product candidates.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products may not achieve regulatory approval, market acceptance or commercial success.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programs may compete with each other and may face third-party program competition.</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authorities may not accept data from clinical trials we conduct at sites outside the United States or other jurisdiction.</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Risks Related to Government Regulation</w:t>
      </w:r>
    </w:p>
    <w:p>
      <w:pPr>
        <w:spacing w:after="0" w:line="50" w:lineRule="exact"/>
        <w:rPr>
          <w:sz w:val="20"/>
          <w:szCs w:val="20"/>
          <w:color w:val="auto"/>
        </w:rPr>
      </w:pPr>
    </w:p>
    <w:p>
      <w:pPr>
        <w:ind w:left="5547" w:right="3800" w:hanging="5547"/>
        <w:spacing w:after="0" w:line="941" w:lineRule="auto"/>
        <w:tabs>
          <w:tab w:leader="none" w:pos="2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achieve our timelines or obtain timely regulatory approvals of product candidates.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-295910</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1" w:right="319" w:bottom="1440" w:gutter="0" w:footer="0" w:header="0"/>
        </w:sectPr>
      </w:pPr>
    </w:p>
    <w:bookmarkStart w:id="38" w:name="page39"/>
    <w:bookmarkEnd w:id="38"/>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able to meet requirements for chemistry, manufacturing and control of our programs.</w:t>
      </w:r>
    </w:p>
    <w:p>
      <w:pPr>
        <w:spacing w:after="0" w:line="49" w:lineRule="exact"/>
        <w:rPr>
          <w:rFonts w:ascii="Arial" w:cs="Arial" w:eastAsia="Arial" w:hAnsi="Arial"/>
          <w:sz w:val="16"/>
          <w:szCs w:val="16"/>
          <w:color w:val="auto"/>
        </w:rPr>
      </w:pPr>
    </w:p>
    <w:p>
      <w:pPr>
        <w:ind w:left="287" w:hanging="287"/>
        <w:spacing w:after="0" w:line="271" w:lineRule="auto"/>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product candidates may face competition sooner than anticipated based on rules and regulations that may apply or government decisions with respect to our intellectual property.</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Even if we receive regulatory approval, we will be subject to extensive ongoing regulatory obligations.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negatively impacted by healthcare legislative reform measures and other changes in law.</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potential revenue may be adversely affected due to unfavorable regulations, laws and/or policies.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face criminal liability or other consequences if we violate U.S. and foreign trade regulations.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accelerated review designations we may pursue may not hasten development or regulatory review.</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negatively impacted by disruptions at the FDA and other government agencies, including as a result of a government shutdown.</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50" w:lineRule="exact"/>
        <w:rPr>
          <w:sz w:val="20"/>
          <w:szCs w:val="20"/>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fail in obtaining, maintaining and protecting our patents and other proprietary rights.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subject to patent infringement claims or may need to file such claims.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subject to claims of wrongful hiring of employees or wrongful use of confidential information.</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patents and our ability to protect our products may be impaired by changes to patent laws.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patent protection could be reduced or eliminated for non-compliance with legal requirements.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fail to identify or interpret relevant third-party patents.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become subject to claims challenging the inventorship or ownership of our intellectual property.</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Patent terms may be inadequate to protect our competitive position of our programs.</w:t>
      </w:r>
    </w:p>
    <w:p>
      <w:pPr>
        <w:spacing w:after="0" w:line="49" w:lineRule="exact"/>
        <w:rPr>
          <w:rFonts w:ascii="Arial" w:cs="Arial" w:eastAsia="Arial" w:hAnsi="Arial"/>
          <w:sz w:val="16"/>
          <w:szCs w:val="16"/>
          <w:color w:val="auto"/>
        </w:rPr>
      </w:pPr>
    </w:p>
    <w:p>
      <w:pPr>
        <w:ind w:left="287" w:hanging="287"/>
        <w:spacing w:after="0" w:line="271" w:lineRule="auto"/>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technology licensed from various third parties may be subject to retained rights or may be affected by failure to comply with obligations in license agreements or other disruptions to business relationships with licensors resulting in loss of license rights that are important to our business.</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limited foreign intellectual property rights and may not be able to protect our intellectual property and proprietary rights throughout the world.</w:t>
      </w:r>
    </w:p>
    <w:p>
      <w:pPr>
        <w:spacing w:after="0" w:line="49" w:lineRule="exact"/>
        <w:rPr>
          <w:rFonts w:ascii="Arial" w:cs="Arial" w:eastAsia="Arial" w:hAnsi="Arial"/>
          <w:sz w:val="16"/>
          <w:szCs w:val="16"/>
          <w:color w:val="auto"/>
        </w:rPr>
      </w:pPr>
    </w:p>
    <w:p>
      <w:pPr>
        <w:ind w:left="287" w:right="560" w:hanging="287"/>
        <w:spacing w:after="0" w:line="257" w:lineRule="auto"/>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intellectual property landscape around engineered antibodies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Risks Related to Our Reliance on Third Parties</w:t>
      </w:r>
    </w:p>
    <w:p>
      <w:pPr>
        <w:spacing w:after="0" w:line="50" w:lineRule="exact"/>
        <w:rPr>
          <w:sz w:val="20"/>
          <w:szCs w:val="20"/>
          <w:color w:val="auto"/>
        </w:rPr>
      </w:pPr>
    </w:p>
    <w:p>
      <w:pPr>
        <w:ind w:left="267" w:hanging="267"/>
        <w:spacing w:after="0"/>
        <w:tabs>
          <w:tab w:leader="none" w:pos="2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fail to maintain collaborations and licensing arrangements with third parties that we rely on.</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Third parties we rely on for nonclinical studies and clinical trials may fail to satisfy contractual duties.</w:t>
      </w:r>
    </w:p>
    <w:p>
      <w:pPr>
        <w:spacing w:after="0" w:line="49" w:lineRule="exact"/>
        <w:rPr>
          <w:rFonts w:ascii="Arial" w:cs="Arial" w:eastAsia="Arial" w:hAnsi="Arial"/>
          <w:sz w:val="16"/>
          <w:szCs w:val="16"/>
          <w:color w:val="auto"/>
        </w:rPr>
      </w:pPr>
    </w:p>
    <w:p>
      <w:pPr>
        <w:ind w:left="287" w:right="20" w:hanging="287"/>
        <w:spacing w:after="0" w:line="271" w:lineRule="auto"/>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use third-party manufacturing sites, our third-party manufacturers may encounter difficulties in production or we may need to switch or create third-party manufacturer redundancies.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Risks Related to Employee Matters, Managing Growth and Other Risks Related to Our Business</w:t>
      </w:r>
    </w:p>
    <w:p>
      <w:pPr>
        <w:spacing w:after="0" w:line="50" w:lineRule="exact"/>
        <w:rPr>
          <w:sz w:val="20"/>
          <w:szCs w:val="20"/>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experience difficulties in managing the growth of our organization.</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fail to attract or retain highly qualified personnel.</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operate in foreign markets is subject to regulatory burdens, risks and uncertainties.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estimates of market opportunity may be inaccurate and our business may not grow at similar rates.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employees or third parties may engage in misconduct or other improper activities.</w:t>
      </w:r>
    </w:p>
    <w:p>
      <w:pPr>
        <w:spacing w:after="0" w:line="49" w:lineRule="exact"/>
        <w:rPr>
          <w:rFonts w:ascii="Arial" w:cs="Arial" w:eastAsia="Arial" w:hAnsi="Arial"/>
          <w:sz w:val="16"/>
          <w:szCs w:val="16"/>
          <w:color w:val="auto"/>
        </w:rPr>
      </w:pPr>
    </w:p>
    <w:p>
      <w:pPr>
        <w:ind w:left="287" w:right="20" w:hanging="287"/>
        <w:spacing w:after="0" w:line="271" w:lineRule="auto"/>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impacted by information security incidents, cybersecurity or data breaches or other improper access to our data that could have a negative impact on our business or reputation.</w:t>
      </w:r>
    </w:p>
    <w:p>
      <w:pPr>
        <w:spacing w:after="0" w:line="5" w:lineRule="exact"/>
        <w:rPr>
          <w:rFonts w:ascii="Arial" w:cs="Arial" w:eastAsia="Arial" w:hAnsi="Arial"/>
          <w:sz w:val="16"/>
          <w:szCs w:val="16"/>
          <w:color w:val="auto"/>
        </w:rPr>
      </w:pPr>
    </w:p>
    <w:p>
      <w:pPr>
        <w:ind w:left="287" w:right="20" w:hanging="287"/>
        <w:spacing w:after="0" w:line="271" w:lineRule="auto"/>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expanding use of AI exposes us to operational, regulatory, legal, and ethical risks that could adversely affect our business, reputation, financial condition, and results of operations.</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use our net operating loss carryforwards and certain other tax attributes may be limited.</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fail to comply with privacy, data security, safety and other regulations despite compliance efforts.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subject to adverse legislative or regulatory tax changes.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fail to realize the benefits of our business or product acquisitions or our strategic alliances.</w:t>
      </w: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059" w:right="319" w:bottom="1440" w:gutter="0" w:footer="0" w:header="0"/>
        </w:sectPr>
      </w:pPr>
    </w:p>
    <w:bookmarkStart w:id="39" w:name="page40"/>
    <w:bookmarkEnd w:id="39"/>
    <w:p>
      <w:pPr>
        <w:ind w:left="7"/>
        <w:spacing w:after="0"/>
        <w:rPr>
          <w:sz w:val="20"/>
          <w:szCs w:val="20"/>
          <w:color w:val="auto"/>
        </w:rPr>
      </w:pPr>
      <w:r>
        <w:rPr>
          <w:rFonts w:ascii="Arial" w:cs="Arial" w:eastAsia="Arial" w:hAnsi="Arial"/>
          <w:sz w:val="16"/>
          <w:szCs w:val="16"/>
          <w:b w:val="1"/>
          <w:bCs w:val="1"/>
          <w:i w:val="1"/>
          <w:iCs w:val="1"/>
          <w:color w:val="auto"/>
        </w:rPr>
        <w:t>Risks Related to Our Common Stock</w:t>
      </w:r>
    </w:p>
    <w:p>
      <w:pPr>
        <w:spacing w:after="0" w:line="50" w:lineRule="exact"/>
        <w:rPr>
          <w:sz w:val="20"/>
          <w:szCs w:val="20"/>
          <w:color w:val="auto"/>
        </w:rPr>
      </w:pPr>
    </w:p>
    <w:p>
      <w:pPr>
        <w:ind w:left="267" w:hanging="267"/>
        <w:spacing w:after="0"/>
        <w:tabs>
          <w:tab w:leader="none" w:pos="2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market price of our common stock has historically been volatile and may drop in the future.</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certificate of incorporation, Delaware law and certain contracts include anti-takeover provisions.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do not anticipate paying any dividends in the foreseeable future.</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Future sales and issuances of equity/debt may dilute stockholders and/or result in a drop in our stock price.</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principal stockholders own a significant percentage of our stock.</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50" w:lineRule="exact"/>
        <w:rPr>
          <w:sz w:val="20"/>
          <w:szCs w:val="20"/>
          <w:color w:val="auto"/>
        </w:rPr>
      </w:pPr>
    </w:p>
    <w:p>
      <w:pPr>
        <w:ind w:left="267" w:hanging="267"/>
        <w:spacing w:after="0"/>
        <w:tabs>
          <w:tab w:leader="none" w:pos="2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 liability insurance may be insufficient to cover costly and damaging liability claims.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Litigation costs and the outcome of litigation could have a material adverse effect on our business.</w:t>
      </w:r>
    </w:p>
    <w:p>
      <w:pPr>
        <w:spacing w:after="0" w:line="49" w:lineRule="exact"/>
        <w:rPr>
          <w:rFonts w:ascii="Arial" w:cs="Arial" w:eastAsia="Arial" w:hAnsi="Arial"/>
          <w:sz w:val="16"/>
          <w:szCs w:val="16"/>
          <w:color w:val="auto"/>
        </w:rPr>
      </w:pPr>
    </w:p>
    <w:p>
      <w:pPr>
        <w:ind w:left="267" w:hanging="267"/>
        <w:spacing w:after="0"/>
        <w:tabs>
          <w:tab w:leader="none" w:pos="2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continue to incur significant costs for compliance with public company laws and regulations.</w:t>
      </w:r>
    </w:p>
    <w:p>
      <w:pPr>
        <w:spacing w:after="0" w:line="49" w:lineRule="exact"/>
        <w:rPr>
          <w:rFonts w:ascii="Arial" w:cs="Arial" w:eastAsia="Arial" w:hAnsi="Arial"/>
          <w:sz w:val="16"/>
          <w:szCs w:val="16"/>
          <w:color w:val="auto"/>
        </w:rPr>
      </w:pPr>
    </w:p>
    <w:p>
      <w:pPr>
        <w:jc w:val="both"/>
        <w:ind w:left="287" w:right="20" w:hanging="287"/>
        <w:spacing w:after="0" w:line="252" w:lineRule="auto"/>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failure to maintain proper and effective internal controls may adversely affect our ability to report our financial condition and results of operations in a timely and accurate manner, decrease investor confidence in us, and reduce the value of our common stock. For example, in the fourth quarter of 2024, we identified a material weakness in our internal control over financial reporting which resulted in restatements of our previously-issued financial statements to amend certain net loss per share disclosures.</w:t>
      </w:r>
    </w:p>
    <w:p>
      <w:pPr>
        <w:spacing w:after="0" w:line="21" w:lineRule="exact"/>
        <w:rPr>
          <w:rFonts w:ascii="Arial" w:cs="Arial" w:eastAsia="Arial" w:hAnsi="Arial"/>
          <w:sz w:val="16"/>
          <w:szCs w:val="16"/>
          <w:color w:val="auto"/>
        </w:rPr>
      </w:pPr>
    </w:p>
    <w:p>
      <w:pPr>
        <w:ind w:left="267" w:hanging="267"/>
        <w:spacing w:after="0"/>
        <w:tabs>
          <w:tab w:leader="none" w:pos="2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 could be adversely affected by macroeconomic conditions, including geopolitical unrest.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We will need to raise additional capital, and if we are unable to do so when needed, we will not be able to continue as a going concern.</w:t>
      </w:r>
    </w:p>
    <w:p>
      <w:pPr>
        <w:spacing w:after="0" w:line="190" w:lineRule="exact"/>
        <w:rPr>
          <w:sz w:val="20"/>
          <w:szCs w:val="20"/>
          <w:color w:val="auto"/>
        </w:rPr>
      </w:pPr>
    </w:p>
    <w:p>
      <w:pPr>
        <w:jc w:val="both"/>
        <w:ind w:left="7" w:right="20" w:firstLine="561"/>
        <w:spacing w:after="0" w:line="271" w:lineRule="auto"/>
        <w:rPr>
          <w:sz w:val="20"/>
          <w:szCs w:val="20"/>
          <w:color w:val="auto"/>
        </w:rPr>
      </w:pPr>
      <w:r>
        <w:rPr>
          <w:rFonts w:ascii="Arial" w:cs="Arial" w:eastAsia="Arial" w:hAnsi="Arial"/>
          <w:sz w:val="16"/>
          <w:szCs w:val="16"/>
          <w:color w:val="auto"/>
        </w:rPr>
        <w:t>As of March 31, 2026, we had $741.5 million of cash, cash equivalents, and marketable securities. We will need to raise additional capital to continue to fund our operations in the future. If we are unable to raise additional capital when needed, we will not be able to continue as a going concern.</w:t>
      </w:r>
    </w:p>
    <w:p>
      <w:pPr>
        <w:spacing w:after="0" w:line="145" w:lineRule="exact"/>
        <w:rPr>
          <w:sz w:val="20"/>
          <w:szCs w:val="20"/>
          <w:color w:val="auto"/>
        </w:rPr>
      </w:pPr>
    </w:p>
    <w:p>
      <w:pPr>
        <w:jc w:val="both"/>
        <w:ind w:left="7" w:firstLine="561"/>
        <w:spacing w:after="0" w:line="246" w:lineRule="auto"/>
        <w:rPr>
          <w:sz w:val="20"/>
          <w:szCs w:val="20"/>
          <w:color w:val="auto"/>
        </w:rPr>
      </w:pPr>
      <w:r>
        <w:rPr>
          <w:rFonts w:ascii="Arial" w:cs="Arial" w:eastAsia="Arial" w:hAnsi="Arial"/>
          <w:sz w:val="16"/>
          <w:szCs w:val="16"/>
          <w:color w:val="auto"/>
        </w:rPr>
        <w:t>Developing our product candidates requires a substantial amount of capital. We expect our research and development expenses to increase in connection with our ongoing activities, particularly as we advance our product candidates through clinical trials. We will need to raise additional capital to fund our operations and such funding may not be available to us on acceptable terms, or at all, and such funding may become even more difficult to obtain due to macroeconomic conditions, including rising interest rates, tariffs and trade restrictions, global conflicts, and other conditions that could result in volatility in the U.S. capital markets and the biotechnology sector in general. Competition for additional capital among biotechnology companies may be particularly intense during economic uncertainty. We may be unable to raise capital through public offerings of our common stock and may need to turn to alternative financing arrangements. Such arrangements, if we pursue them, could involve sources of funding, such as issuances of secured debt and structured revenue-based financing, and/or issuances of one or more types of securities, including common stock, preferred stock, convertible debt, warrants to acquire common stock or other securities. These securities could be issued at or below the then prevailing market price for our common stock. In addition, if we issue secured debt or debt securities, the holders of the debt would have a claim to our assets that would be superior to the rights of stockholders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common stock, the market price of our common stock could be materially and adversely affected.</w:t>
      </w:r>
    </w:p>
    <w:p>
      <w:pPr>
        <w:spacing w:after="0" w:line="165" w:lineRule="exact"/>
        <w:rPr>
          <w:sz w:val="20"/>
          <w:szCs w:val="20"/>
          <w:color w:val="auto"/>
        </w:rPr>
      </w:pPr>
    </w:p>
    <w:p>
      <w:pPr>
        <w:jc w:val="both"/>
        <w:ind w:left="7" w:firstLine="561"/>
        <w:spacing w:after="0" w:line="295" w:lineRule="auto"/>
        <w:rPr>
          <w:sz w:val="20"/>
          <w:szCs w:val="20"/>
          <w:color w:val="auto"/>
        </w:rPr>
      </w:pPr>
      <w:r>
        <w:rPr>
          <w:rFonts w:ascii="Arial" w:cs="Arial" w:eastAsia="Arial" w:hAnsi="Arial"/>
          <w:sz w:val="14"/>
          <w:szCs w:val="14"/>
          <w:color w:val="auto"/>
        </w:rPr>
        <w:t>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nonclinical studies and clinical trials and other product development activities, regulatory events, our ability to identify and enter into licensing or other strategic arrangements, and other events or conditions that may affect our value or prospects, as well as factors related to political, financial, economic and market conditions, many of which are beyond our control. There can be no assurances that sufficient funds will be available to us when required or on acceptable terms, if at all.</w:t>
      </w:r>
    </w:p>
    <w:p>
      <w:pPr>
        <w:spacing w:after="0" w:line="200" w:lineRule="exact"/>
        <w:rPr>
          <w:sz w:val="20"/>
          <w:szCs w:val="20"/>
          <w:color w:val="auto"/>
        </w:rPr>
      </w:pPr>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199" w:right="319" w:bottom="1440" w:gutter="0" w:footer="0" w:header="0"/>
        </w:sectPr>
      </w:pPr>
    </w:p>
    <w:bookmarkStart w:id="40" w:name="page41"/>
    <w:bookmarkEnd w:id="40"/>
    <w:p>
      <w:pPr>
        <w:ind w:left="560"/>
        <w:spacing w:after="0"/>
        <w:rPr>
          <w:sz w:val="20"/>
          <w:szCs w:val="20"/>
          <w:color w:val="auto"/>
        </w:rPr>
      </w:pPr>
      <w:r>
        <w:rPr>
          <w:rFonts w:ascii="Arial" w:cs="Arial" w:eastAsia="Arial" w:hAnsi="Arial"/>
          <w:sz w:val="16"/>
          <w:szCs w:val="16"/>
          <w:color w:val="auto"/>
        </w:rPr>
        <w:t>If we are unable to raise additional capital when required or on acceptable terms, we may be required to:</w:t>
      </w:r>
    </w:p>
    <w:p>
      <w:pPr>
        <w:spacing w:after="0" w:line="96" w:lineRule="exact"/>
        <w:rPr>
          <w:sz w:val="20"/>
          <w:szCs w:val="20"/>
          <w:color w:val="auto"/>
        </w:rPr>
      </w:pPr>
    </w:p>
    <w:p>
      <w:pPr>
        <w:ind w:left="560" w:hanging="286"/>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w:t>
      </w:r>
    </w:p>
    <w:p>
      <w:pPr>
        <w:spacing w:after="0" w:line="96" w:lineRule="exact"/>
        <w:rPr>
          <w:rFonts w:ascii="Arial" w:cs="Arial" w:eastAsia="Arial" w:hAnsi="Arial"/>
          <w:sz w:val="16"/>
          <w:szCs w:val="16"/>
          <w:color w:val="auto"/>
        </w:rPr>
      </w:pPr>
    </w:p>
    <w:p>
      <w:pPr>
        <w:ind w:left="560" w:hanging="286"/>
        <w:spacing w:after="0" w:line="344" w:lineRule="auto"/>
        <w:tabs>
          <w:tab w:leader="none" w:pos="5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spacing w:after="0" w:line="5" w:lineRule="exact"/>
        <w:rPr>
          <w:rFonts w:ascii="Arial" w:cs="Arial" w:eastAsia="Arial" w:hAnsi="Arial"/>
          <w:sz w:val="14"/>
          <w:szCs w:val="14"/>
          <w:color w:val="auto"/>
        </w:rPr>
      </w:pPr>
    </w:p>
    <w:p>
      <w:pPr>
        <w:ind w:left="560" w:right="20" w:hanging="286"/>
        <w:spacing w:after="0" w:line="271"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dispose of technology assets, or relinquish or license on unfavorable terms, our rights to technologies or any of our product candidates that we otherwise would seek to develop or commercialize ourselves;</w:t>
      </w:r>
    </w:p>
    <w:p>
      <w:pPr>
        <w:spacing w:after="0" w:line="51" w:lineRule="exact"/>
        <w:rPr>
          <w:rFonts w:ascii="Arial" w:cs="Arial" w:eastAsia="Arial" w:hAnsi="Arial"/>
          <w:sz w:val="16"/>
          <w:szCs w:val="16"/>
          <w:color w:val="auto"/>
        </w:rPr>
      </w:pPr>
    </w:p>
    <w:p>
      <w:pPr>
        <w:ind w:left="560" w:hanging="286"/>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pursue the sale of our company to a third party at a price that may result in a loss on investment for our stockholders; or</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 for bankruptcy or cease operations altogether (and face any related legal proceedings).</w:t>
      </w:r>
    </w:p>
    <w:p>
      <w:pPr>
        <w:spacing w:after="0" w:line="190"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Any of these events could have a material adverse effect on our business, operating results and prospects. Even if successful in raising new capital, we could be limited in the amount of capital we raise due to investor demand restrictions placed on the amount of capital we raise or other reasons.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Additionally, any capital raising efforts are subject to significant risks and contingencies, as described in more detail under the risk factor titled “Raising additional capital may cause dilution to our stockholders, restrict our operations, or require us to relinquish rights.”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never generated any revenue from product sales and may never be profitable.</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spacing w:after="0" w:line="68" w:lineRule="exact"/>
        <w:rPr>
          <w:sz w:val="20"/>
          <w:szCs w:val="20"/>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completing research and development of our product candidates;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obtaining regulatory and marketing approvals for our product candidates for which we complete clinical trials;</w:t>
      </w:r>
    </w:p>
    <w:p>
      <w:pPr>
        <w:spacing w:after="0" w:line="96"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w:t>
      </w:r>
    </w:p>
    <w:p>
      <w:pPr>
        <w:spacing w:after="0" w:line="51"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qualify for adequate coverage and reimbursement by government and third-party payors for any product candidates for which we obtain regulatory and marketing approval;</w:t>
      </w:r>
    </w:p>
    <w:p>
      <w:pPr>
        <w:spacing w:after="0" w:line="51"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marketing, launching, and commercializing product candidates for which we obtain regulatory and marketing approval, either directly or with a collaborator or distributor;</w:t>
      </w:r>
    </w:p>
    <w:p>
      <w:pPr>
        <w:spacing w:after="0" w:line="51"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gaining market acceptance of our product candidates as treatment options;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addressing any competing products and technological and market developments;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implementing internal systems and infrastructure, as needed;</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protecting and enforcing our intellectual property rights, including patents, trade secrets, and know-how;</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into which we may enter;</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obtaining coverage and adequate reimbursement from third-party payors and maintaining pricing for our product candidates that supports profitability; and</w:t>
      </w:r>
    </w:p>
    <w:p>
      <w:pPr>
        <w:spacing w:after="0" w:line="119" w:lineRule="exact"/>
        <w:rPr>
          <w:rFonts w:ascii="Arial" w:cs="Arial" w:eastAsia="Arial" w:hAnsi="Arial"/>
          <w:sz w:val="14"/>
          <w:szCs w:val="14"/>
          <w:color w:val="auto"/>
        </w:rPr>
      </w:pPr>
    </w:p>
    <w:p>
      <w:pPr>
        <w:ind w:left="560" w:hanging="286"/>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41" w:name="page42"/>
    <w:bookmarkEnd w:id="41"/>
    <w:p>
      <w:pPr>
        <w:jc w:val="both"/>
        <w:ind w:firstLine="561"/>
        <w:spacing w:after="0" w:line="247"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 addition to those that we are currently conducting or anticipate. Even if we are able to generate revenues from the sale of any approved products, we may not become profitable and may need to obtain additional funding to continue operations. Portions of our research programs may be in-licensed from third parties, which make the commercial sale of such in-licensed products potentially subject to additional royalty and milestone payments to such third parties. We will also have to develop or acquire manufacturing capabilities or continue to contract with contract manufacturers in order to continue development and potential commercialization of our product candidates. For instance, if the costs of manufacturing our biologic product are not commercially feasible, we will need to develop or procure our biologic product in a commercially feasible manner in order to successfully commercialize a future approved product, if any. Additionally, if we are not able to generate revenue from the sale of any approved products, we may never become profitable.</w:t>
      </w:r>
    </w:p>
    <w:p>
      <w:pPr>
        <w:spacing w:after="0" w:line="16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have historically incurred losses, have a limited operating history on which to assess our business, and anticipate that we will continue to incur significant losses for the foreseeable future.</w:t>
      </w:r>
    </w:p>
    <w:p>
      <w:pPr>
        <w:spacing w:after="0" w:line="130" w:lineRule="exact"/>
        <w:rPr>
          <w:sz w:val="20"/>
          <w:szCs w:val="20"/>
          <w:color w:val="auto"/>
        </w:rPr>
      </w:pPr>
    </w:p>
    <w:p>
      <w:pPr>
        <w:jc w:val="both"/>
        <w:ind w:right="20" w:firstLine="561"/>
        <w:spacing w:after="0" w:line="257" w:lineRule="auto"/>
        <w:rPr>
          <w:sz w:val="20"/>
          <w:szCs w:val="20"/>
          <w:color w:val="auto"/>
        </w:rPr>
      </w:pPr>
      <w:r>
        <w:rPr>
          <w:rFonts w:ascii="Arial" w:cs="Arial" w:eastAsia="Arial" w:hAnsi="Arial"/>
          <w:sz w:val="16"/>
          <w:szCs w:val="16"/>
          <w:color w:val="auto"/>
        </w:rPr>
        <w:t>We are a biopharmaceutical company with a limited operating history. Since inception, we have incurred significant operating losses. For the years ended December 31, 2025, 2024 and 2023, we reported a net loss of $155.2 million, $208.0 million and $338.8 million, respectively. As of March 31, 2026, we had an accumulated deficit of $1.2 billion. We will need to raise substantial additional capital to continue to fund our operations in the future.</w:t>
      </w:r>
    </w:p>
    <w:p>
      <w:pPr>
        <w:spacing w:after="0" w:line="157"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w:t>
      </w:r>
    </w:p>
    <w:p>
      <w:pPr>
        <w:spacing w:after="0" w:line="164"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We have devoted substantially all of our financial resources to identify, acquire, and develop our product candidates, including conducting nonclinical and clinical development of the legacy rare disease clinical trials conducted by us prior to the Asset Acquisition and the nonclinical and clinical development of our current pipeline, and providing general and administrative support for our operations. To date, we have funded our operations primarily from the sale and issuance of convertible preferred and common equity securities, pre-funded warrants, the collection of grant proceeds, and the licensing of our product rights for commercialization of pegzilarginase in Europe and certain countries in the Middle East.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or have a product candidate approved for commercialization. We expect to invest significant funds into the research and development of our current product candidates to determine the potential to advance these product candidates to regulatory approval.</w:t>
      </w:r>
    </w:p>
    <w:p>
      <w:pPr>
        <w:spacing w:after="0" w:line="17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42" w:name="page43"/>
    <w:bookmarkEnd w:id="42"/>
    <w:p>
      <w:pPr>
        <w:ind w:right="20" w:firstLine="561"/>
        <w:spacing w:after="0" w:line="271"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and our expenses will increase substantially if and as we:</w:t>
      </w:r>
    </w:p>
    <w:p>
      <w:pPr>
        <w:spacing w:after="0" w:line="52" w:lineRule="exact"/>
        <w:rPr>
          <w:sz w:val="20"/>
          <w:szCs w:val="20"/>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 the nonclinical and clinical development of our product candidates;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 efforts to discover and develop new product candidates;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 the manufacturing of our product candidates or increase volumes manufactured by third parties;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advance our product candidates into larger, more expensive clinical trials;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initiate additional nonclinical studies or clinical trials for our product candidates;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seek regulatory and marketing approvals and reimbursement for our product candidates;</w:t>
      </w:r>
    </w:p>
    <w:p>
      <w:pPr>
        <w:spacing w:after="0" w:line="96"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 and market for ourselves;</w:t>
      </w:r>
    </w:p>
    <w:p>
      <w:pPr>
        <w:spacing w:after="0" w:line="51"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seek to identify, assess, acquire, and/or develop other product candidates;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milestone, royalty, or other payments under third-party license agreements;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seek to maintain, protect, and expand our intellectual property portfolio;</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seek to attract and retain skilled personnel; and</w:t>
      </w:r>
    </w:p>
    <w:p>
      <w:pPr>
        <w:spacing w:after="0" w:line="96" w:lineRule="exact"/>
        <w:rPr>
          <w:rFonts w:ascii="Arial" w:cs="Arial" w:eastAsia="Arial" w:hAnsi="Arial"/>
          <w:sz w:val="16"/>
          <w:szCs w:val="16"/>
          <w:color w:val="auto"/>
        </w:rPr>
      </w:pPr>
    </w:p>
    <w:p>
      <w:pPr>
        <w:jc w:val="both"/>
        <w:ind w:left="560" w:hanging="286"/>
        <w:spacing w:after="0" w:line="257" w:lineRule="auto"/>
        <w:tabs>
          <w:tab w:leader="none" w:pos="5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experience any delays or encounter issues with the development and potential for regulatory approval of our clinical and product candidates such as safety issues, manufacturing delays, clinical trial accrual delays, longer follow-up for ongoing or planned studies or trials, additional major studies or trials, or supportive trials necessary to support marketing approval.</w:t>
      </w:r>
    </w:p>
    <w:p>
      <w:pPr>
        <w:spacing w:after="0" w:line="157"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w:t>
      </w:r>
    </w:p>
    <w:p>
      <w:pPr>
        <w:spacing w:after="0" w:line="190" w:lineRule="exact"/>
        <w:rPr>
          <w:sz w:val="20"/>
          <w:szCs w:val="20"/>
          <w:color w:val="auto"/>
        </w:rPr>
      </w:pPr>
    </w:p>
    <w:p>
      <w:pPr>
        <w:jc w:val="both"/>
        <w:ind w:firstLine="561"/>
        <w:spacing w:after="0" w:line="295" w:lineRule="auto"/>
        <w:rPr>
          <w:sz w:val="20"/>
          <w:szCs w:val="20"/>
          <w:color w:val="auto"/>
        </w:rPr>
      </w:pPr>
      <w:r>
        <w:rPr>
          <w:rFonts w:ascii="Arial" w:cs="Arial" w:eastAsia="Arial" w:hAnsi="Arial"/>
          <w:sz w:val="14"/>
          <w:szCs w:val="14"/>
          <w:color w:val="auto"/>
        </w:rPr>
        <w:t>Until such time, if ever, as we can generate substantial revenue from the sale of our product candidates, we expect to finance our cash needs through a combination of equity offerings, debt financings and license and development agreements. To the extent that we raise additional capital through the sale of equity securities or convertible debt securities, the ownership interest of our stockholders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32"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w:t>
      </w:r>
    </w:p>
    <w:p>
      <w:pPr>
        <w:spacing w:after="0" w:line="163"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To the extent that we raise additional capital through the sale of equity, including pursuant to any sales under convertible debt or other securities convertible into equity, the ownership interest of our stockholders will be diluted, and the terms of these new securities may include liquidation or other preferences that adversely affect the rights of our stockholders. For instance, in December 2023, we sold an aggregate of 6,000,000 shares of our common stock and 150,000 shares of our Series B Preferred Stock pursuant to a private placement to certain investors for gross proceeds of approximately $180 million, in March 2024, we sold an aggregate of 121,625 shares of our Series B Preferred Stock pursuant to a private placement to certain investors for gross proceeds of approximately $180 million, in October 2025, we sold 17,094,594 shares of our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16"/>
          <w:szCs w:val="16"/>
          <w:color w:val="auto"/>
        </w:rPr>
        <w:t>common stock in an underwritten public offering for gross proceeds of approximately $316 million and in April 2026, we sold 7,475,000 shares of our common stock in an underwritten public offering for gross proceeds of approximately $ 463 million. Subject to certain beneficial ownership limitations set by each holder of Series B Preferred Stock, each share of Series B Preferred Stock is convertible into an aggregate of 40 shares of our common stock. Following stockholder approval of the Series B Conversion Proposal, 254,958 shares of Series B Preferred Stock automatically converted to 10,198,320 shares of common stock; 16,667 shares of Series B Preferred Stock did not automatically convert due to beneficial ownership limitations and remain outstanding as of March 31, 2026.</w:t>
      </w:r>
    </w:p>
    <w:p>
      <w:pPr>
        <w:spacing w:after="0" w:line="163"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Discovery, Development and Commercialization</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programs for the diseases and/or mechanisms of action targeted by our product candidates.</w:t>
      </w:r>
    </w:p>
    <w:p>
      <w:pPr>
        <w:spacing w:after="0" w:line="130"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nonclinical testing, clinical trial conduct,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recruiting participants for clinical trials, as well as in acquiring technologies complementary to, or necessary for, our product candidates.</w:t>
      </w:r>
    </w:p>
    <w:p>
      <w:pPr>
        <w:spacing w:after="0" w:line="142" w:lineRule="exact"/>
        <w:rPr>
          <w:sz w:val="20"/>
          <w:szCs w:val="20"/>
          <w:color w:val="auto"/>
        </w:rPr>
      </w:pPr>
    </w:p>
    <w:p>
      <w:pPr>
        <w:jc w:val="both"/>
        <w:ind w:firstLine="561"/>
        <w:spacing w:after="0" w:line="291" w:lineRule="auto"/>
        <w:rPr>
          <w:sz w:val="20"/>
          <w:szCs w:val="20"/>
          <w:color w:val="auto"/>
        </w:rPr>
      </w:pPr>
      <w:r>
        <w:rPr>
          <w:rFonts w:ascii="Arial" w:cs="Arial" w:eastAsia="Arial" w:hAnsi="Arial"/>
          <w:sz w:val="14"/>
          <w:szCs w:val="14"/>
          <w:color w:val="auto"/>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competitive safety, efficacy, dosing and/or presentation profiles.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See the section titled “Business – Competition” in our most recent Annual Report for more discussion about our competitors.</w:t>
      </w:r>
    </w:p>
    <w:p>
      <w:pPr>
        <w:spacing w:after="0" w:line="137"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Furthermore, adverse events or disappointing results in clinical trials of third parties, including our competitors developing product candidates that target similar mechanisms of action and/or in the same indications as our product candidates, could reduce expectations regarding the potential success or perceived benefits of any of our programs, increase regulatory scrutiny of our product candidates, decrease confidence of current or potential trial participants and clinical trial collaborators in our investigational programs and/or have a negative impact on collaborations or demand for any product we may develop. These events also could result in the suspension, discontinuation, or clinical hold of or modification to our clinical trials. If public perception is influenced by claims that the use of therapies with shared or similar characteristics as ours is unsafe, ineffective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44" w:name="page45"/>
    <w:bookmarkEnd w:id="44"/>
    <w:p>
      <w:pPr>
        <w:jc w:val="both"/>
        <w:spacing w:after="0" w:line="250" w:lineRule="auto"/>
        <w:rPr>
          <w:sz w:val="20"/>
          <w:szCs w:val="20"/>
          <w:color w:val="auto"/>
        </w:rPr>
      </w:pPr>
      <w:r>
        <w:rPr>
          <w:rFonts w:ascii="Arial" w:cs="Arial" w:eastAsia="Arial" w:hAnsi="Arial"/>
          <w:sz w:val="16"/>
          <w:szCs w:val="16"/>
          <w:color w:val="auto"/>
        </w:rPr>
        <w:t>or otherwise fails to meet expectations, our product candidates may not be accepted or favored by the general public, the medical community or the investment community and potential clinical trial subjects may be discouraged from enrolling in our clinical trials or may discontinue their participation in our clinical trials. Negative developments could result in reduced probability of success of clinical trials involving our product candidates, challenges enrolling clinical trial participants, greater governmental regulation, stricter labeling requirements, decreased market potential and potential regulatory delays in the testing or approvals of our product candidates.</w:t>
      </w:r>
    </w:p>
    <w:p>
      <w:pPr>
        <w:spacing w:after="0" w:line="163"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In addition, because of the competitive landscape for inflammatory and immunology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Our product candidates are in clinical or preclinical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145"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We have no products on the market and all of our product candidates are in clinical or preclinical stages of development.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that we will ever obtain regulatory approval for any of our product candidates. We have not yet demonstrated our ability to obtain regulatory approvals, manufacture a commercial-scale product or arrange for a third party to do so on our behalf, or conduct sales and marketing activities necessary for successful product commercialization. Before obtaining regulatory approval for the commercial distribution of our product candidates, we or an existing or future collaborator must conduct extensive nonclinical tests and clinical trials to demonstrate the safety, potency and purity of our current and future product candidates.</w:t>
      </w:r>
    </w:p>
    <w:p>
      <w:pPr>
        <w:spacing w:after="0" w:line="164"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We or our collaborators may experience delays in initiating or completing nonclinical studies or clinical trials. We or our collaborators also may experience numerous unforeseen events during, or as a result of, any current or future nonclinical studies and clinical trials that we conduct that could delay or prevent our ability to achieve our development timelines, receive marketing approval or commercialize our current product candidates or any future product candidates, including:</w:t>
      </w:r>
    </w:p>
    <w:p>
      <w:pPr>
        <w:spacing w:after="0" w:line="68" w:lineRule="exact"/>
        <w:rPr>
          <w:sz w:val="20"/>
          <w:szCs w:val="20"/>
          <w:color w:val="auto"/>
        </w:rPr>
      </w:pPr>
    </w:p>
    <w:p>
      <w:pPr>
        <w:ind w:left="560" w:right="20" w:hanging="286"/>
        <w:spacing w:after="0" w:line="271"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regulators, such as the U.S. Food and Drug Administration (“FDA”), or ethics committees (“ECs”)/institutional review boards (“IRBs”) may not authorize us or our investigators to commence a clinical trial, conduct a clinical trial at a prospective trial site or as otherwise planned;</w:t>
      </w:r>
    </w:p>
    <w:p>
      <w:pPr>
        <w:spacing w:after="0" w:line="51" w:lineRule="exact"/>
        <w:rPr>
          <w:rFonts w:ascii="Arial" w:cs="Arial" w:eastAsia="Arial" w:hAnsi="Arial"/>
          <w:sz w:val="16"/>
          <w:szCs w:val="16"/>
          <w:color w:val="auto"/>
        </w:rPr>
      </w:pPr>
    </w:p>
    <w:p>
      <w:pPr>
        <w:jc w:val="both"/>
        <w:ind w:left="560" w:right="20" w:hanging="286"/>
        <w:spacing w:after="0" w:line="257"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and any CRO personnel changes could lead to operational delays or complications;</w:t>
      </w:r>
    </w:p>
    <w:p>
      <w:pPr>
        <w:spacing w:after="0" w:line="63" w:lineRule="exact"/>
        <w:rPr>
          <w:rFonts w:ascii="Arial" w:cs="Arial" w:eastAsia="Arial" w:hAnsi="Arial"/>
          <w:sz w:val="16"/>
          <w:szCs w:val="16"/>
          <w:color w:val="auto"/>
        </w:rPr>
      </w:pPr>
    </w:p>
    <w:p>
      <w:pPr>
        <w:ind w:left="560" w:hanging="286"/>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clinical trial sites may deviate from trial protocol or drop out of a clinical trial;</w:t>
      </w:r>
    </w:p>
    <w:p>
      <w:pPr>
        <w:spacing w:after="0" w:line="84" w:lineRule="exact"/>
        <w:rPr>
          <w:rFonts w:ascii="Arial" w:cs="Arial" w:eastAsia="Arial" w:hAnsi="Arial"/>
          <w:sz w:val="16"/>
          <w:szCs w:val="16"/>
          <w:color w:val="auto"/>
        </w:rPr>
      </w:pPr>
    </w:p>
    <w:p>
      <w:pPr>
        <w:jc w:val="both"/>
        <w:ind w:left="560" w:hanging="286"/>
        <w:spacing w:after="0" w:line="242"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clinical trials of any product candidates may fail to demonstrate safety or efficacy, produce negative or inconclusive results, or may otherwise fail to improve on the existing standard of care, and we may decide, or regulators may require us, to conduct additional nonclinical studies or clinical trials, or we may decide to abandon product development programs;</w:t>
      </w:r>
    </w:p>
    <w:p>
      <w:pPr>
        <w:spacing w:after="0" w:line="74" w:lineRule="exact"/>
        <w:rPr>
          <w:rFonts w:ascii="Arial" w:cs="Arial" w:eastAsia="Arial" w:hAnsi="Arial"/>
          <w:sz w:val="16"/>
          <w:szCs w:val="16"/>
          <w:color w:val="auto"/>
        </w:rPr>
      </w:pPr>
    </w:p>
    <w:p>
      <w:pPr>
        <w:jc w:val="both"/>
        <w:ind w:left="560" w:right="20" w:hanging="286"/>
        <w:spacing w:after="0" w:line="257"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participants required for clinical trials of any product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45" w:name="page46"/>
    <w:bookmarkEnd w:id="45"/>
    <w:p>
      <w:pPr>
        <w:ind w:left="560" w:hanging="286"/>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CROs or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51"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fail to adhere to clinical trial protocols or fail to perform in accordance with the FDA’s or any other regulatory authority’s good clinical practice (“GCP”) requirements or applicable regulatory guidelines in other countries or our clinical trial protocols may require changes;</w:t>
      </w:r>
    </w:p>
    <w:p>
      <w:pPr>
        <w:spacing w:after="0" w:line="51" w:lineRule="exact"/>
        <w:rPr>
          <w:rFonts w:ascii="Arial" w:cs="Arial" w:eastAsia="Arial" w:hAnsi="Arial"/>
          <w:sz w:val="16"/>
          <w:szCs w:val="16"/>
          <w:color w:val="auto"/>
        </w:rPr>
      </w:pPr>
    </w:p>
    <w:p>
      <w:pPr>
        <w:jc w:val="both"/>
        <w:ind w:left="560" w:right="20" w:hanging="286"/>
        <w:spacing w:after="0" w:line="257"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elect to, or regulators and/or ECs/IRBs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p>
      <w:pPr>
        <w:spacing w:after="0" w:line="63" w:lineRule="exact"/>
        <w:rPr>
          <w:rFonts w:ascii="Arial" w:cs="Arial" w:eastAsia="Arial" w:hAnsi="Arial"/>
          <w:sz w:val="16"/>
          <w:szCs w:val="16"/>
          <w:color w:val="auto"/>
        </w:rPr>
      </w:pPr>
    </w:p>
    <w:p>
      <w:pPr>
        <w:ind w:left="560" w:hanging="286"/>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select clinical endpoints that require prolonged periods of observation or analyses of resulting data;</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experience delays if we or our CMOs are required to make changes to manufacturing processes;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experience delays in identifying, recruiting and training suitable clinical investigators and their study teams;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 of clinical trials of any of our programs may be greater than we anticipate;</w:t>
      </w:r>
    </w:p>
    <w:p>
      <w:pPr>
        <w:spacing w:after="0" w:line="96"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quality of our product candidates or other materials necessary to conduct clinical trials of our product candidates may be inadequate to initiate or complete a given clinical trial;</w:t>
      </w:r>
    </w:p>
    <w:p>
      <w:pPr>
        <w:spacing w:after="0" w:line="51" w:lineRule="exact"/>
        <w:rPr>
          <w:rFonts w:ascii="Arial" w:cs="Arial" w:eastAsia="Arial" w:hAnsi="Arial"/>
          <w:sz w:val="16"/>
          <w:szCs w:val="16"/>
          <w:color w:val="auto"/>
        </w:rPr>
      </w:pPr>
    </w:p>
    <w:p>
      <w:pPr>
        <w:ind w:left="560" w:hanging="286"/>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unable to manufacture sufficient quantities of our product candidates for use in clinical trials;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reports from clinical testing of other therapies may raise safety or efficacy concerns about our programs;</w:t>
      </w:r>
    </w:p>
    <w:p>
      <w:pPr>
        <w:spacing w:after="0" w:line="96"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interpretation of the results of clinical trials or non-clinical studies or our clinical trial designs and plans;</w:t>
      </w:r>
    </w:p>
    <w:p>
      <w:pPr>
        <w:spacing w:after="0" w:line="51"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fail to establish an appropriate safety profile for a product candidate based on clinical or nonclinical data for such product candidates as well as data emerging from other therapies in the same class as our product candidates; and</w:t>
      </w:r>
    </w:p>
    <w:p>
      <w:pPr>
        <w:spacing w:after="0" w:line="51"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other regulatory authorities may require us to submit additional data such as long-term toxicology studies, additional clinical data or additional manufacturing data or impose other requirements before permitting us to initiate clinical trials or approving marketing/commercial sales.</w:t>
      </w:r>
    </w:p>
    <w:p>
      <w:pPr>
        <w:spacing w:after="0" w:line="145" w:lineRule="exact"/>
        <w:rPr>
          <w:sz w:val="20"/>
          <w:szCs w:val="20"/>
          <w:color w:val="auto"/>
        </w:rPr>
      </w:pPr>
    </w:p>
    <w:p>
      <w:pPr>
        <w:jc w:val="both"/>
        <w:ind w:firstLine="561"/>
        <w:spacing w:after="0" w:line="283" w:lineRule="auto"/>
        <w:rPr>
          <w:sz w:val="20"/>
          <w:szCs w:val="20"/>
          <w:color w:val="auto"/>
        </w:rPr>
      </w:pPr>
      <w:r>
        <w:rPr>
          <w:rFonts w:ascii="Arial" w:cs="Arial" w:eastAsia="Arial" w:hAnsi="Arial"/>
          <w:sz w:val="14"/>
          <w:szCs w:val="14"/>
          <w:color w:val="auto"/>
        </w:rPr>
        <w:t>Commencing clinical trials in the United States and in other countries is subject to acceptance by the FDA and other regulatory authorities of an investigational new drug (“IND”) application or similar application and finalizing the trial design based on discussions with the FDA or other regulatory authority. In the event that the FDA or other regulatory authority requires us to complete additional nonclinical studies or clinical trials or we are required to satisfy other regulatory authority requests prior to commencing future planned clinical trials, the start of such planned clinical trials may be delayed or such planned clinical trials may be commenced in a modified manner. Even after we receive and incorporate guidance from these regulatory authorities, the FDA or other regulatory authorities could disagree that we have satisfied their requirements to commence any future clinical trial or change their position on the acceptability of our trial design or the clinical endpoints selected, which may require us to complete additional nonclinical studies or clinical trials, delay the enrollment of our clinical trials or impose stricter approval conditions than we currently expect. Additionally, if the results of our nonclinical studies or clinical trials are not positive or are only modestly positive or if there are safety concerns, we may be required to repeat or conduct additional clinical trials or nonclinical studies for our product candidates beyond those that we currently expect. Even if we conduct such additional nonclinical studies or clinical trials or otherwise modify our planned clinical trials, the FDA or other regulatory authorities could determine that the data from our nonclinical studies or clinical trials are insufficient to support the approval of our product candidates. There are equivalent processes and risks applicable to clinical trial applications in other countries outside of the United States, which may require us to complete additional nonclinical studies or clinical trials, delay the enrollment of our clinical trials or otherwise modify our planned clinical trials or impose stricter approval conditions than we currently expect. Most product candidates that commence clinical trials are never approved as products,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06"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our current or future clinical trials ultimately may fail to support the approval of our current or any future product candidates.</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We may not have the financial resources to continue development of, or to modify existing or enter into new collaborations for, a product candidate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We are substantially dependent on the success of our SPY001, SPY002, SPY072 and SPY003 programs, alone or in combination, and our current and planned clinical trials of such programs may not be successful.</w:t>
      </w:r>
    </w:p>
    <w:p>
      <w:pPr>
        <w:spacing w:after="0" w:line="13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Our future success is substantially dependent on our ability to timely obtain marketing approval for, and then successfully commercialize, our SPY001, SPY002, SPY072 and SPY003 programs, alone or in combination. We are investing a majority of our efforts and financial resources into the research and development of these programs. We initiated a Phase 2 platform trial of SPY001, SPY002 and SPY003, including their pairwise combinations, for IBD in the United States and certain other countries beginning with SPY001 in May 2025. Enrollment for Part A of the Phase 2 UC platform trial is now complete. Part B, which includes combination arms, with each arm subject to regulatory feedback and approval, was opened for enrollment in March 2026. We also initiated a Phase 2 basket trial of SPY072 for RD, including RA, PsA and axSpA, in the United States and Europe in Q3 2025 through Q2 2026. Enrollment for the RA arm of the basket trial is complete. Alignment with regulatory authorities on issues that arise before clinical trials commence, during clinical trials or after our clinical trials are completed could result in additional capital expenditures or delays in development that could have a material adverse impact on our business. The success of our programs is dependent on observing longer half-lives of our product candidates and/or their combinations in humans and comparable or better safety and efficacy profiles than other mAbs currently marketed or in development. We believe longer half-lives have the potential to result in more favorable dosing schedules for our product candidates, assuming they successfully complete clinical development and obtain marketing approval. To the extent we do not observe these extended half-lives with favorable safety and efficacy profiles when we dose patients with our product candidates in our clinical trials, it would significantly and adversely affect the clinical and commercial potential of our product candidates and our business.</w:t>
      </w:r>
    </w:p>
    <w:p>
      <w:pPr>
        <w:spacing w:after="0" w:line="165"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Our programs will require additional clinical, nonclinical and manufacturing development and activities, marketing approval in multiple jurisdictions, substantial investment and significant marketing efforts before we generate any revenues from product sales. We are not permitted to market or promote these programs, or any other programs, before we receive marketing approval from the FDA and/or comparable foreign regulatory authorities, and we may never receive such marketing approvals.</w:t>
      </w:r>
    </w:p>
    <w:p>
      <w:pPr>
        <w:spacing w:after="0" w:line="162"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Accordingly, we cannot assure you that we will ever be able to generate revenue through the sale of these product candidates, even if approved. If we are not successful in commercializing SPY001, SPY002, SPY072 or SPY003, alone or in combination, or are significantly delayed in doing so, our business will be materially harmed.</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 frames we announce and expect, the commercialization of our product candidates may be delayed and our expenses may increase and, as a result, our stock price may decline.</w:t>
      </w:r>
    </w:p>
    <w:p>
      <w:pPr>
        <w:spacing w:after="0" w:line="13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nonclinical studies and clinical trials, such as the expected timing of enrollment and readouts for topline data from our ongoing clinical trials, as well as the submission of regulatory filings. From time to time, we may publicly announce the expected timing of some of these milestones. All of these milestones are and will be based on numerous assumptions. The actual timing of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47" w:name="page48"/>
    <w:bookmarkEnd w:id="47"/>
    <w:p>
      <w:pPr>
        <w:jc w:val="both"/>
        <w:spacing w:after="0" w:line="252" w:lineRule="auto"/>
        <w:rPr>
          <w:sz w:val="20"/>
          <w:szCs w:val="20"/>
          <w:color w:val="auto"/>
        </w:rPr>
      </w:pPr>
      <w:r>
        <w:rPr>
          <w:rFonts w:ascii="Arial" w:cs="Arial" w:eastAsia="Arial" w:hAnsi="Arial"/>
          <w:sz w:val="16"/>
          <w:szCs w:val="16"/>
          <w:color w:val="auto"/>
        </w:rPr>
        <w:t>these milestones can vary dramatically compared to our estimates, in some cases for reasons beyond our control, including positions that may be taken by or requirements of regulatory authorities. If we do not meet these milestones as publicly announced, or at all, the commercialization of our product candidates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drug delivery device that we potentially use to deliver our product candidates may have its own regulatory, development, supply and other risks.</w:t>
      </w:r>
    </w:p>
    <w:p>
      <w:pPr>
        <w:spacing w:after="0" w:line="213"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expect to utilize drug delivery devices authorized for marketing under clearances or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spacing w:after="0" w:line="3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Our approach to the discovery and development of our programs is unproven, and we may not be successful in our efforts to build a pipeline of programs with commercial value.</w:t>
      </w:r>
    </w:p>
    <w:p>
      <w:pPr>
        <w:spacing w:after="0" w:line="130"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Our approach to the discovery and development of our research programs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including YTE and LS amino acid substitutions, is ongoing and may not result in commercially viable products. We have limited clinical data on product candidates utilizing YTE and LS half-life extension technologies, especially in I&amp;I indications, demonstrating whether they are safe or effective for long-term treatment in patients. The long-term safety and efficacy of these technologies and the extended half-lives and exposure profiles of our programs compared to currently approved products are unknown.</w:t>
      </w:r>
    </w:p>
    <w:p>
      <w:pPr>
        <w:spacing w:after="0" w:line="164"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may ultimately discover that our investigational products developed with half-life extension technologies do not possess certain properties required for therapeutic effectiveness and could lead to adverse effects. We currently have only reported interim Phase 2 induction topline data for SPY001 from our SKYLINE clinical trial, Phase 1 clinical data in healthy volunteers for SPY001, SPY002, SPY072 and SPY003, and nonclinical data for these programs. We have limited available data on the increased half-life and drug clearance properties of our programs and the anticipated half-life extension and/or drug clearance properties of each of our product candidates may not be seen in participants in our future clinical trial results. In addition, programs using half-life extension technologies may demonstrate different chemical and pharmacological properties in participants than they do in laboratory studies. This technology and any programs resulting therefrom may not demonstrate the same chemical and pharmacological properties in humans and may interact with human biological systems in unforeseen, ineffective or harmful ways.</w:t>
      </w:r>
    </w:p>
    <w:p>
      <w:pPr>
        <w:spacing w:after="0" w:line="167" w:lineRule="exact"/>
        <w:rPr>
          <w:sz w:val="20"/>
          <w:szCs w:val="20"/>
          <w:color w:val="auto"/>
        </w:rPr>
      </w:pPr>
    </w:p>
    <w:p>
      <w:pPr>
        <w:jc w:val="both"/>
        <w:ind w:right="20" w:firstLine="561"/>
        <w:spacing w:after="0" w:line="344" w:lineRule="auto"/>
        <w:rPr>
          <w:sz w:val="20"/>
          <w:szCs w:val="20"/>
          <w:color w:val="auto"/>
        </w:rPr>
      </w:pPr>
      <w:r>
        <w:rPr>
          <w:rFonts w:ascii="Arial" w:cs="Arial" w:eastAsia="Arial" w:hAnsi="Arial"/>
          <w:sz w:val="14"/>
          <w:szCs w:val="14"/>
          <w:color w:val="auto"/>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16"/>
          <w:szCs w:val="16"/>
          <w:color w:val="auto"/>
        </w:rPr>
        <w:t>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research programs prove to be ineffective, unsafe or commercially unviable, our programs and pipeline would have little, if any, value, which would have a material and adverse effect on our business, financial condition, results of operations and prospects.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Preclinical and clinical development involve lengthy and expensive processes that are subject to delays and may result in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and commercialization of such product candidate.</w:t>
      </w:r>
    </w:p>
    <w:p>
      <w:pPr>
        <w:spacing w:after="0" w:line="150"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or foreign equivalent and initiating clinical development. There is no guarantee that we will always be able to source NHPs for our drug development activities on our preferred timelines. The cost of obtaining NHPs for our future preclinical development activities could increase significantly if short or long term shortages occur in their availability. If we are unable to source NHPs on our preferred timelines, it could result in delays to our development timelines. Similarly, we may experience difficulty in conducting our clinical trials as planned if we are unable to enroll a sufficient number of participants in any such trial as a result of variables outside of our control. See the risk factor titled “If we encounter difficulties enrolling participants in our current and future clinical trials, our clinical development activities could be delayed or otherwise adversely affected.”</w:t>
      </w:r>
    </w:p>
    <w:p>
      <w:pPr>
        <w:spacing w:after="0" w:line="142" w:lineRule="exact"/>
        <w:rPr>
          <w:sz w:val="20"/>
          <w:szCs w:val="20"/>
          <w:color w:val="auto"/>
        </w:rPr>
      </w:pPr>
    </w:p>
    <w:p>
      <w:pPr>
        <w:jc w:val="both"/>
        <w:ind w:right="20" w:firstLine="561"/>
        <w:spacing w:after="0" w:line="291" w:lineRule="auto"/>
        <w:rPr>
          <w:sz w:val="20"/>
          <w:szCs w:val="20"/>
          <w:color w:val="auto"/>
        </w:rPr>
      </w:pPr>
      <w:r>
        <w:rPr>
          <w:rFonts w:ascii="Arial" w:cs="Arial" w:eastAsia="Arial" w:hAnsi="Arial"/>
          <w:sz w:val="14"/>
          <w:szCs w:val="14"/>
          <w:color w:val="auto"/>
        </w:rPr>
        <w:t>Furthermore, a failure of one or more clinical trials can occur at any stage of testing. The outcome of preclinical studies and early-stage clinical trials may not be predictive of the success of later stage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participants to provide feedback on measures such as measures of disease activity and measures of quality of life, which are subjective and inherently difficult to evaluate. These measures can be influenced by factors outside of our control and can vary widely from day to day for a particular participant, from participant to participant, and from site to site within a clinical trial.</w:t>
      </w:r>
    </w:p>
    <w:p>
      <w:pPr>
        <w:spacing w:after="0" w:line="137"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cannot be sure that the FDA, or comparable foreign regulatory authority, as applicable, will agree with our clinical development plans.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them.</w:t>
      </w:r>
    </w:p>
    <w:p>
      <w:pPr>
        <w:spacing w:after="0" w:line="163"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We could also encounter delays if an ongoing or planned clinical trial is required to be materially modified or suspended or terminated by us, by the ECs/IRBs of the institutions in which such clinical trials are being conducted, by the external Data Monitoring Committee or equivalent body, if any, for such clinical trial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6"/>
          <w:szCs w:val="16"/>
          <w:color w:val="auto"/>
        </w:rPr>
        <w:t>other testing of our product candidates beyond those that we currently contemplate, if we are unable to successfully complete clinical trials of our product candidates, if the results of these trials are not positive or the safety and efficacy results do not support regulatory approval of or commercial viability of our product candidates, our business and results of operations may be materially and adversely affected and we may incur significant additional costs.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A key element of our strategy is the development of intra-portfolio investigational drug combinations. If we are not successful in discovering, developing and commercializing investigational products that take advantage of different mechanisms of action to achieve superior outcomes relative to the use of monotherapies or other combinations, our ability to achieve our strategic objectives would likely be impaired.</w:t>
      </w:r>
    </w:p>
    <w:p>
      <w:pPr>
        <w:spacing w:after="0" w:line="145" w:lineRule="exact"/>
        <w:rPr>
          <w:sz w:val="20"/>
          <w:szCs w:val="20"/>
          <w:color w:val="auto"/>
        </w:rPr>
      </w:pPr>
    </w:p>
    <w:p>
      <w:pPr>
        <w:jc w:val="both"/>
        <w:ind w:firstLine="561"/>
        <w:spacing w:after="0" w:line="287" w:lineRule="auto"/>
        <w:rPr>
          <w:sz w:val="20"/>
          <w:szCs w:val="20"/>
          <w:color w:val="auto"/>
        </w:rPr>
      </w:pPr>
      <w:r>
        <w:rPr>
          <w:rFonts w:ascii="Arial" w:cs="Arial" w:eastAsia="Arial" w:hAnsi="Arial"/>
          <w:sz w:val="14"/>
          <w:szCs w:val="14"/>
          <w:color w:val="auto"/>
        </w:rPr>
        <w:t>A key element of our strategy is to build a broad portfolio of investigational products that will allow for the development of intra-portfolio combinations. We believe that by developing or licensing these investigational products, we can control the combinations we pursue and, if and when approved, maximize the commercial potential of these combinations. However, these combinations have not been tested before and may fail to achieve superior outcomes relative to the use of single agents or other combinations, may exacerbate adverse events associated with one of the investigational products when used as monotherapy, may yield new adverse events not observed with either of the monotherapies, or may fail to demonstrate sufficient safety or efficacy in clinical trials to enable us to complete those clinical trials or obtain marketing approval for the combinations. In addition, demonstrating that our combinations are superior to our single agents is likely necessary for marketing authorization of the combinations. However, comparing active treatments may be difficult to do in a controlled manner in our clinical trials, and we may be unable to interpret the results of comparisons between our combinations and single agents in a manner that satisfies regulatory requirements.</w:t>
      </w:r>
    </w:p>
    <w:p>
      <w:pPr>
        <w:spacing w:after="0" w:line="142"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Even if we are successful in developing combinations, competition from other investigational products in the same class which are either already approved or further along in development than ours may prevent us from realizing the commercial potential of our combinations and prevent us from achieving our strategic objectives, which would have a material and adverse effect on our business, financial condition, results of operations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therapies may present more or different challenges than development of monotherapies.</w:t>
      </w:r>
    </w:p>
    <w:p>
      <w:pPr>
        <w:spacing w:after="0" w:line="190" w:lineRule="exact"/>
        <w:rPr>
          <w:sz w:val="20"/>
          <w:szCs w:val="20"/>
          <w:color w:val="auto"/>
        </w:rPr>
      </w:pPr>
    </w:p>
    <w:p>
      <w:pPr>
        <w:jc w:val="both"/>
        <w:ind w:firstLine="561"/>
        <w:spacing w:after="0" w:line="245" w:lineRule="auto"/>
        <w:rPr>
          <w:sz w:val="20"/>
          <w:szCs w:val="20"/>
          <w:color w:val="auto"/>
        </w:rPr>
      </w:pPr>
      <w:r>
        <w:rPr>
          <w:rFonts w:ascii="Arial" w:cs="Arial" w:eastAsia="Arial" w:hAnsi="Arial"/>
          <w:sz w:val="16"/>
          <w:szCs w:val="16"/>
          <w:color w:val="auto"/>
        </w:rPr>
        <w:t>We plan to pursue development of our investigational products in combination with one or more additional products or investigational products. The development of combination therapies may be more complex than the development of monotherapies and generally requires that sponsors demonstrate the contribution of each investigational product to the claimed effect and the safety and efficacy of the combination as a whole. Regulatory authority requirements for the development of combination therapies may make the design and conduct of clinical trials more complex and/or burdensome, requiring more clinical trial participants and additional time and cost to complete than we plan or anticipate. We also may not be able to meet the FDA’s or comparable foreign regulatory authority's current or future approval standards required for combination therapies or combination products, including if we decided to administer or package combinations as a single drug product. For example, under the “combination rule”, the FDA may not file or approve a fixed-dose combination product unless each component of a proposed drug product is shown to make a contribution to the claimed effects and the dosage of each component (amount, frequency, duration) is safe and effective for the intended population. To satisfy these requirements, the FDA typically requires a clinical factorial trial, designed to assess the effects attributable to each drug in the combination product. This is particularly true when the ingredients are directed at the same sign or symptom of the disease or condition. The FDA has accepted a variety of approaches to satisfy the combination rule, but the FDA has stated that factorial studies may be unethical (e.g., omitting a drug known to improve survival) or impractical (there may be too many components to conduct a factorial trial, meaning the trial cannot be conducted). The FDA has also stated that it may be possible to use other types of clinical and nonclinical data and mechanistic information available to demonstrate the contributions of the individual active ingredients to the effect of the combination. In addition, combination products may require dose selection for each agent in the combination, which may require more and/or larger groups of participants than single agents. Our clinical trial and research efforts may not satisfy regulators' expectations of adequate exploration of dose ranging required for drug approval. Moreover, the applicable requirements for approval of combinations may differ from country to country.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50" w:name="page51"/>
    <w:bookmarkEnd w:id="50"/>
    <w:p>
      <w:pPr>
        <w:jc w:val="both"/>
        <w:ind w:firstLine="561"/>
        <w:spacing w:after="0" w:line="295" w:lineRule="auto"/>
        <w:rPr>
          <w:sz w:val="20"/>
          <w:szCs w:val="20"/>
          <w:color w:val="auto"/>
        </w:rPr>
      </w:pPr>
      <w:r>
        <w:rPr>
          <w:rFonts w:ascii="Arial" w:cs="Arial" w:eastAsia="Arial" w:hAnsi="Arial"/>
          <w:sz w:val="14"/>
          <w:szCs w:val="14"/>
          <w:color w:val="auto"/>
        </w:rPr>
        <w:t>In the event that one of our investigational products were to fail to demonstrate sufficient safety and efficacy data or establish its contribution to the claimed effects of combinations or if we are unable to meet the FDA’s or comparable foreign regulatory authority's current or future approval standards required for combination therapies or combination products in a timely manner, we would need to identify and research alternative monotherapy or combination treatments, run additional trials to produce supportive data or modify existing clinical trial plans. In the event we are unable to do so or are unable to do so on commercially reasonable terms or we are unable to continue development of one or more of investigational products, our business and prospects would be materially harmed.</w:t>
      </w:r>
    </w:p>
    <w:p>
      <w:pPr>
        <w:spacing w:after="0" w:line="1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If we encounter difficulties enrolling participants in our current and future clinical trials, our clinical development activities could be delayed or otherwise adversely affected.</w:t>
      </w:r>
    </w:p>
    <w:p>
      <w:pPr>
        <w:spacing w:after="0" w:line="13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We may experience difficulties in participant enrollment in our current and future clinical trials for a variety of reasons. The timely completion of clinical trials in accordance with their protocols depends, among other things, on our ability to enroll a sufficient number of participants who remain in the trial until its conclusion. The enrollment of participants will depend on many factors, including:</w:t>
      </w:r>
    </w:p>
    <w:p>
      <w:pPr>
        <w:spacing w:after="0" w:line="63" w:lineRule="exact"/>
        <w:rPr>
          <w:sz w:val="20"/>
          <w:szCs w:val="20"/>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prevalence and severity of the disease under investigation;</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participant eligibility and the inclusion and exclusion criteria defined in the protocol;</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incidence and prevalence of target trial populations under clinical investigation;</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proximity of participants to trial sites;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design of the trial;</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recruit clinical trial investigators with the appropriate competencies and experience;</w:t>
      </w:r>
    </w:p>
    <w:p>
      <w:pPr>
        <w:spacing w:after="0" w:line="96"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clinicians’ and participants’ perceptions as to the potential advantages of the drug candidate(s) being studied in relation to other available therapies, including any new drugs that may be approved for the indications we are investigating;</w:t>
      </w:r>
    </w:p>
    <w:p>
      <w:pPr>
        <w:spacing w:after="0" w:line="51"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obtain and maintain participant consents;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monitor participants adequately during and after treatment;</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risk that participants enrolled in clinical trials will drop out of the trials before completion or fail to attend scheduled trial visits; and</w:t>
      </w:r>
    </w:p>
    <w:p>
      <w:pPr>
        <w:spacing w:after="0" w:line="96"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factors we may not be able to control, including the impacts of public health crises, which may limit the availability of participants, investigators or their staff, or clinical sites.</w:t>
      </w:r>
    </w:p>
    <w:p>
      <w:pPr>
        <w:spacing w:after="0" w:line="145"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In addition, our clinical trials will compete with other clinical trials with product candidates that are in the same therapeutic areas as our product candidates, and this competition will reduce the number and types of participants available to us, because some participants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Additionally, the number of participants required for clinical trials of our programs may be larger than we anticipate. Even if we are able to enroll a sufficient number of participants for our current or future clinical trials, we may have difficulty maintaining participants in our clinical trials. Our inability to enroll or maintain a sufficient number of participants would result in significant delays in completing clinical trials or receipt of marketing approvals, increased development costs or our cessation of one or more clinical trials altogether.</w:t>
      </w:r>
    </w:p>
    <w:p>
      <w:pPr>
        <w:spacing w:after="0" w:line="167"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Additionally, our ability to successfully initiate, enroll, and complete a clinical trial in any foreign country is subject to numerous risks unique to conducting business in foreign countries, including, without limitation: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51" w:name="page52"/>
    <w:bookmarkEnd w:id="51"/>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Preliminary, “topline” or interim data from our clinical trials that we announce or publish from time to time may change as more participant data become available and are subject to audit and verification procedures.</w:t>
      </w:r>
    </w:p>
    <w:p>
      <w:pPr>
        <w:spacing w:after="0" w:line="130" w:lineRule="exact"/>
        <w:rPr>
          <w:sz w:val="20"/>
          <w:szCs w:val="20"/>
          <w:color w:val="auto"/>
        </w:rPr>
      </w:pPr>
    </w:p>
    <w:p>
      <w:pPr>
        <w:jc w:val="both"/>
        <w:ind w:firstLine="561"/>
        <w:spacing w:after="0" w:line="291" w:lineRule="auto"/>
        <w:rPr>
          <w:sz w:val="20"/>
          <w:szCs w:val="20"/>
          <w:color w:val="auto"/>
        </w:rPr>
      </w:pPr>
      <w:r>
        <w:rPr>
          <w:rFonts w:ascii="Arial" w:cs="Arial" w:eastAsia="Arial" w:hAnsi="Arial"/>
          <w:sz w:val="14"/>
          <w:szCs w:val="14"/>
          <w:color w:val="auto"/>
        </w:rPr>
        <w:t>From time to time, we may publicly disclose preliminary or topline data from our nonclinical studies and clinical trials, which are based on a preliminary analysis of then-available data. The results and related findings and conclusions are subject to change following a more comprehensive review or taking into account additional data that becomes available. In reviewing preliminary or topline data, we also make assumptions, estimations, calculations and conclusions as part of our analyses that may change once a complete data set is available.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Any preliminary or topline data should be viewed with caution until the final data are available.</w:t>
      </w:r>
    </w:p>
    <w:p>
      <w:pPr>
        <w:spacing w:after="0" w:line="137"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nonclinical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current and future clinical trials or those of our future collaborators may reveal significant adverse events or undesirable side effects not seen in our clinical and nonclinical studies and may result in a safety profile that could halt clinical development, inhibit regulatory approval or limit commercial potential or market acceptance of any of our product candidates.</w:t>
      </w:r>
    </w:p>
    <w:p>
      <w:pPr>
        <w:spacing w:after="0" w:line="145" w:lineRule="exact"/>
        <w:rPr>
          <w:sz w:val="20"/>
          <w:szCs w:val="20"/>
          <w:color w:val="auto"/>
        </w:rPr>
      </w:pPr>
    </w:p>
    <w:p>
      <w:pPr>
        <w:jc w:val="both"/>
        <w:ind w:firstLine="561"/>
        <w:spacing w:after="0" w:line="245" w:lineRule="auto"/>
        <w:rPr>
          <w:sz w:val="20"/>
          <w:szCs w:val="20"/>
          <w:color w:val="auto"/>
        </w:rPr>
      </w:pPr>
      <w:r>
        <w:rPr>
          <w:rFonts w:ascii="Arial" w:cs="Arial" w:eastAsia="Arial" w:hAnsi="Arial"/>
          <w:sz w:val="16"/>
          <w:szCs w:val="16"/>
          <w:color w:val="auto"/>
        </w:rPr>
        <w:t>Results of our nonclinical studies or clinical trials could reveal a high and unacceptable severity and/or prevalence of side effects, adverse events or unexpected characteristics at any point in time during the development process for our product candidates. We cannot assure you that the future results of our nonclinical studies or clinical trials will not reveal such characteristics. If significant adverse events or undesirable side effects are observed in any of our current or future nonclinical studies or clinical trials, we may have difficulty recruiting participants to such trials, participants may drop out of our trials, or we may be required to cease or materially modify our development efforts of one or more programs. We, the FDA or other applicable regulatory authorities, or an EC/IRB, may suspend or require the material modification of any clinical trials of any program at any time for various reasons, including a belief that participants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nonclinical studies, which side effects do not present themselves in clinical trials in humans. Even if the side effects do not preclude the product candidate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Treatment-emergent adverse events could also affect participant recruitment or the ability of enrolled participants to complete our clinical trials or could result in potential product liability claims.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In addition, safety findings associated with competing products or product candidates that target similar pathways could result in the FDA or comparable foreign regulatory authorities imposing restrictions on our clinical trials or product labeling or denying approval of our products. Any of these occurrences could harm our business, financial condition, results of operations and prospects significantly.</w:t>
      </w:r>
    </w:p>
    <w:p>
      <w:pPr>
        <w:spacing w:after="0" w:line="171"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6"/>
          <w:szCs w:val="16"/>
          <w:color w:val="auto"/>
        </w:rPr>
        <w:t>Our product candidates have mechanisms of action in common with other approved drugs that have been associated with certain adverse reactions in patients. For example, nasopharyngitis, headache, arthralgia,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52" w:name="page53"/>
    <w:bookmarkEnd w:id="52"/>
    <w:p>
      <w:pPr>
        <w:jc w:val="both"/>
        <w:spacing w:after="0" w:line="245" w:lineRule="auto"/>
        <w:rPr>
          <w:sz w:val="20"/>
          <w:szCs w:val="20"/>
          <w:color w:val="auto"/>
        </w:rPr>
      </w:pPr>
      <w:r>
        <w:rPr>
          <w:rFonts w:ascii="Arial" w:cs="Arial" w:eastAsia="Arial" w:hAnsi="Arial"/>
          <w:sz w:val="16"/>
          <w:szCs w:val="16"/>
          <w:color w:val="auto"/>
        </w:rPr>
        <w:t>nausea, pyrexia, upper respiratory tract infection, fatigue, cough, bronchitis, influenza, back pain, rash, pruritus, sinusitis, oropharyngeal pain, and pain in extremities are the most common adverse reactions noted with ENTYVIO®, which is in the same drug class as SPY001 and is approved for the treatment of moderately to severely active UC in adults and of moderately to severely active CD in adults. In addition, mAbs targeting TL1A such as our product candidates SPY002 and SPY072 in clinical trials are associated with patient adverse reactions that most commonly include headache, nausea, nasopharyngitis, urinary tract infection, SARS-CoV-2 infection, fever, fatigue, arthralgia, and back pain. Finally, for SKYRIZI®, which is in the same drug class as SPY003 and is approved for the treatment of moderately to severely active UC in adults and of moderately to severely active CD in adults, the most common adverse reactions are upper respiratory infections, headache, arthralgia, injection site reactions, abdominal pain, anemia, pyrexia, back pain, arthropathy, and urinary tract infection in patients with CD and arthralgia, pyrexia, injection site reactions, and rash in patients with UC. Participants in our clinical trials for SPY001, SPY002, SPY072 and SPY003, or combinations thereof, may experience similar or additional adverse reactions such as infections (including rare infections such as tuberculosis or JC virus reactivation, which could lead to multifocal leukoencephalopathy, which is a theoretical risk for the drug class), infusion-related reactions, other hypersensitivity reactions (including injection site reactions and delayed hypersensitivity reactions), and hepatotoxicity, as has been observed with other biologics, including those with similar mechanisms of action. Although our product candidates have observed to be well tolerated to date, we have observed adverse events, including serious adverse events, in our clinical trials consistent with known safety profiles of drugs with the same mechanisms of action. It is possible we may observe additional safety events that may or may not be consistent with such third-party product safety profiles.</w:t>
      </w:r>
    </w:p>
    <w:p>
      <w:pPr>
        <w:spacing w:after="0" w:line="174"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In addition, even if we successfully advance our product candidates or any future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after approval. Further, any clinical trials may not be sufficient to determine the effect and safety consequences of using any of our products over a multi-year period.</w:t>
      </w:r>
    </w:p>
    <w:p>
      <w:pPr>
        <w:spacing w:after="0" w:line="162" w:lineRule="exact"/>
        <w:rPr>
          <w:sz w:val="20"/>
          <w:szCs w:val="20"/>
          <w:color w:val="auto"/>
        </w:rPr>
      </w:pPr>
    </w:p>
    <w:p>
      <w:pPr>
        <w:jc w:val="both"/>
        <w:ind w:right="20" w:firstLine="561"/>
        <w:spacing w:after="0" w:line="257" w:lineRule="auto"/>
        <w:rPr>
          <w:sz w:val="20"/>
          <w:szCs w:val="20"/>
          <w:color w:val="auto"/>
        </w:rPr>
      </w:pPr>
      <w:r>
        <w:rPr>
          <w:rFonts w:ascii="Arial" w:cs="Arial" w:eastAsia="Arial" w:hAnsi="Arial"/>
          <w:sz w:val="16"/>
          <w:szCs w:val="16"/>
          <w:color w:val="auto"/>
        </w:rPr>
        <w:t>If any of the foregoing events occur, negatively impacting the safety profile of one or more of our product candidates, or if one or more of our research programs prove to be unsafe, our entire pipeline could be affected, which would have a material adverse effect on our business, financial condition, results of operations and prospects.</w:t>
      </w:r>
    </w:p>
    <w:p>
      <w:pPr>
        <w:spacing w:after="0" w:line="15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program and fail to capitalize on programs that may be more profitable or for which there is a greater likelihood of success.</w:t>
      </w:r>
    </w:p>
    <w:p>
      <w:pPr>
        <w:spacing w:after="0" w:line="130"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Because we have limited financial and managerial resources, we focus our research and development efforts on certain selected programs. For example, we are initially focused on our SPY001, SPY002 and SPY003 programs, including combinations thereof, and our SPY072 program.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145" w:lineRule="exact"/>
        <w:rPr>
          <w:sz w:val="20"/>
          <w:szCs w:val="20"/>
          <w:color w:val="auto"/>
        </w:rPr>
      </w:pPr>
    </w:p>
    <w:p>
      <w:pPr>
        <w:jc w:val="both"/>
        <w:ind w:right="20" w:firstLine="561"/>
        <w:spacing w:after="0" w:line="252" w:lineRule="auto"/>
        <w:rPr>
          <w:sz w:val="20"/>
          <w:szCs w:val="20"/>
          <w:color w:val="auto"/>
        </w:rPr>
      </w:pPr>
      <w:r>
        <w:rPr>
          <w:rFonts w:ascii="Arial" w:cs="Arial" w:eastAsia="Arial" w:hAnsi="Arial"/>
          <w:sz w:val="16"/>
          <w:szCs w:val="16"/>
          <w:color w:val="auto"/>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53" w:name="page54"/>
    <w:bookmarkEnd w:id="53"/>
    <w:p>
      <w:pPr>
        <w:jc w:val="both"/>
        <w:ind w:left="7"/>
        <w:spacing w:after="0" w:line="248" w:lineRule="auto"/>
        <w:rPr>
          <w:sz w:val="20"/>
          <w:szCs w:val="20"/>
          <w:color w:val="auto"/>
        </w:rPr>
      </w:pPr>
      <w:r>
        <w:rPr>
          <w:rFonts w:ascii="Arial" w:cs="Arial" w:eastAsia="Arial" w:hAnsi="Arial"/>
          <w:sz w:val="16"/>
          <w:szCs w:val="16"/>
          <w:color w:val="auto"/>
        </w:rPr>
        <w:t>IBD and the treatment of RD. However, our programs incorporate advanced antibody engineering to optimize the half-life and formulation of antibodies; to date, no such antibody has been approved by the FDA for the treatment of IBD, RA, PsA or axSpA.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each of which may adversely affect our ability to gain market acceptance. Market acceptance of our product candidates will depend on many factors, including factors that are not within our control.</w:t>
      </w:r>
    </w:p>
    <w:p>
      <w:pPr>
        <w:spacing w:after="0" w:line="164" w:lineRule="exact"/>
        <w:rPr>
          <w:sz w:val="20"/>
          <w:szCs w:val="20"/>
          <w:color w:val="auto"/>
        </w:rPr>
      </w:pPr>
    </w:p>
    <w:p>
      <w:pPr>
        <w:jc w:val="both"/>
        <w:ind w:left="7" w:firstLine="561"/>
        <w:spacing w:after="0" w:line="300" w:lineRule="auto"/>
        <w:rPr>
          <w:sz w:val="20"/>
          <w:szCs w:val="20"/>
          <w:color w:val="auto"/>
        </w:rPr>
      </w:pPr>
      <w:r>
        <w:rPr>
          <w:rFonts w:ascii="Arial" w:cs="Arial" w:eastAsia="Arial" w:hAnsi="Arial"/>
          <w:sz w:val="14"/>
          <w:szCs w:val="14"/>
          <w:color w:val="auto"/>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Some of our programs may compete with our other programs, which could negatively impact our business and reduce our future revenue.</w:t>
      </w:r>
    </w:p>
    <w:p>
      <w:pPr>
        <w:spacing w:after="0" w:line="190" w:lineRule="exact"/>
        <w:rPr>
          <w:sz w:val="20"/>
          <w:szCs w:val="20"/>
          <w:color w:val="auto"/>
        </w:rPr>
      </w:pPr>
    </w:p>
    <w:p>
      <w:pPr>
        <w:jc w:val="both"/>
        <w:ind w:left="7" w:right="20" w:firstLine="561"/>
        <w:spacing w:after="0" w:line="249" w:lineRule="auto"/>
        <w:rPr>
          <w:sz w:val="20"/>
          <w:szCs w:val="20"/>
          <w:color w:val="auto"/>
        </w:rPr>
      </w:pPr>
      <w:r>
        <w:rPr>
          <w:rFonts w:ascii="Arial" w:cs="Arial" w:eastAsia="Arial" w:hAnsi="Arial"/>
          <w:sz w:val="16"/>
          <w:szCs w:val="16"/>
          <w:color w:val="auto"/>
        </w:rPr>
        <w:t>We have multiple product candidates, alone and in combination, in development for the same indication, IBD, and are developing one product candidate (SPY072) for RD. We may in the future develop our programs for other I&amp;I indications. Each such program targets a single or multiple mechanisms of action that could provide differentiation from standard of care or each other.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spacing w:after="0" w:line="163" w:lineRule="exact"/>
        <w:rPr>
          <w:sz w:val="20"/>
          <w:szCs w:val="20"/>
          <w:color w:val="auto"/>
        </w:rPr>
      </w:pPr>
    </w:p>
    <w:p>
      <w:pPr>
        <w:jc w:val="both"/>
        <w:ind w:left="7" w:right="20"/>
        <w:spacing w:after="0" w:line="281" w:lineRule="auto"/>
        <w:rPr>
          <w:sz w:val="20"/>
          <w:szCs w:val="20"/>
          <w:color w:val="auto"/>
        </w:rPr>
      </w:pPr>
      <w:r>
        <w:rPr>
          <w:rFonts w:ascii="Arial" w:cs="Arial" w:eastAsia="Arial" w:hAnsi="Arial"/>
          <w:sz w:val="16"/>
          <w:szCs w:val="16"/>
          <w:b w:val="1"/>
          <w:bCs w:val="1"/>
          <w:i w:val="1"/>
          <w:iCs w:val="1"/>
          <w:color w:val="auto"/>
        </w:rPr>
        <w:t>We are conducting and may conduct future clinical trials for our programs at sites in the United States and various other jurisdictions, and the FDA and comparable foreign regulatory authorities may not accept data from such trials.</w:t>
      </w:r>
    </w:p>
    <w:p>
      <w:pPr>
        <w:spacing w:after="0" w:line="130" w:lineRule="exact"/>
        <w:rPr>
          <w:sz w:val="20"/>
          <w:szCs w:val="20"/>
          <w:color w:val="auto"/>
        </w:rPr>
      </w:pPr>
    </w:p>
    <w:p>
      <w:pPr>
        <w:jc w:val="both"/>
        <w:ind w:left="7" w:firstLine="561"/>
        <w:spacing w:after="0" w:line="283" w:lineRule="auto"/>
        <w:rPr>
          <w:sz w:val="20"/>
          <w:szCs w:val="20"/>
          <w:color w:val="auto"/>
        </w:rPr>
      </w:pPr>
      <w:r>
        <w:rPr>
          <w:rFonts w:ascii="Arial" w:cs="Arial" w:eastAsia="Arial" w:hAnsi="Arial"/>
          <w:sz w:val="14"/>
          <w:szCs w:val="14"/>
          <w:color w:val="auto"/>
        </w:rPr>
        <w:t>We are conducting and may conduct future clinical trials in the United States and various other countries. The acceptance of trial data from clinical trials conducted outside the United States or other jurisdiction by the FDA or comparable foreign regulatory authority may be subject to conditions imposed by such regulatory authority or may not be accepted at all. For example, in cases where data from foreign clinical trials are intended to serve as the basis for marketing approval in the United States, the FDA will generally not approve the applicable clinical trial data on the basis of foreign data alone unless, among other conditions,</w:t>
      </w:r>
    </w:p>
    <w:p>
      <w:pPr>
        <w:spacing w:after="0" w:line="2" w:lineRule="exact"/>
        <w:rPr>
          <w:sz w:val="20"/>
          <w:szCs w:val="20"/>
          <w:color w:val="auto"/>
        </w:rPr>
      </w:pPr>
    </w:p>
    <w:p>
      <w:pPr>
        <w:jc w:val="both"/>
        <w:ind w:left="7" w:hanging="7"/>
        <w:spacing w:after="0" w:line="284" w:lineRule="auto"/>
        <w:tabs>
          <w:tab w:leader="none" w:pos="194"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clinical trial is well-designed and conducted and performed by qualified investigators in accordance with ethical principles, (ii) the trial population adequately represents the U.S. population, and (iii) the data is applicable to the U.S. population and U.S. medical practice in ways that the FDA deems clinically meaningful. Many foreign regulatory authorities have similar approval requirements. In addition, clinical trials are subject to the applicable local laws of the jurisdictions where the trials are conducted and acceptance of the data by the FDA or any comparable foreign regulatory authority may depend on its determination that the trials also complied with all applicable local laws and regulations. There can be no assurance that the FDA or any comparable foreign regulatory authority will accept data from trials conducted outside of the United States or the applicable jurisdiction. If the FDA or any comparable foreign regulatory authority does not accept such data, it would likely result in the need for additional trials, which would be costly and time-consuming and would delay or permanently halt our development of the applicable product candidates. Even if the FDA or any comparable foreign regulatory authority accepted such data, it could require us to modify our ongoing or planned clinical trials to receive clearance to initiate such trials in the applicable jurisdiction or to continue such trials once initiated.</w:t>
      </w:r>
    </w:p>
    <w:p>
      <w:pPr>
        <w:spacing w:after="0" w:line="331" w:lineRule="exact"/>
        <w:rPr>
          <w:sz w:val="20"/>
          <w:szCs w:val="20"/>
          <w:color w:val="auto"/>
        </w:rPr>
      </w:pPr>
    </w:p>
    <w:p>
      <w:pPr>
        <w:jc w:val="both"/>
        <w:ind w:left="7" w:right="20" w:firstLine="561"/>
        <w:spacing w:after="0" w:line="257" w:lineRule="auto"/>
        <w:rPr>
          <w:sz w:val="20"/>
          <w:szCs w:val="20"/>
          <w:color w:val="auto"/>
        </w:rPr>
      </w:pPr>
      <w:r>
        <w:rPr>
          <w:rFonts w:ascii="Arial" w:cs="Arial" w:eastAsia="Arial" w:hAnsi="Arial"/>
          <w:sz w:val="16"/>
          <w:szCs w:val="16"/>
          <w:color w:val="auto"/>
        </w:rPr>
        <w:t>Further, conducting international clinical trials presents additional risks that may delay completion of our clinical trials. These risks include the failure of enrolled participants in foreign countries to adhere to the clinical protocol as a result of differences in healthcare services or cultural customs that could restrict or limit our ability</w:t>
      </w: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00" w:right="319" w:bottom="1440" w:gutter="0" w:footer="0" w:header="0"/>
        </w:sectPr>
      </w:pPr>
    </w:p>
    <w:bookmarkStart w:id="54" w:name="page55"/>
    <w:bookmarkEnd w:id="54"/>
    <w:p>
      <w:pPr>
        <w:jc w:val="both"/>
        <w:spacing w:after="0" w:line="249" w:lineRule="auto"/>
        <w:rPr>
          <w:sz w:val="20"/>
          <w:szCs w:val="20"/>
          <w:color w:val="auto"/>
        </w:rPr>
      </w:pPr>
      <w:r>
        <w:rPr>
          <w:rFonts w:ascii="Arial" w:cs="Arial" w:eastAsia="Arial" w:hAnsi="Arial"/>
          <w:sz w:val="16"/>
          <w:szCs w:val="16"/>
          <w:color w:val="auto"/>
        </w:rPr>
        <w:t>to conduct our clinical trials, the administrative burdens of conducting clinical trials under multiple sets of foreign regulations, foreign exchange fluctuations, as well as political and economic risks relevant to foreign countries. For additional disclosures regarding political and economic risks involved with international clinical trials, see the risk factor titled “Our business could be adversely affected by economic downturns, inflation, increases in interest rates, natural disasters, public health crises, political crises, U.S. elections, international or geopolitical events, such as the conflict between Russia and Ukraine, recent events in Venezuela, conflicts between the U.S. and other countries, including Iran, and conflicts in the Middle East, the implementation of measures that restrict international trade or other macroeconomic conditions, which could have a material and adverse effect on our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Government Regulation</w:t>
      </w:r>
    </w:p>
    <w:p>
      <w:pPr>
        <w:spacing w:after="0" w:line="19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10" w:lineRule="exact"/>
        <w:rPr>
          <w:sz w:val="20"/>
          <w:szCs w:val="20"/>
          <w:color w:val="auto"/>
        </w:rPr>
      </w:pPr>
    </w:p>
    <w:p>
      <w:pPr>
        <w:jc w:val="both"/>
        <w:ind w:firstLine="561"/>
        <w:spacing w:after="0" w:line="281" w:lineRule="auto"/>
        <w:rPr>
          <w:sz w:val="20"/>
          <w:szCs w:val="20"/>
          <w:color w:val="auto"/>
        </w:rPr>
      </w:pPr>
      <w:r>
        <w:rPr>
          <w:rFonts w:ascii="Arial" w:cs="Arial" w:eastAsia="Arial" w:hAnsi="Arial"/>
          <w:sz w:val="14"/>
          <w:szCs w:val="14"/>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SPY001, SPY002, SPY072 and SPY003, alone or in combination, we must demonstrate through lengthy, complex and expensive nonclinical studies and clinical trials that our product candidates are both safe and effective for each targeted indication. Securing regulatory approval also requires the submission of information about the drug manufacturing process to, and potential inspection of manufacturing facilities by, the relevant regulatory authority. Further, our product candidates may not be effective or more effective than the standard of care or competing products or may prove to have undesirable or unintended side effects, toxicities or other characteristics that may preclude our obtaining marketing approval or successfully commercializing them. The FDA and comparable foreign regulatory authorities have substantial discretion in the approval process and may refuse to accept any application or may decide that our data are insufficient for approval and require additional nonclinical,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its safety risks; the FDA or comparable foreign regulatory authorities may disagree with our interpretation of data from nonclinical studies or clinical trials; the data collected from clinical trials of our product candidates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 In addition, the FDA and comparable foreign regulatory authorities may undergo leadership changes, change their policies, issue additional regulations or revise existing regulations, or take other actions,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55" w:name="page56"/>
    <w:bookmarkEnd w:id="55"/>
    <w:p>
      <w:pPr>
        <w:jc w:val="both"/>
        <w:ind w:firstLine="561"/>
        <w:spacing w:after="0" w:line="257" w:lineRule="auto"/>
        <w:rPr>
          <w:sz w:val="20"/>
          <w:szCs w:val="20"/>
          <w:color w:val="auto"/>
        </w:rPr>
      </w:pPr>
      <w:r>
        <w:rPr>
          <w:rFonts w:ascii="Arial" w:cs="Arial" w:eastAsia="Arial" w:hAnsi="Arial"/>
          <w:sz w:val="16"/>
          <w:szCs w:val="16"/>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57"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meet requirements for the chemistry, manufacturing and control of our programs.</w:t>
      </w:r>
    </w:p>
    <w:p>
      <w:pPr>
        <w:spacing w:after="0" w:line="190" w:lineRule="exact"/>
        <w:rPr>
          <w:sz w:val="20"/>
          <w:szCs w:val="20"/>
          <w:color w:val="auto"/>
        </w:rPr>
      </w:pPr>
    </w:p>
    <w:p>
      <w:pPr>
        <w:jc w:val="both"/>
        <w:ind w:firstLine="561"/>
        <w:spacing w:after="0" w:line="287" w:lineRule="auto"/>
        <w:rPr>
          <w:sz w:val="20"/>
          <w:szCs w:val="20"/>
          <w:color w:val="auto"/>
        </w:rPr>
      </w:pPr>
      <w:r>
        <w:rPr>
          <w:rFonts w:ascii="Arial" w:cs="Arial" w:eastAsia="Arial" w:hAnsi="Arial"/>
          <w:sz w:val="14"/>
          <w:szCs w:val="14"/>
          <w:color w:val="auto"/>
        </w:rPr>
        <w:t>In order to receive approval of our products by the FDA and comparable foreign regulatory authorities, we must show that we and our contract manufacturing partners are able to manufacture, characterize, and control our drug products and drug delivery devices safely and in accordance with regulatory requirements. This includes manufacturing the active ingredient, developing an acceptable formulation and drug delivery device, manufacturing the drug product and drug delivery device, performing tests to adequately characterize the formulated product, documenting a repeatable manufacturing process, meeting facility, process, testing, validation and commercialization requirements, and demonstrating that our drug products meet standards for parenteral administration as well as stability and quality requirements. Meeting these chemistry, manufacturing and control requirements is a complex task that requires specialized expertise. If we are not able to meet the chemistry, manufacturing and control requirements, we may not be successful in getting our products approved. In addition, we must show, or show through data from a third-party, that the drug delivery device is of adequate quality to deliver the drug product in a commercial setting.</w:t>
      </w:r>
    </w:p>
    <w:p>
      <w:pPr>
        <w:spacing w:after="0" w:line="142"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Manufacturing biologics is highly susceptible to losses due to contamination, equipment failure, improper installation or operation of equipment, vendor or operator error, inconsistency in yields, variability in product characteristics and difficulties in scaling the production process. The impact to drug supply may be compounded by the long lead times needed to manufacture additional drug product due to plant capacity limitations or other potential restrictions at our CMOs. In some cases, even minor deviations from normal manufacturing processes may result in reduced production yields, lot failures, product defects, product liability claims, or other supply disruptions. If issues arise at our third-party manufacturers’ facilities, such facilities may need to be closed for an extended period of time to investigate and remedy the issues,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38"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Scaling up a biologic manufacturing process can be a difficult task and is associated with additional risks, including cost overruns, process scale-up, process reproducibility, stability issues, compliance with current good manufacturing practices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trial subjects in clinical trials and products to patients, if approved.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Our product candidates for which we intend to seek approval as biologics may face competition sooner than anticipated.</w:t>
      </w:r>
    </w:p>
    <w:p>
      <w:pPr>
        <w:spacing w:after="0" w:line="190"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The Patient Protection and Affordable Care Act, as amended by the Healthcare and Education Reconciliation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nonclinical data and data from the sponsor's own adequate and well-controlled clinical trials to demonstrate the safety, purity and potency of their product.</w:t>
      </w:r>
    </w:p>
    <w:p>
      <w:pPr>
        <w:spacing w:after="0" w:line="138"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accord our product candidates reference product exclusivity relative to biosimilar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will depend on a number of marketplace and regulatory factors that are still developing.</w:t>
      </w:r>
    </w:p>
    <w:p>
      <w:pPr>
        <w:spacing w:after="0" w:line="16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Even if we receive regulatory approval of our product candidates, we will be subject to extensive ongoing post marketing regulatory obligations and continued regulatory review, which may result in significant additional expense and we may be subject to penalties if we fail to comply with post marketing regulatory requirements or experience unanticipated problems with our products.</w:t>
      </w:r>
    </w:p>
    <w:p>
      <w:pPr>
        <w:spacing w:after="0" w:line="145"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Any regulatory approvals that we may receive for our product candidates will require the submission of reports to regulatory authorities and surveillance to monitor the safety and efficacy of the product, may impose significant limitations related to use restrictions for specified age groups, warnings, precautions or contraindications, and may include burdensome post-approval trial or risk management requirements. For example, the FDA may require a risk evaluation and mitigation strategy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good pharmacovigilance practices (“GVPs”) and GCPs for any post-approval trials that we conduct following approval. In addition, manufacturers of drug products and their facilities are subject to continual review and periodic, unannounced inspections by the FDA and other regulatory authorities for compliance with cGMPs. Following approval, sponsors are also subject to continual review and periodic, unannounced inspections for compliance with GVPs.</w:t>
      </w:r>
    </w:p>
    <w:p>
      <w:pPr>
        <w:spacing w:after="0" w:line="334"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post-approval trials, including full or partial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We may be negatively impacted by changes in law or other policy, including healthcare reform initiatives</w:t>
      </w:r>
      <w:r>
        <w:rPr>
          <w:rFonts w:ascii="Arial" w:cs="Arial" w:eastAsia="Arial" w:hAnsi="Arial"/>
          <w:sz w:val="16"/>
          <w:szCs w:val="16"/>
          <w:b w:val="1"/>
          <w:bCs w:val="1"/>
          <w:color w:val="auto"/>
        </w:rPr>
        <w:t>.</w:t>
      </w:r>
    </w:p>
    <w:p>
      <w:pPr>
        <w:spacing w:after="0" w:line="192" w:lineRule="exact"/>
        <w:rPr>
          <w:sz w:val="20"/>
          <w:szCs w:val="20"/>
          <w:color w:val="auto"/>
        </w:rPr>
      </w:pPr>
    </w:p>
    <w:p>
      <w:pPr>
        <w:jc w:val="both"/>
        <w:ind w:firstLine="561"/>
        <w:spacing w:after="0" w:line="281" w:lineRule="auto"/>
        <w:rPr>
          <w:sz w:val="20"/>
          <w:szCs w:val="20"/>
          <w:color w:val="auto"/>
        </w:rPr>
      </w:pPr>
      <w:r>
        <w:rPr>
          <w:rFonts w:ascii="Arial" w:cs="Arial" w:eastAsia="Arial" w:hAnsi="Arial"/>
          <w:sz w:val="14"/>
          <w:szCs w:val="14"/>
          <w:color w:val="auto"/>
        </w:rPr>
        <w:t>Existing regulatory policies may change, and additional government regulations may be enacted that could prevent, limit or delay development of or regulatory approval of our product candidates and/or increase our manufacturing costs, including raw materials, general operating costs or other costs. We cannot predict the likelihood, nature or extent of government regulation that may arise from future legislation or administrative action, either in the United States or abroad. If we fail to adequately prepare for the impacts of or are slow or unable to adapt to changes in existing requirements or the adoption of new requirements or policies, or if we are not able to maintain regulatory compliance, our product candidates may be delayed in obtaining regulatory approval or may lose any marketing approval that we may have obtained and we may not achieve or sustain profitability. In addition, the impact of legislative, executive, and administrative actions and any future healthcare measures and agency rules implemented by the current presidential administration on us and the pharmaceutical industry as a whole is unclear. These government actions could cause delays in our business plans, increase the cost of execution of our business plans or otherwise have a material adverse effect on our business. For example, recent actions and statements by the U.S,, including those relating to the imposition or threatened imposition of tariffs (including tariffs on patented pharmaceutical products), affecting (among others) certain products manufactured in China and other non-U.S.countries. These measures could impact the cost of manufacturing our product candidates for our ongoing and planned clinical trials and may increase other costs such as import and export costs across different jurisdictions, costs of drug product and clinical trial supplies, and other costs of running our trials and executing on our business plans, which could negatively impact our financial position. We may seek alternative or additional sources for our drug substance or drug product for our clinical trials, clinical trial sites, or service providers, which could negatively impact our expected costs, timelines and business plan. Additionally, the BIOSECURE Act enacted as part of the FY 2026 National Defense Authorization Act has the potential to severely restrict our ability to purchase services or products from, or otherwise collaborate with, certain Chinese “biotechnology companies of concern” without losing the ability to contract with, or otherwise receive funding from, the U.S. government. If any of our CMOs are identified as a BCOC, we could be required to switch or move development of our product candidates from one CMO to another, and as a result we may incur additional development costs or delays in manufacturing product for clinical trials or commercialization. In the U.S., in recent years, the pharmaceutical industry has been a particular focus of healthcare reform efforts and has been significantly affected by major legislative, administrative and executive initiatives addressing drug pricing and payment, access to healthcare or funding of healthcare as well as more general actions affecting federal budgets and tariffs. See the section titled “Business – Government Regulation – Healthcare Reform” in our most recent Annual Report for a more detailed description of healthcare reform measures that may prevent us from being able to generate revenue, attain profitability, or commercialize our product candidates.</w:t>
      </w:r>
    </w:p>
    <w:p>
      <w:pPr>
        <w:spacing w:after="0" w:line="200" w:lineRule="exact"/>
        <w:rPr>
          <w:sz w:val="20"/>
          <w:szCs w:val="20"/>
          <w:color w:val="auto"/>
        </w:rPr>
      </w:pPr>
    </w:p>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Our business operations and current and future arrangements with investigators, healthcare professionals, consultants, third-party payors, patient organizations, patients and others will be subject to applicable healthcare regulatory laws, which could expose us to penalties.</w:t>
      </w:r>
    </w:p>
    <w:p>
      <w:pPr>
        <w:spacing w:after="0" w:line="13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In the U.S., these laws include, but are not limited to the following, some of which are likely to apply only if or when we obtain marketing approval for a product candidate:</w:t>
      </w:r>
    </w:p>
    <w:p>
      <w:pPr>
        <w:spacing w:after="0" w:line="70" w:lineRule="exact"/>
        <w:rPr>
          <w:sz w:val="20"/>
          <w:szCs w:val="20"/>
          <w:color w:val="auto"/>
        </w:rPr>
      </w:pPr>
    </w:p>
    <w:p>
      <w:pPr>
        <w:ind w:left="560" w:hanging="286"/>
        <w:spacing w:after="0" w:line="344" w:lineRule="auto"/>
        <w:tabs>
          <w:tab w:leader="none" w:pos="5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5" w:lineRule="exact"/>
        <w:rPr>
          <w:rFonts w:ascii="Arial" w:cs="Arial" w:eastAsia="Arial" w:hAnsi="Arial"/>
          <w:sz w:val="14"/>
          <w:szCs w:val="14"/>
          <w:color w:val="auto"/>
        </w:rPr>
      </w:pPr>
    </w:p>
    <w:p>
      <w:pPr>
        <w:jc w:val="both"/>
        <w:ind w:left="560" w:hanging="286"/>
        <w:spacing w:after="0" w:line="257"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sectPr>
      </w:pPr>
    </w:p>
    <w:bookmarkStart w:id="58" w:name="page59"/>
    <w:bookmarkEnd w:id="58"/>
    <w:p>
      <w:pPr>
        <w:ind w:left="560" w:right="20" w:hanging="286"/>
        <w:spacing w:after="0" w:line="344" w:lineRule="auto"/>
        <w:tabs>
          <w:tab w:leader="none" w:pos="5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5" w:lineRule="exact"/>
        <w:rPr>
          <w:rFonts w:ascii="Arial" w:cs="Arial" w:eastAsia="Arial" w:hAnsi="Arial"/>
          <w:sz w:val="14"/>
          <w:szCs w:val="14"/>
          <w:color w:val="auto"/>
        </w:rPr>
      </w:pPr>
    </w:p>
    <w:p>
      <w:pPr>
        <w:ind w:left="560" w:right="20" w:hanging="286"/>
        <w:spacing w:after="0" w:line="271"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FDCA, which among other things, strictly regulates drug marketing, prohibits manufacturers from marketing products prior to approval or for off-label use and regulates the distribution of samples;</w:t>
      </w:r>
    </w:p>
    <w:p>
      <w:pPr>
        <w:spacing w:after="0" w:line="51" w:lineRule="exact"/>
        <w:rPr>
          <w:rFonts w:ascii="Arial" w:cs="Arial" w:eastAsia="Arial" w:hAnsi="Arial"/>
          <w:sz w:val="16"/>
          <w:szCs w:val="16"/>
          <w:color w:val="auto"/>
        </w:rPr>
      </w:pPr>
    </w:p>
    <w:p>
      <w:pPr>
        <w:jc w:val="both"/>
        <w:ind w:left="560" w:hanging="286"/>
        <w:spacing w:after="0" w:line="257"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63" w:lineRule="exact"/>
        <w:rPr>
          <w:rFonts w:ascii="Arial" w:cs="Arial" w:eastAsia="Arial" w:hAnsi="Arial"/>
          <w:sz w:val="16"/>
          <w:szCs w:val="16"/>
          <w:color w:val="auto"/>
        </w:rPr>
      </w:pPr>
    </w:p>
    <w:p>
      <w:pPr>
        <w:jc w:val="both"/>
        <w:ind w:left="560" w:hanging="286"/>
        <w:spacing w:after="0" w:line="257"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Open Payments (or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63" w:lineRule="exact"/>
        <w:rPr>
          <w:rFonts w:ascii="Arial" w:cs="Arial" w:eastAsia="Arial" w:hAnsi="Arial"/>
          <w:sz w:val="16"/>
          <w:szCs w:val="16"/>
          <w:color w:val="auto"/>
        </w:rPr>
      </w:pPr>
    </w:p>
    <w:p>
      <w:pPr>
        <w:ind w:left="560" w:hanging="286"/>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96" w:lineRule="exact"/>
        <w:rPr>
          <w:rFonts w:ascii="Arial" w:cs="Arial" w:eastAsia="Arial" w:hAnsi="Arial"/>
          <w:sz w:val="16"/>
          <w:szCs w:val="16"/>
          <w:color w:val="auto"/>
        </w:rPr>
      </w:pPr>
    </w:p>
    <w:p>
      <w:pPr>
        <w:jc w:val="both"/>
        <w:ind w:left="560" w:hanging="286"/>
        <w:spacing w:after="0" w:line="257"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laws and regulations, including state anti-kickback and false claims laws, consumer protection and unfair competition laws and laws governing privacy, security and breaches of health information in certain circumstances, many of which differ from each other in significant ways and often are not preempted by HIPAA, thus complicating compliance efforts; and</w:t>
      </w:r>
    </w:p>
    <w:p>
      <w:pPr>
        <w:spacing w:after="0" w:line="63" w:lineRule="exact"/>
        <w:rPr>
          <w:rFonts w:ascii="Arial" w:cs="Arial" w:eastAsia="Arial" w:hAnsi="Arial"/>
          <w:sz w:val="16"/>
          <w:szCs w:val="16"/>
          <w:color w:val="auto"/>
        </w:rPr>
      </w:pPr>
    </w:p>
    <w:p>
      <w:pPr>
        <w:jc w:val="both"/>
        <w:ind w:left="560" w:hanging="286"/>
        <w:spacing w:after="0" w:line="257"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state laws that require pharmaceutical companies to comply with specific compliance standards, restrict financial interactions between pharmaceutical companies and healthcare providers, report drug product pricing information, financial interactions with health care providers, or marketing expenditures and/or require the registration of pharmaceutical sales representatives.</w:t>
      </w:r>
    </w:p>
    <w:p>
      <w:pPr>
        <w:spacing w:after="0" w:line="157"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distribution of biopharmaceutical products is subject to additional requirements and regulations, including extensive record-keeping, licensing, storage and security requirements intended to prevent the unauthorized sale of pharmaceutical products.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See the section titled “Business – Government Regulation – Other Healthcare Laws and Compliance Requirements” in our most recent Annual Report for a more detailed description of certain laws that may affect our ability to operate.</w:t>
      </w:r>
    </w:p>
    <w:p>
      <w:pPr>
        <w:spacing w:after="0" w:line="145"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Ensuring compliance is time-consuming and costly.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possibly conclude that our business practices are non-compliant.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6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spacing w:after="0" w:line="13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significant part on the extent to which reimbursement for these product candidates and related treatments will be available from government health administration authorities,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06" w:right="31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16"/>
          <w:szCs w:val="16"/>
          <w:color w:val="auto"/>
        </w:rPr>
        <w:t>government health benefit programs, private health insurers, such as managed care plans, and other organizations. Government authorities and other third-party payors decide which medications they will pay for and establish reimbursement levels. Government authorities and other third-party payors have attempted to control costs by restricting coverage, controlling utilization and limiting the amount of reimbursement for particular medications. Third party payors may take action to encourage use of other products perceived to be clinically superior or more cost effective which may limit demand for our products. Our ability to commercialize our product candidates successfully may also be adversely affected by discounts or rebates that we are required to provide in order to ensure coverage of our products and compete in the marketplace. Additionally, if any of our product candidates is approved and we are found to have improperly promoted off-label uses of those product candidates, we may become subject to significant liability, which would materially adversely affect our business and financial condition. See the sections titled “Business – Government Regulation – Coverage and Reimbursement” and “Business – Government Regulation – Regulation in the European Union” in our most recent Annual Report for a more detailed description of the government regulations and third-party payor practices that may affect our ability to commercialize our product candidates.</w:t>
      </w:r>
    </w:p>
    <w:p>
      <w:pPr>
        <w:spacing w:after="0" w:line="170"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30"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 if any.</w:t>
      </w:r>
    </w:p>
    <w:p>
      <w:pPr>
        <w:spacing w:after="0" w:line="190"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certain EU member states were to significantly alter their regulations affecting the pricing of prescription pharmaceuticals, we could face significant new costs.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60" w:name="page61"/>
    <w:bookmarkEnd w:id="60"/>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A breakthrough therapy, fast track, or other expedited designation for our product candidates may not lead to a faster development or regulatory review or approval process, and it does not increase the likelihood that those product candidates will receive marketing approval.</w:t>
      </w:r>
    </w:p>
    <w:p>
      <w:pPr>
        <w:spacing w:after="0" w:line="13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We may seek a breakthrough therapy, fast track, or other designation for appropriate product candidates. Designations such as these are within the discretion of the FDA, or other comparable foreign regulatory authorities. The receipt of a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under one of FDA’s designation programs, the FDA may later decide that the products no longer meet the conditions for qualification or decide that the time period for FDA review or approval will not be shortened. Additionally, changes in the leadership of the FDA and other actions taken by the presidential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the Fast Track Designation and progress development of our programs or obtain regulatory approval for our programs. See the section titled “Business – Government Regulation – United States Biologics Regulation – Expedited Development and Review Programs” in our most recent Annual Report for a more detailed description of the process for seeking expedited designations such as fast track or breakthrough therapy designations.</w:t>
      </w:r>
    </w:p>
    <w:p>
      <w:pPr>
        <w:spacing w:after="0" w:line="16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Disruptions at the FDA and other government agencies, including as a result of a government shutdown, could negatively affect the review of our regulatory submissions, which could negatively impact our business.</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The ability of the FDA to review and approve regulatory submissions can be affected by a variety of factors, including a government shutdown as well as statutory, regulatory and policy changes, inadequate government budget funding levels or a reduction in the FDA’s workforce and its ability to hire and retain key personnel, disruptions caused by government shutdowns and public health crises. There have been mass layoffs of federal employees since the start of the current presidential administration in January 2025, the full impact of which is unclear at this time. Such disruptions could significantly impact the ability of the FDA or other regulatory authorities to timely review and process our regulatory submissions, which could have a material adverse effect on our business. In addition, the presidential administration has made and is expected to continue to make significant changes in the leadership of the FDA and other U.S. federal regulatory agencies and changes to U.S. federal government policy that have led to, in some cases, legal challenges and uncertainty around the funding, functioning and policy priorities of the U.S. federal regulatory agencies, including the FDA. In addition, certain senior employees of FDA have not maintained long tenure in their positions, marking a period of high leadership turnover.</w:t>
      </w:r>
    </w:p>
    <w:p>
      <w:pPr>
        <w:spacing w:after="0" w:line="165"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We are unable to predict the extent to which the presidential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spacing w:after="0" w:line="138"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 xml:space="preserve">Additionally, the U.S. Supreme Court’s June 2024 decision in </w:t>
      </w:r>
      <w:r>
        <w:rPr>
          <w:rFonts w:ascii="Arial" w:cs="Arial" w:eastAsia="Arial" w:hAnsi="Arial"/>
          <w:sz w:val="16"/>
          <w:szCs w:val="16"/>
          <w:i w:val="1"/>
          <w:iCs w:val="1"/>
          <w:color w:val="auto"/>
        </w:rPr>
        <w:t>Loper Bright Enterprises v. Raimondo</w:t>
      </w:r>
      <w:r>
        <w:rPr>
          <w:rFonts w:ascii="Arial" w:cs="Arial" w:eastAsia="Arial" w:hAnsi="Arial"/>
          <w:sz w:val="16"/>
          <w:szCs w:val="16"/>
          <w:color w:val="auto"/>
        </w:rPr>
        <w:t xml:space="preserve"> overturned the longstanding Chevron doctrine, under which courts were required to give deference to regulatory agencies’ reasonable interpretations of ambiguous federal statutes. The </w:t>
      </w:r>
      <w:r>
        <w:rPr>
          <w:rFonts w:ascii="Arial" w:cs="Arial" w:eastAsia="Arial" w:hAnsi="Arial"/>
          <w:sz w:val="16"/>
          <w:szCs w:val="16"/>
          <w:i w:val="1"/>
          <w:iCs w:val="1"/>
          <w:color w:val="auto"/>
        </w:rPr>
        <w:t>Loper</w:t>
      </w:r>
      <w:r>
        <w:rPr>
          <w:rFonts w:ascii="Arial" w:cs="Arial" w:eastAsia="Arial" w:hAnsi="Arial"/>
          <w:sz w:val="16"/>
          <w:szCs w:val="16"/>
          <w:color w:val="auto"/>
        </w:rPr>
        <w:t xml:space="preserve">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Arial" w:cs="Arial" w:eastAsia="Arial" w:hAnsi="Arial"/>
          <w:sz w:val="16"/>
          <w:szCs w:val="16"/>
          <w:i w:val="1"/>
          <w:iCs w:val="1"/>
          <w:color w:val="auto"/>
        </w:rPr>
        <w:t>Loper</w:t>
      </w:r>
      <w:r>
        <w:rPr>
          <w:rFonts w:ascii="Arial" w:cs="Arial" w:eastAsia="Arial" w:hAnsi="Arial"/>
          <w:sz w:val="16"/>
          <w:szCs w:val="16"/>
          <w:color w:val="auto"/>
        </w:rPr>
        <w:t xml:space="preserve"> decision may result in increased regulatory uncertainty, inconsistent judicial interpretations, and other impacts to the agency rulemaking process, any of which could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61" w:name="page62"/>
    <w:bookmarkEnd w:id="61"/>
    <w:p>
      <w:pPr>
        <w:jc w:val="both"/>
        <w:ind w:right="20"/>
        <w:spacing w:after="0" w:line="311" w:lineRule="auto"/>
        <w:rPr>
          <w:sz w:val="20"/>
          <w:szCs w:val="20"/>
          <w:color w:val="auto"/>
        </w:rPr>
      </w:pPr>
      <w:r>
        <w:rPr>
          <w:rFonts w:ascii="Arial" w:cs="Arial" w:eastAsia="Arial" w:hAnsi="Arial"/>
          <w:sz w:val="14"/>
          <w:szCs w:val="14"/>
          <w:color w:val="auto"/>
        </w:rPr>
        <w:t>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obtain and protect our patents and other proprietary rights is uncertain, exposing us to the possible loss of competitive advantage.</w:t>
      </w:r>
    </w:p>
    <w:p>
      <w:pPr>
        <w:spacing w:after="0" w:line="190"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We rely upon a combination of patents, trademarks, trade secret protection, confidentiality agreements, license agreements, including the License Agreements, and the Paragon Agreement to protect the intellectual property related to our programs and technologies and to prevent third parties from competing unfairly with us. Our success depends in large part on our ability to obtain and maintain patent protection for our platform technologies, programs and their uses, as well as our ability to operate without infringing on or violating the proprietary rights of others. We own and have licensed rights to pending patent applications and expect to continue to file patent applications in the United States and abroad related to our novel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331"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or license may not afford us any meaningful competitive advantage.</w:t>
      </w:r>
    </w:p>
    <w:p>
      <w:pPr>
        <w:spacing w:after="0" w:line="164"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 Enforcing a claim that a party illegally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62" w:name="page63"/>
    <w:bookmarkEnd w:id="62"/>
    <w:p>
      <w:pPr>
        <w:jc w:val="both"/>
        <w:ind w:right="20"/>
        <w:spacing w:after="0" w:line="271" w:lineRule="auto"/>
        <w:rPr>
          <w:sz w:val="20"/>
          <w:szCs w:val="20"/>
          <w:color w:val="auto"/>
        </w:rPr>
      </w:pPr>
      <w:r>
        <w:rPr>
          <w:rFonts w:ascii="Arial" w:cs="Arial" w:eastAsia="Arial" w:hAnsi="Arial"/>
          <w:sz w:val="16"/>
          <w:szCs w:val="16"/>
          <w:color w:val="auto"/>
        </w:rPr>
        <w:t>obtained and is using our trade secrets is challenging and the outcome is unpredictable. In addition, courts outside of the U.S. may be less willing to protect trade secrets.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Lastly, if our trademarks and trade names are not registered or adequately protected, then we may not be able to build name recognition in our markets of interest and our business may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programs through acquisitions and in-licenses.</w:t>
      </w:r>
    </w:p>
    <w:p>
      <w:pPr>
        <w:spacing w:after="0" w:line="19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Because our development programs currently do and may in the future require the use of proprietary rights held by third parties, the growth of our business may depend in part on our ability to acquire, in-license, or use these third -party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w:t>
      </w:r>
    </w:p>
    <w:p>
      <w:pPr>
        <w:spacing w:after="0" w:line="17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While we normally seek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w:t>
      </w:r>
    </w:p>
    <w:p>
      <w:pPr>
        <w:spacing w:after="0" w:line="165"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Our current and future licensors may rely on third -party consultants or collaborators or on funds from third parties such that our current and future licensors are not the sole and exclusive owners of the patents we in-license. If other third parties have ownership rights to our current and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2"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7"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Disputes may arise between us and our current and future licensors regarding intellectual property subject to a license agreement, including: the scope of rights granted under the license agreement and other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63" w:name="page64"/>
    <w:bookmarkEnd w:id="63"/>
    <w:p>
      <w:pPr>
        <w:jc w:val="both"/>
        <w:spacing w:after="0" w:line="252" w:lineRule="auto"/>
        <w:rPr>
          <w:sz w:val="20"/>
          <w:szCs w:val="20"/>
          <w:color w:val="auto"/>
        </w:rPr>
      </w:pPr>
      <w:r>
        <w:rPr>
          <w:rFonts w:ascii="Arial" w:cs="Arial" w:eastAsia="Arial" w:hAnsi="Arial"/>
          <w:sz w:val="16"/>
          <w:szCs w:val="16"/>
          <w:color w:val="auto"/>
        </w:rPr>
        <w:t>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and future licensors and us and our partners; and the priority of invention of patented technology.</w:t>
      </w:r>
    </w:p>
    <w:p>
      <w:pPr>
        <w:spacing w:after="0" w:line="16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13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if found to be valid and enforceable, could be alleged to render one or more of our product candidates infringing. If a third party successfully brings a claim against us, we may be required to pay substantial damages, be forced to abandon any affected product candidate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w:t>
      </w:r>
    </w:p>
    <w:p>
      <w:pPr>
        <w:spacing w:after="0" w:line="170" w:lineRule="exact"/>
        <w:rPr>
          <w:sz w:val="20"/>
          <w:szCs w:val="20"/>
          <w:color w:val="auto"/>
        </w:rPr>
      </w:pPr>
    </w:p>
    <w:p>
      <w:pPr>
        <w:jc w:val="both"/>
        <w:ind w:firstLine="561"/>
        <w:spacing w:after="0" w:line="287" w:lineRule="auto"/>
        <w:rPr>
          <w:sz w:val="20"/>
          <w:szCs w:val="20"/>
          <w:color w:val="auto"/>
        </w:rPr>
      </w:pPr>
      <w:r>
        <w:rPr>
          <w:rFonts w:ascii="Arial" w:cs="Arial" w:eastAsia="Arial" w:hAnsi="Arial"/>
          <w:sz w:val="14"/>
          <w:szCs w:val="14"/>
          <w:color w:val="auto"/>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42"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3"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163"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64" w:name="page65"/>
    <w:bookmarkEnd w:id="64"/>
    <w:p>
      <w:pPr>
        <w:jc w:val="both"/>
        <w:spacing w:after="0" w:line="281" w:lineRule="auto"/>
        <w:rPr>
          <w:sz w:val="20"/>
          <w:szCs w:val="20"/>
          <w:color w:val="auto"/>
        </w:rPr>
      </w:pPr>
      <w:r>
        <w:rPr>
          <w:rFonts w:ascii="Arial" w:cs="Arial" w:eastAsia="Arial" w:hAnsi="Arial"/>
          <w:sz w:val="16"/>
          <w:szCs w:val="16"/>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Despite our training and compliance efforts,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67"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6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Changes to patent laws in the United States and other jurisdictions could diminish the value of patents in general, thereby impairing our ability to protect our products.</w:t>
      </w:r>
    </w:p>
    <w:p>
      <w:pPr>
        <w:spacing w:after="0" w:line="13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5"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Arial" w:cs="Arial" w:eastAsia="Arial" w:hAnsi="Arial"/>
          <w:sz w:val="16"/>
          <w:szCs w:val="16"/>
          <w:i w:val="1"/>
          <w:iCs w:val="1"/>
          <w:color w:val="auto"/>
        </w:rPr>
        <w:t>Amgen, Inc. v. Sanofi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(Amgen) </w:t>
      </w:r>
      <w:r>
        <w:rPr>
          <w:rFonts w:ascii="Arial" w:cs="Arial" w:eastAsia="Arial" w:hAnsi="Arial"/>
          <w:sz w:val="16"/>
          <w:szCs w:val="16"/>
          <w:color w:val="auto"/>
        </w:rPr>
        <w:t>recently held that</w:t>
      </w:r>
      <w:r>
        <w:rPr>
          <w:rFonts w:ascii="Arial" w:cs="Arial" w:eastAsia="Arial" w:hAnsi="Arial"/>
          <w:sz w:val="16"/>
          <w:szCs w:val="16"/>
          <w:i w:val="1"/>
          <w:iCs w:val="1"/>
          <w:color w:val="auto"/>
        </w:rPr>
        <w:t xml:space="preserve"> Amgen</w:t>
      </w:r>
      <w:r>
        <w:rPr>
          <w:rFonts w:ascii="Arial" w:cs="Arial" w:eastAsia="Arial" w:hAnsi="Arial"/>
          <w:sz w:val="16"/>
          <w:szCs w:val="16"/>
          <w:color w:val="auto"/>
        </w:rPr>
        <w:t>’s patent claims to a class of antibodies functionally defined by their ability to bind a particular antigen were invalid for lack of</w:t>
      </w:r>
      <w:r>
        <w:rPr>
          <w:rFonts w:ascii="Arial" w:cs="Arial" w:eastAsia="Arial" w:hAnsi="Arial"/>
          <w:sz w:val="16"/>
          <w:szCs w:val="16"/>
          <w:i w:val="1"/>
          <w:iCs w:val="1"/>
          <w:color w:val="auto"/>
        </w:rPr>
        <w:t xml:space="preserve"> </w:t>
      </w:r>
      <w:r>
        <w:rPr>
          <w:rFonts w:ascii="Arial" w:cs="Arial" w:eastAsia="Arial" w:hAnsi="Arial"/>
          <w:sz w:val="16"/>
          <w:szCs w:val="16"/>
          <w:color w:val="auto"/>
        </w:rPr>
        <w:t>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65" w:name="page66"/>
    <w:bookmarkEnd w:id="65"/>
    <w:p>
      <w:pPr>
        <w:jc w:val="both"/>
        <w:spacing w:after="0" w:line="247" w:lineRule="auto"/>
        <w:rPr>
          <w:sz w:val="20"/>
          <w:szCs w:val="20"/>
          <w:color w:val="auto"/>
        </w:rPr>
      </w:pPr>
      <w:r>
        <w:rPr>
          <w:rFonts w:ascii="Arial" w:cs="Arial" w:eastAsia="Arial" w:hAnsi="Arial"/>
          <w:sz w:val="16"/>
          <w:szCs w:val="16"/>
          <w:color w:val="auto"/>
        </w:rPr>
        <w:t xml:space="preserve">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Arial" w:cs="Arial" w:eastAsia="Arial" w:hAnsi="Arial"/>
          <w:sz w:val="16"/>
          <w:szCs w:val="16"/>
          <w:i w:val="1"/>
          <w:iCs w:val="1"/>
          <w:color w:val="auto"/>
        </w:rPr>
        <w:t>Amgen</w:t>
      </w:r>
      <w:r>
        <w:rPr>
          <w:rFonts w:ascii="Arial" w:cs="Arial" w:eastAsia="Arial" w:hAnsi="Arial"/>
          <w:sz w:val="16"/>
          <w:szCs w:val="16"/>
          <w:color w:val="auto"/>
        </w:rPr>
        <w:t xml:space="preserve"> or 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ways that could have a material adverse effect on our patent rights and weaken our ability to protect, defend and enforce our patent rights in the future.</w:t>
      </w:r>
    </w:p>
    <w:p>
      <w:pPr>
        <w:spacing w:after="0" w:line="167" w:lineRule="exact"/>
        <w:rPr>
          <w:sz w:val="20"/>
          <w:szCs w:val="20"/>
          <w:color w:val="auto"/>
        </w:rPr>
      </w:pPr>
    </w:p>
    <w:p>
      <w:pPr>
        <w:jc w:val="both"/>
        <w:ind w:firstLine="561"/>
        <w:spacing w:after="0" w:line="245" w:lineRule="auto"/>
        <w:rPr>
          <w:sz w:val="20"/>
          <w:szCs w:val="20"/>
          <w:color w:val="auto"/>
        </w:rPr>
      </w:pPr>
      <w:r>
        <w:rPr>
          <w:rFonts w:ascii="Arial" w:cs="Arial" w:eastAsia="Arial" w:hAnsi="Arial"/>
          <w:sz w:val="16"/>
          <w:szCs w:val="16"/>
          <w:color w:val="auto"/>
        </w:rPr>
        <w:t>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In addition, a European Unified Patent Court (“UPC”) entered into force on June 1, 2023. The UPC is a common patent court that hears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Given that we own or license certain European patents or applications for our current pipeline,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 or that we will have the ability to opt out of the UPC in the future.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45"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66" w:name="page67"/>
    <w:bookmarkEnd w:id="66"/>
    <w:p>
      <w:pPr>
        <w:jc w:val="both"/>
        <w:spacing w:after="0" w:line="281"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67"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priority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subject to claims challenging the inventorship or ownership of our patents and other intellectual property.</w:t>
      </w:r>
    </w:p>
    <w:p>
      <w:pPr>
        <w:spacing w:after="0" w:line="19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current and future licensors may have relied on third-party consultants or collaborators or on funds from third parties, such as the U.S. government, such that our licensors are not the sole and exclusive owners of the patents we in-licensed. The U.S. government has certain rights in such inventions under the applicable funding agreements and under applicable law.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the competitive position of our product candidates for an adequate amount of time.</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16"/>
          <w:szCs w:val="16"/>
          <w:color w:val="auto"/>
        </w:rPr>
        <w:t>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57" w:lineRule="exact"/>
        <w:rPr>
          <w:sz w:val="20"/>
          <w:szCs w:val="20"/>
          <w:color w:val="auto"/>
        </w:rPr>
      </w:pPr>
    </w:p>
    <w:p>
      <w:pPr>
        <w:jc w:val="both"/>
        <w:ind w:right="20"/>
        <w:spacing w:after="0" w:line="356" w:lineRule="auto"/>
        <w:rPr>
          <w:sz w:val="20"/>
          <w:szCs w:val="20"/>
          <w:color w:val="auto"/>
        </w:rPr>
      </w:pPr>
      <w:r>
        <w:rPr>
          <w:rFonts w:ascii="Arial" w:cs="Arial" w:eastAsia="Arial" w:hAnsi="Arial"/>
          <w:sz w:val="14"/>
          <w:szCs w:val="14"/>
          <w:b w:val="1"/>
          <w:bCs w:val="1"/>
          <w:i w:val="1"/>
          <w:iCs w:val="1"/>
          <w:color w:val="auto"/>
        </w:rPr>
        <w:t>Our technology licensed from various third parties may be subject to retained rights or may be affected by our failure to comply with obligations under license agreements or other disruptions to business relationships with licensors resulting in loss of license rights that are important to our business.</w:t>
      </w:r>
    </w:p>
    <w:p>
      <w:pPr>
        <w:spacing w:after="0" w:line="71" w:lineRule="exact"/>
        <w:rPr>
          <w:sz w:val="20"/>
          <w:szCs w:val="20"/>
          <w:color w:val="auto"/>
        </w:rPr>
      </w:pPr>
    </w:p>
    <w:p>
      <w:pPr>
        <w:jc w:val="both"/>
        <w:ind w:firstLine="561"/>
        <w:spacing w:after="0" w:line="264" w:lineRule="auto"/>
        <w:rPr>
          <w:sz w:val="20"/>
          <w:szCs w:val="20"/>
          <w:color w:val="auto"/>
        </w:rPr>
      </w:pPr>
      <w:r>
        <w:rPr>
          <w:rFonts w:ascii="Arial" w:cs="Arial" w:eastAsia="Arial" w:hAnsi="Arial"/>
          <w:sz w:val="14"/>
          <w:szCs w:val="14"/>
          <w:color w:val="auto"/>
        </w:rPr>
        <w:t>Our current or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under our license agreements, we may be generally responsible for bringing any actions against third parties for infringing on the patents we have licensed. Certain of our license agreements may also require us to meet development thresholds to maintain the license, including establishing a set timeline for developing and commercializing products. In spite of our</w:t>
      </w:r>
    </w:p>
    <w:p>
      <w:pPr>
        <w:spacing w:after="0" w:line="3"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licenses are terminated, or if the underlying patents fail to provide the intended exclusivity, competitors or other third parties may seek regulatory approval of, and to market, products identical to ours or we may be required to cease our development and commercialization of one or more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78" w:lineRule="exact"/>
        <w:rPr>
          <w:sz w:val="20"/>
          <w:szCs w:val="20"/>
          <w:color w:val="auto"/>
        </w:rPr>
      </w:pPr>
    </w:p>
    <w:p>
      <w:pPr>
        <w:ind w:left="560" w:hanging="286"/>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sublicensing of patent and other rights to third parties under our collaborative development relationships;</w:t>
      </w:r>
    </w:p>
    <w:p>
      <w:pPr>
        <w:spacing w:after="0" w:line="96"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51"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 us and our partners; and</w:t>
      </w:r>
    </w:p>
    <w:p>
      <w:pPr>
        <w:spacing w:after="0" w:line="51" w:lineRule="exact"/>
        <w:rPr>
          <w:rFonts w:ascii="Arial" w:cs="Arial" w:eastAsia="Arial" w:hAnsi="Arial"/>
          <w:sz w:val="16"/>
          <w:szCs w:val="16"/>
          <w:color w:val="auto"/>
        </w:rPr>
      </w:pPr>
    </w:p>
    <w:p>
      <w:pPr>
        <w:ind w:left="560" w:hanging="286"/>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priority of invention of patented technology.</w:t>
      </w:r>
    </w:p>
    <w:p>
      <w:pPr>
        <w:spacing w:after="0" w:line="190"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4"/>
          <w:szCs w:val="14"/>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It is also possible that a third party could be granted limited licenses to some of the same technology, in certain circumstances. Any such events could result in the loss of our ability to develop and commercialize one or more product candidates or we could lose other significant rights, any of which could have a material adverse effect on our business, financial conditions,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limited foreign intellectual property rights and may not be able to protect our intellectual property and proprietary rights throughout the world.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68" w:name="page69"/>
    <w:bookmarkEnd w:id="68"/>
    <w:p>
      <w:pPr>
        <w:jc w:val="both"/>
        <w:ind w:firstLine="561"/>
        <w:spacing w:after="0" w:line="247" w:lineRule="auto"/>
        <w:rPr>
          <w:sz w:val="20"/>
          <w:szCs w:val="20"/>
          <w:color w:val="auto"/>
        </w:rPr>
      </w:pPr>
      <w:r>
        <w:rPr>
          <w:rFonts w:ascii="Arial" w:cs="Arial" w:eastAsia="Arial" w:hAnsi="Arial"/>
          <w:sz w:val="16"/>
          <w:szCs w:val="16"/>
          <w:color w:val="auto"/>
        </w:rPr>
        <w:t>We have limited intellectual property rights outside of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the federal and state laws of the United States. In addition, intellectual property license agreements we enter into may not always include worldwide rights. Consequently, we may not be able to prevent third parties from using our intellectual property in all countries outside the United States, or from selling or importing products made using our intellectual property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difficult or impractical. These products may compete with our product candidates and our patents or other intellectual property rights may not be effective or sufficient to prevent them from competing.</w:t>
      </w:r>
    </w:p>
    <w:p>
      <w:pPr>
        <w:spacing w:after="0" w:line="165"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329"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Many countries have invoked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The intellectual property landscape around engineered antibodies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145"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Due to the intense research and development that is taking place in the field of engineered antibodies, including by us and our competitors,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157"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product candidates we may develop, including interference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69" w:name="page70"/>
    <w:bookmarkEnd w:id="69"/>
    <w:p>
      <w:pPr>
        <w:jc w:val="both"/>
        <w:ind w:right="20"/>
        <w:spacing w:after="0" w:line="252" w:lineRule="auto"/>
        <w:rPr>
          <w:sz w:val="20"/>
          <w:szCs w:val="20"/>
          <w:color w:val="auto"/>
        </w:rPr>
      </w:pPr>
      <w:r>
        <w:rPr>
          <w:rFonts w:ascii="Arial" w:cs="Arial" w:eastAsia="Arial" w:hAnsi="Arial"/>
          <w:sz w:val="16"/>
          <w:szCs w:val="16"/>
          <w:color w:val="auto"/>
        </w:rPr>
        <w:t>proceedings, post-grant review, inter partes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162"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some of our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64" w:lineRule="exact"/>
        <w:rPr>
          <w:sz w:val="20"/>
          <w:szCs w:val="20"/>
          <w:color w:val="auto"/>
        </w:rPr>
      </w:pPr>
    </w:p>
    <w:p>
      <w:pPr>
        <w:jc w:val="both"/>
        <w:ind w:right="20" w:firstLine="561"/>
        <w:spacing w:after="0" w:line="300" w:lineRule="auto"/>
        <w:rPr>
          <w:sz w:val="20"/>
          <w:szCs w:val="20"/>
          <w:color w:val="auto"/>
        </w:rPr>
      </w:pPr>
      <w:r>
        <w:rPr>
          <w:rFonts w:ascii="Arial" w:cs="Arial" w:eastAsia="Arial" w:hAnsi="Arial"/>
          <w:sz w:val="14"/>
          <w:szCs w:val="14"/>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130" w:lineRule="exact"/>
        <w:rPr>
          <w:sz w:val="20"/>
          <w:szCs w:val="20"/>
          <w:color w:val="auto"/>
        </w:rPr>
      </w:pPr>
    </w:p>
    <w:p>
      <w:pPr>
        <w:jc w:val="both"/>
        <w:ind w:firstLine="561"/>
        <w:spacing w:after="0" w:line="282" w:lineRule="auto"/>
        <w:rPr>
          <w:sz w:val="20"/>
          <w:szCs w:val="20"/>
          <w:color w:val="auto"/>
        </w:rPr>
      </w:pPr>
      <w:r>
        <w:rPr>
          <w:rFonts w:ascii="Arial" w:cs="Arial" w:eastAsia="Arial" w:hAnsi="Arial"/>
          <w:sz w:val="14"/>
          <w:szCs w:val="14"/>
          <w:color w:val="auto"/>
        </w:rPr>
        <w:t>Our ability to commercialize our product candidates in the United States and abroad may be adversely affected if we cannot obtain a license on commercially reasonable terms to relevant third-party patents that cover our product candidates. Even if we believe third-party intellectual property claims are without merit, there can be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impacted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certain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338"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6"/>
          <w:szCs w:val="16"/>
          <w:color w:val="auto"/>
        </w:rPr>
        <w:t>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19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rely on collaborations and licensing arrangements with third parties, including our arrangement with Paragon. If we are unable to maintain these collaborations or licensing arrangements, or if these collaborations or licensing arrangements are not successful, our business could be negatively impacted.</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We currently rely on our collaborations and licensing arrangements with third parties, including Paragon, for a substantial portion of our discovery capabilities and in-licenses.</w:t>
      </w:r>
    </w:p>
    <w:p>
      <w:pPr>
        <w:spacing w:after="0" w:line="145"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us, disagrees with our interpretation of the terms of such agreement or terminates their agreement with us, our research programs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spacing w:after="0" w:line="331" w:lineRule="exact"/>
        <w:rPr>
          <w:sz w:val="20"/>
          <w:szCs w:val="20"/>
          <w:color w:val="auto"/>
        </w:rPr>
      </w:pPr>
    </w:p>
    <w:p>
      <w:pPr>
        <w:jc w:val="both"/>
        <w:ind w:right="20" w:firstLine="561"/>
        <w:spacing w:after="0" w:line="252" w:lineRule="auto"/>
        <w:rPr>
          <w:sz w:val="20"/>
          <w:szCs w:val="20"/>
          <w:color w:val="auto"/>
        </w:rPr>
      </w:pPr>
      <w:r>
        <w:rPr>
          <w:rFonts w:ascii="Arial" w:cs="Arial" w:eastAsia="Arial" w:hAnsi="Arial"/>
          <w:sz w:val="16"/>
          <w:szCs w:val="16"/>
          <w:color w:val="auto"/>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62"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currently rely, and plan to rely in the future, on third parties to conduct and support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45"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We have utilized and plan to continue to utilize and depend upon independent investigators and collaborators, such as medical institutions, CROs, contract testing labs and strategic partners, to conduct and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71" w:name="page72"/>
    <w:bookmarkEnd w:id="71"/>
    <w:p>
      <w:pPr>
        <w:jc w:val="both"/>
        <w:spacing w:after="0" w:line="245" w:lineRule="auto"/>
        <w:rPr>
          <w:sz w:val="20"/>
          <w:szCs w:val="20"/>
          <w:color w:val="auto"/>
        </w:rPr>
      </w:pPr>
      <w:r>
        <w:rPr>
          <w:rFonts w:ascii="Arial" w:cs="Arial" w:eastAsia="Arial" w:hAnsi="Arial"/>
          <w:sz w:val="16"/>
          <w:szCs w:val="16"/>
          <w:color w:val="auto"/>
        </w:rPr>
        <w:t>support our nonclinical studies and clinical trials under agreements with us.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good laboratory practice (“GLP”), GCP and GVP regulations, which are regulations and guidelines enforced by the FDA and comparable foreign regulatory authorities for all of our programs in clinical development. If we or any of these third parties fail to comply with applicable GLP, GCP and GVP regulations, the nonclinical and clinical data generated in our nonclinical studies and clinical trials may be deemed unreliable and the FDA or comparable foreign regulatory authorities may require us to perform additional nonclinical and clinical trials before approving our marketing applications. We cannot assure you that upon inspection by a given regulatory authority, such regulatory authority will determine that any of our nonclinical studies and clinical trials comply with GLP, GCP and GVP regulations. In addition, our clinical trials must be conducted with products produced under cGMP regulations. Our failure to comply with these regulations may require us to repeat nonclinical studies and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4"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Any third parties conducting our nonclinical studies and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nonclinical studies, clinical trials or other product development activities, which could negatively affect their performance on our behalf and the timing thereof and could lead to products that compete directly or indirectly with our current or future product candidates. If any of our relationships with these third parties, including CMOs and CROs, are terminated, we may not be able to enter into arrangements with alternative CMOs, CROs or other third parties or to do so on commercially reasonable terms. Switching or adding additional CMOs or CROs involves additional cost and requires company resources. In addition, there is a natural transition period when a new CMO or CRO begins work. As a result, delays may occur, which can materially impact our ability to meet our desired clinical development timelines. Though we carefully manage our relationships with our CMOs and CROs, there can be no assurance that we will not encounter similar challenges or delays in the future or that these delays or challenges will not have a material adverse impact on our business, financial condition and prospects.</w:t>
      </w:r>
    </w:p>
    <w:p>
      <w:pPr>
        <w:spacing w:after="0" w:line="329"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If these CMOs, CROs or other third parties do not successfully carry out their contractual duties or obligations or meet expected deadlines, if they need to be replaced or if the quality or accuracy of the clinical data they obtain is compromised due to the failure (including by clinical sites or investigators) to adhere to our nonclinical and clinical protocols or regulatory requirements or for other reasons, our nonclinical studies and clinical trials may be extended, delayed or terminated and we may not be able to complete development of, obtain regulatory approval of or successfully commercialize our product candidates. As a result, our results of operations and the commercial prospects for our product candidates would be harmed, our costs could increase substantially and our ability to generate revenues could be delayed significantly.</w:t>
      </w:r>
    </w:p>
    <w:p>
      <w:pPr>
        <w:spacing w:after="0" w:line="163"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In addition, we currently rely on foreign CROs and CMOs, including WuXi Biologics, and will likely continue to rely on foreign CROs and CMOs in the future. We or the foreign CROs or CMOs we work with may be subject to U.S. legislation, including the BIOSECURE Act included as part of the FY 2026 National Defense Authorization Act,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or disrupt our supply chain. For example, in April 2025, the United States government imposed significant tariffs on imports from China and other countries and may impose more restrictions on goods, including biologically derived substances, manufactured in or imported from China or impose other restrictions on companies’ ability to work with Chinese biotechnology companies. In April 2026, the U.S. announced the imposition of tariffs on patented pharmaceutical products, which may further increase costs or restrictions. We are in the process of creating manufacturing capabilities with third parties outside of China,</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72" w:name="page73"/>
    <w:bookmarkEnd w:id="72"/>
    <w:p>
      <w:pPr>
        <w:jc w:val="both"/>
        <w:spacing w:after="0" w:line="311" w:lineRule="auto"/>
        <w:rPr>
          <w:sz w:val="20"/>
          <w:szCs w:val="20"/>
          <w:color w:val="auto"/>
        </w:rPr>
      </w:pPr>
      <w:r>
        <w:rPr>
          <w:rFonts w:ascii="Arial" w:cs="Arial" w:eastAsia="Arial" w:hAnsi="Arial"/>
          <w:sz w:val="14"/>
          <w:szCs w:val="14"/>
          <w:color w:val="auto"/>
        </w:rPr>
        <w:t>including within the United States, and have taken several measures to strengthen our supply chain in the event that our manufacturers are impacted; however, to the extent the aforementioned restrictions or future tariffs are applicable to the material we import from China and other countries or if we are not able to secure supply of our product candidates as a result of applicable legislation, our business and financial condition could be adversely affected despite our mitigation efforts.</w:t>
      </w:r>
    </w:p>
    <w:p>
      <w:pPr>
        <w:spacing w:after="0" w:line="122"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ongoing or planned clinical trials or have an adverse effect on our ability to secure government funding, which could adversely affect our financial condition and cause us to delay our clinical development programs.</w:t>
      </w:r>
    </w:p>
    <w:p>
      <w:pPr>
        <w:spacing w:after="0" w:line="16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145" w:lineRule="exact"/>
        <w:rPr>
          <w:sz w:val="20"/>
          <w:szCs w:val="20"/>
          <w:color w:val="auto"/>
        </w:rPr>
      </w:pPr>
    </w:p>
    <w:p>
      <w:pPr>
        <w:jc w:val="both"/>
        <w:ind w:firstLine="561"/>
        <w:spacing w:after="0" w:line="245" w:lineRule="auto"/>
        <w:rPr>
          <w:sz w:val="20"/>
          <w:szCs w:val="20"/>
          <w:color w:val="auto"/>
        </w:rPr>
      </w:pPr>
      <w:r>
        <w:rPr>
          <w:rFonts w:ascii="Arial" w:cs="Arial" w:eastAsia="Arial" w:hAnsi="Arial"/>
          <w:sz w:val="16"/>
          <w:szCs w:val="16"/>
          <w:color w:val="auto"/>
        </w:rPr>
        <w:t>We do not currently own any facility that may be used as our clinical or commercial manufacturing and processing facility and must currently rely on CMOs to manufacture our product candidates. We have not yet caused our product candidates to be manufactured on a commercial scale and may not be able to do so for any of our programs, if approved. Historically, we have generally had a sole source relationship for our supply of the SPY001, SPY002, SPY072 and SPY003 Phase 2 programs and are working to build dual sourcing for our potential Phase 3 clinical trials. If there should be any disruption in our product supply arrangements, including any adverse events affecting our suppliers, it could have a negative effect on the clinical development of our programs and other operations while we work to identify and qualify alternate supply sources.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other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73"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Moreover, our CMOs may experience manufacturing difficulties due to resource constraints, supply chain issues, proposed or actual legislative changes or requirements, or as a result of labor disputes or unstable political environments, including tariffs and restrictions imposed by the United States or other foreign governments on goods required for the operation of their business.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and other third parties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or increased costs as a result of tariffs on imports imposed by the United States or other foreign governments. Our business could be materially adversely affected by business disruptions to our third-party providers that could materially adversely affect our anticipated timelines, potential future revenue and financial condition and increase our costs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73" w:name="page74"/>
    <w:bookmarkEnd w:id="73"/>
    <w:p>
      <w:pPr>
        <w:jc w:val="both"/>
        <w:spacing w:after="0" w:line="252" w:lineRule="auto"/>
        <w:rPr>
          <w:sz w:val="20"/>
          <w:szCs w:val="20"/>
          <w:color w:val="auto"/>
        </w:rPr>
      </w:pPr>
      <w:r>
        <w:rPr>
          <w:rFonts w:ascii="Arial" w:cs="Arial" w:eastAsia="Arial" w:hAnsi="Arial"/>
          <w:sz w:val="16"/>
          <w:szCs w:val="16"/>
          <w:color w:val="auto"/>
        </w:rPr>
        <w:t>expenses. Each of these risks could delay or prevent the completion of our nonclinical studies and clinical trials or the approval of any of our product candidates by the FDA, resulting in higher costs or adversely impact commercialization of our product candidates. See the section titled “Business – Manufacturing and Supply” in our most recent Annual Report for a more detailed description of our manufacturing plans and assumptions and the factors that may affect the success of our programs.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Employee Matters, Managing Growth and Other Risks Related to Our Business</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In order to successfully implement our plans and strategies, we will need to grow the size of our organization and we may experience difficulties in managing this growth.</w:t>
      </w:r>
    </w:p>
    <w:p>
      <w:pPr>
        <w:spacing w:after="0" w:line="130"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We expect to continue to experience significant growth in the number of our employees and the scope of our operations, particularly in the areas of clinical drug development, technical operations, clinical operations, regulatory affairs and, potentially, commercial operations. To manage our anticipated future growth, we must continue to implement and improve our managerial, operational and financial personnel and systems and continue to recruit and train additional qualified personnel. Due to our limited financial resources and the experience of our management team, who have only worked together for a limited time in managing a public company with such anticipated growth, we may not be able to effectively manage the expansion of our operations or recruit and train additional qualified personnel.</w:t>
      </w:r>
    </w:p>
    <w:p>
      <w:pPr>
        <w:spacing w:after="0" w:line="16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30" w:lineRule="exact"/>
        <w:rPr>
          <w:sz w:val="20"/>
          <w:szCs w:val="20"/>
          <w:color w:val="auto"/>
        </w:rPr>
      </w:pPr>
    </w:p>
    <w:p>
      <w:pPr>
        <w:jc w:val="both"/>
        <w:ind w:right="20" w:firstLine="561"/>
        <w:spacing w:after="0" w:line="252" w:lineRule="auto"/>
        <w:rPr>
          <w:sz w:val="20"/>
          <w:szCs w:val="20"/>
          <w:color w:val="auto"/>
        </w:rPr>
      </w:pPr>
      <w:r>
        <w:rPr>
          <w:rFonts w:ascii="Arial" w:cs="Arial" w:eastAsia="Arial" w:hAnsi="Arial"/>
          <w:sz w:val="16"/>
          <w:szCs w:val="16"/>
          <w:color w:val="auto"/>
        </w:rPr>
        <w:t>We are a clinical stage biotechnology company with a limited operating history, and, as of March 31, 2026, we had 112 employees. We have been and will continue to be highly dependent on the research and development, clinical and business development expertise of our executive officers, as well as the other principal members of our management, scientific and clinical team. Any such officers and other principal members may terminate their employment with us at any time. We do not maintain “key person” insurance for any of our executives or other employees.</w:t>
      </w:r>
    </w:p>
    <w:p>
      <w:pPr>
        <w:spacing w:after="0" w:line="162"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38" w:lineRule="exact"/>
        <w:rPr>
          <w:sz w:val="20"/>
          <w:szCs w:val="20"/>
          <w:color w:val="auto"/>
        </w:rPr>
      </w:pPr>
    </w:p>
    <w:p>
      <w:pPr>
        <w:jc w:val="both"/>
        <w:ind w:right="20" w:firstLine="561"/>
        <w:spacing w:after="0" w:line="252" w:lineRule="auto"/>
        <w:rPr>
          <w:sz w:val="20"/>
          <w:szCs w:val="20"/>
          <w:color w:val="auto"/>
        </w:rPr>
      </w:pPr>
      <w:r>
        <w:rPr>
          <w:rFonts w:ascii="Arial" w:cs="Arial" w:eastAsia="Arial" w:hAnsi="Arial"/>
          <w:sz w:val="16"/>
          <w:szCs w:val="16"/>
          <w:color w:val="auto"/>
        </w:rPr>
        <w:t>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Our future growth may depend, in part, on our ability to operate in foreign markets, where we would be subject to additional regulatory burdens and other risks and uncertainties.</w:t>
      </w:r>
    </w:p>
    <w:p>
      <w:pPr>
        <w:spacing w:after="0" w:line="13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retaliatory measures by foreign governments may disrupt the global supply chain for biopharmaceutical products. Any direct tariffs imposed on pharmaceutical products may result in increased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costs for raw materials and contract manufacturing services, reduced ability to source critical CMOs, and a delay in our development timelines.</w:t>
      </w:r>
    </w:p>
    <w:p>
      <w:pPr>
        <w:spacing w:after="0" w:line="19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3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62"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130" w:lineRule="exact"/>
        <w:rPr>
          <w:sz w:val="20"/>
          <w:szCs w:val="20"/>
          <w:color w:val="auto"/>
        </w:rPr>
      </w:pPr>
    </w:p>
    <w:p>
      <w:pPr>
        <w:jc w:val="both"/>
        <w:ind w:firstLine="561"/>
        <w:spacing w:after="0" w:line="295" w:lineRule="auto"/>
        <w:rPr>
          <w:sz w:val="20"/>
          <w:szCs w:val="20"/>
          <w:color w:val="auto"/>
        </w:rPr>
      </w:pPr>
      <w:r>
        <w:rPr>
          <w:rFonts w:ascii="Arial" w:cs="Arial" w:eastAsia="Arial" w:hAnsi="Arial"/>
          <w:sz w:val="14"/>
          <w:szCs w:val="14"/>
          <w:color w:val="auto"/>
        </w:rPr>
        <w:t>Despite our employee training and compliance programs, 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policies, standard operating procedures and other compliance efforts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13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Our internal information technology systems, as well as those of any of our CROs, manufacturers, other contractors or consultants, third-party service providers, and potential future collaborators, are subject to the risk of failure, security breaches, data privacy incidents, or other unauthorized or improper access to, use of, or destruction of proprietary, confidential, employee, or personal data, which could result in additional costs, loss of revenue, significant liabilities, harm to our brand, and material disruption to our business.</w:t>
      </w:r>
    </w:p>
    <w:p>
      <w:pPr>
        <w:spacing w:after="0" w:line="138" w:lineRule="exact"/>
        <w:rPr>
          <w:sz w:val="20"/>
          <w:szCs w:val="20"/>
          <w:color w:val="auto"/>
        </w:rPr>
      </w:pPr>
    </w:p>
    <w:p>
      <w:pPr>
        <w:jc w:val="both"/>
        <w:ind w:firstLine="561"/>
        <w:spacing w:after="0" w:line="326" w:lineRule="auto"/>
        <w:rPr>
          <w:sz w:val="20"/>
          <w:szCs w:val="20"/>
          <w:color w:val="auto"/>
        </w:rPr>
      </w:pPr>
      <w:r>
        <w:rPr>
          <w:rFonts w:ascii="Arial" w:cs="Arial" w:eastAsia="Arial" w:hAnsi="Arial"/>
          <w:sz w:val="14"/>
          <w:szCs w:val="14"/>
          <w:color w:val="auto"/>
        </w:rPr>
        <w:t>To achieve our business objectives, we depend on our own internal IT systems and networks, as well as those of third parties and their vendors. These systems are used to process and store sensitive data—including confidential research, business plans, financial information, intellectual property, trade secrets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6"/>
          <w:szCs w:val="16"/>
          <w:color w:val="auto"/>
        </w:rPr>
        <w:t>various personal data that may be legally protected. They also play a critical role in maintaining the continuity of our supply chain and operations, and are integral to many of the products provided to customers.</w:t>
      </w:r>
    </w:p>
    <w:p>
      <w:pPr>
        <w:spacing w:after="0" w:line="158"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Although we have implemented security measures designed to protect our information systems and the data they store, the size and complexity of these systems—and the increasing volume of information maintained on our internal IT systems and those of our third-party CROs, other contractors (including clinical trial sites), service providers, supply chain partners, and consultants—make them potentially vulnerable to a range of risks. These risks include breakdowns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Such incidents could compromise our system infrastructure or lead to the loss, destruction, alteration or dissemination of, or damage to, our data. The evolving use of AI by malicious actors is expected to further intensify cybersecurity threats. For example, AI can be leveraged to develop adaptive malware, generate highly convincing phishing or impersonation attacks (such as deepfakes), or automate the discovery and exploitation of software vulnerabilities, thereby increasing the likelihood and sophistication of future attacks.</w:t>
      </w:r>
    </w:p>
    <w:p>
      <w:pPr>
        <w:spacing w:after="0" w:line="165"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64"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Even prompt detection and response may not fully mitigate impacts, and remediation efforts could divert management attention and increase costs. The use of AI by attackers may also contribute to faster, more coordinated attacks that evade traditional detection methods, placing additional pressure on our security infrastructure and incident response capabilities.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64" w:lineRule="exact"/>
        <w:rPr>
          <w:sz w:val="20"/>
          <w:szCs w:val="20"/>
          <w:color w:val="auto"/>
        </w:rPr>
      </w:pPr>
    </w:p>
    <w:p>
      <w:pPr>
        <w:jc w:val="both"/>
        <w:ind w:firstLine="561"/>
        <w:spacing w:after="0" w:line="300" w:lineRule="auto"/>
        <w:rPr>
          <w:sz w:val="20"/>
          <w:szCs w:val="20"/>
          <w:color w:val="auto"/>
        </w:rPr>
      </w:pPr>
      <w:r>
        <w:rPr>
          <w:rFonts w:ascii="Arial" w:cs="Arial" w:eastAsia="Arial" w:hAnsi="Arial"/>
          <w:sz w:val="14"/>
          <w:szCs w:val="14"/>
          <w:color w:val="auto"/>
        </w:rPr>
        <w:t>Our fully-remote workforce may create additional risks for our information technology systems and data because our employees work remotely and utilize network connections, computers, and devices working at home, while in transit and in public locations. Remote work may increase exposure to insecure networks, device loss, and compromised credentials.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For further discussion of our evolving privacy and data security compliance obligations, see the sections titled “Business - Government Regulation - Data Privacy and Cybersecurity Requirements (U.S.)” and “Regulation in the European Union - European Data and Security Laws” in our most recent Annual Report.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88" w:right="319" w:bottom="1440" w:gutter="0" w:footer="0" w:header="0"/>
        </w:sectPr>
      </w:pPr>
    </w:p>
    <w:bookmarkStart w:id="76" w:name="page77"/>
    <w:bookmarkEnd w:id="76"/>
    <w:p>
      <w:pPr>
        <w:jc w:val="both"/>
        <w:ind w:firstLine="561"/>
        <w:spacing w:after="0" w:line="287" w:lineRule="auto"/>
        <w:rPr>
          <w:sz w:val="20"/>
          <w:szCs w:val="20"/>
          <w:color w:val="auto"/>
        </w:rPr>
      </w:pPr>
      <w:r>
        <w:rPr>
          <w:rFonts w:ascii="Arial" w:cs="Arial" w:eastAsia="Arial" w:hAnsi="Arial"/>
          <w:sz w:val="14"/>
          <w:szCs w:val="14"/>
          <w:color w:val="auto"/>
        </w:rPr>
        <w:t>We rely on third-party service providers and technologies to operate critical business systems to process sensitive information in a variety of contexts. Certain third-party platforms or vendors may incorporate AI-driven automation or analytics into their offerings, which may expose us to new categories of risk, such as data being repurposed for AI training, unexplainable outputs generated by machine learning models, or unintended reliance on automated decision-making systems that lack transparency or auditability.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42"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Internally, we are also evaluating and, in some cases, implementing AI-enabled technologies to support business operations, data analysis, and other workflow efficiencies. Although these tools offer potential benefits, they also present new and evolving risks, including exposure to biased outputs, regulatory uncertainty around AI governance, and the possibility that sensitive data could inadvertently be incorporated into AI model training datasets or disclosed through model inference. As global laws and guidance surrounding AI systems continue to evolve, noncompliance could result in restrictions on our use of AI, reputational consequences, or enforcement activity.</w:t>
      </w:r>
    </w:p>
    <w:p>
      <w:pPr>
        <w:spacing w:after="0" w:line="163"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163" w:lineRule="exact"/>
        <w:rPr>
          <w:sz w:val="20"/>
          <w:szCs w:val="20"/>
          <w:color w:val="auto"/>
        </w:rPr>
      </w:pPr>
    </w:p>
    <w:p>
      <w:pPr>
        <w:jc w:val="both"/>
        <w:ind w:right="20" w:firstLine="561"/>
        <w:spacing w:after="0" w:line="295" w:lineRule="auto"/>
        <w:rPr>
          <w:sz w:val="20"/>
          <w:szCs w:val="20"/>
          <w:color w:val="auto"/>
        </w:rPr>
      </w:pPr>
      <w:r>
        <w:rPr>
          <w:rFonts w:ascii="Arial" w:cs="Arial" w:eastAsia="Arial" w:hAnsi="Arial"/>
          <w:sz w:val="14"/>
          <w:szCs w:val="14"/>
          <w:color w:val="auto"/>
        </w:rPr>
        <w:t>Our contracts may not always include limitations of liability, and even when such provisions are present, there can be no assurance that they will be adequate to protect us from liabilities, damages, or claims arising from our data privacy and security obligations. We can also not guarantee that our cybersecurity insurance coverage will be sufficient to protect us from or mitigate liabilities arising out of our privacy and security practices or that such coverage will continue to be available on commercially reasonable terms or at all. Moreover, even robust cybersecurity and privacy controls under frameworks such as the National Institute of Standards and Technology (“NIST”) cannot eliminate all risk, and we have identified cybersecurity risks that, if realized, are reasonably likely to materially affect us.</w:t>
      </w:r>
    </w:p>
    <w:p>
      <w:pPr>
        <w:spacing w:after="0" w:line="1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Our expanding use of AI exposes us to operational, regulatory, legal, and ethical risks that could adversely affect our business, reputation, financial condition, and results of operations.</w:t>
      </w:r>
    </w:p>
    <w:p>
      <w:pPr>
        <w:spacing w:after="0" w:line="13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increasingly develop, procure, and deploy AI and machine learning (“ML”) tools across our operations. While these tools may create efficiencies, they also introduce material risks related to data quality and bias, transparency and explainability, validation and lifecycle management, cybersecurity, intellectual property, privacy, discrimination, liability, and third-party dependencies. Errors or bias in AI outputs, inadequate monitoring, or insufficient documentation could impair clinical development, pharmacovigilance, manufacturing quality, or commercial activities, resulting in delays, higher costs, product or batch actions, or reputational harm.</w:t>
      </w:r>
    </w:p>
    <w:p>
      <w:pPr>
        <w:spacing w:after="0" w:line="163"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 Several governmental authorities have already proposed or enacted laws and other guidance governing AI.</w:t>
      </w:r>
    </w:p>
    <w:p>
      <w:pPr>
        <w:spacing w:after="0" w:line="162"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For example, in the United States, the FDA has outlined a risk based credibility framework for AI used to support drug and biologics development, signaling expectations for context of use validation, lifecycle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16"/>
          <w:szCs w:val="16"/>
          <w:color w:val="auto"/>
        </w:rPr>
        <w:t>maintenance, traceability, and explainability, and continues to oversee AI/ML enabled medical devices; these expectations could increase development costs and elongate review. These and other developing obligations may prevent or make it harder for us to conduct or enhance our business using AI, or lead to regulatory fines, penalties, or other liability. Further, use of AI technologies could lead to unintended consequences, such as data leakage, healthcare fraud and abuse, cybersecurity incidents, intellectual property infringement, or unintended biases. Our AI use must also comply with privacy regimes, including the UK GDPR and EU GDPR (e.g., restrictions on automated decision making and profiling, and stringent transparency and data subject rights). Divergent and evolving requirements across jurisdictions may require region specific controls, duplicated validation, or delayed deployments; failure to comply could lead to investigations, fines, injunctions, adverse regulatory outcomes, litigation, loss of market access, or reputational damage.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may be limited.</w:t>
      </w:r>
    </w:p>
    <w:p>
      <w:pPr>
        <w:spacing w:after="0" w:line="190"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Under Sections 382 and 383 of the Internal Revenue Code of 1986, as amended, if a corporation undergoes an ownership change, the corporation’s ability to use its pre-change net operating loss carryforwards (“NOLs”), and other pre-change tax attributes (such as research tax credits) to offset its post-change income or taxes may be limited.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over a 3-year period. Upon certain events since our conversion from a Delaware limited liability company to a Delaware corporation in 2015, it is possible that we may have triggered an “ownership change” limitation. We may also experience ownership changes in the future as a result of subsequent shifts in our stock ownership (some of which are outside of our control). As a result, if we earn net taxable income, our ability to use our pre-change NOLs and other pre-change tax attributes to offset U.S. federal taxable income or taxes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4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1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We, and the third parties upon whom we rely, are or may become subject to numerous domestic and foreign laws, regulations, and standards governing privacy, data protection, and information security, as well as contractual and ethical obligations, many of which overlap or conflict and are subject to changing interpretations. As noted, these include the HIPAA/HITECH framework for protected health information in certain contexts; the amended CCPA and other comprehensive state privacy laws and their implementing regulations; state health data laws; federal and state consumer protection laws; data breach notification statutes; and the DOJ Bulk Data Rule. Outside the United States, we are subject to the GDPR, the DPA 2018, DUAA, the ePrivacy Directive, among others. These regimes impose obligations such as purpose limitation, data minimization, security safeguards, vendor contracting, impact/risk assessments, transparency and individual rights, breach notification, and restrictions on automated decision-making and profiling. New and proposed laws increasingly emphasize data localization and restrictions on cross-border transfers, and regulators have signaled heightened enforcement. Failure or perceived failure by us or our third parties to comply with any of these requirements could result in investigations, enforcement actions, litigation (including class claims), fines and penalties, remedial orders, restrictions on processing, reputational harm, increased compliance and operational costs, and other adverse consequences that could materially and negatively affect our business, financial condition and results of operations. See the section titled “Business – Government Regulation – Data Privacy and Cybersecurity Requirements (U.S.)” and related international data protection disclosures in our most recent Annual Report for a more detailed description of the laws that may affect our ability to operate.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78" w:name="page79"/>
    <w:bookmarkEnd w:id="78"/>
    <w:p>
      <w:pPr>
        <w:jc w:val="both"/>
        <w:ind w:firstLine="561"/>
        <w:spacing w:after="0" w:line="250"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adverse legislative or regulatory tax changes that could negatively impact our financial condition.</w:t>
      </w:r>
    </w:p>
    <w:p>
      <w:pPr>
        <w:spacing w:after="0" w:line="190"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Internal Revenue Service and other regulatory authorities. In addition, we have no assurance as to whether, when and how this provision may be subject to further amendment or repeal. Such changes, among others, may adversely affect our effective tax rate, results of operation and general business condition.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may not realize the benefits of such acquisitions.</w:t>
      </w:r>
    </w:p>
    <w:p>
      <w:pPr>
        <w:spacing w:after="0" w:line="190"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16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130"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The market price of our common stock has historically been volatile, and the market price of our common stock may decline in the future.</w:t>
      </w:r>
    </w:p>
    <w:p>
      <w:pPr>
        <w:spacing w:after="0" w:line="190"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The market price of our common stock has been, and may continue to be, subject to significant fluctuations. Market prices for securities of clinical-stage pharmaceutical, biotechnology, and other life sciences companies have historically been particularly volatile. Some of the factors that may cause the market price of our common stock to fluctuate include:</w:t>
      </w:r>
    </w:p>
    <w:p>
      <w:pPr>
        <w:spacing w:after="0" w:line="16" w:lineRule="exact"/>
        <w:rPr>
          <w:sz w:val="20"/>
          <w:szCs w:val="20"/>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obtain regulatory approvals for our product candidates, and delays or failures to obtain such approvals;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maintain our existing third-party license and supply agreements;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laws or regulations applicable to our product candidates;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inability to obtain adequate supply of our product candidates or the inability to do so at acceptable prices;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adverse regulatory authority decisions;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introduction of new products, services, or technologies by our competitors;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meet or exceed financial and development projections we may provide to the public and the investment community;</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of significant acquisitions, strategic collaborations, joint ventures, or capital commitments by us or our competitors;</w:t>
      </w:r>
    </w:p>
    <w:p>
      <w:pPr>
        <w:spacing w:after="0" w:line="49"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or other developments relating to proprietary rights, including patents, litigation matters, and our ability to obtain patent protection for our technologies;</w:t>
      </w:r>
    </w:p>
    <w:p>
      <w:pPr>
        <w:spacing w:after="0" w:line="5"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significant lawsuits, including patent or stockholder litigation;</w:t>
      </w:r>
    </w:p>
    <w:p>
      <w:pPr>
        <w:spacing w:after="0" w:line="49"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if they issue an adverse or misleading opinion regarding our business and stock;</w:t>
      </w:r>
    </w:p>
    <w:p>
      <w:pPr>
        <w:spacing w:after="0" w:line="5"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the market valuations of similar companies;</w:t>
      </w:r>
    </w:p>
    <w:p>
      <w:pPr>
        <w:spacing w:after="0" w:line="49" w:lineRule="exact"/>
        <w:rPr>
          <w:rFonts w:ascii="Arial" w:cs="Arial" w:eastAsia="Arial" w:hAnsi="Arial"/>
          <w:sz w:val="16"/>
          <w:szCs w:val="16"/>
          <w:color w:val="auto"/>
        </w:rPr>
      </w:pPr>
    </w:p>
    <w:p>
      <w:pPr>
        <w:ind w:left="560" w:right="20" w:hanging="286"/>
        <w:spacing w:after="0" w:line="271"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market or macroeconomic conditions, including global inflationary pressures, rising interest rates, general economic slowdown or a recession, changes in tariff/trade and monetary policies, instability in financial institutions and the prospect of a shutdown of the U.S. federal government;</w:t>
      </w:r>
    </w:p>
    <w:p>
      <w:pPr>
        <w:spacing w:after="0" w:line="5" w:lineRule="exact"/>
        <w:rPr>
          <w:rFonts w:ascii="Arial" w:cs="Arial" w:eastAsia="Arial" w:hAnsi="Arial"/>
          <w:sz w:val="16"/>
          <w:szCs w:val="16"/>
          <w:color w:val="auto"/>
        </w:rPr>
      </w:pPr>
    </w:p>
    <w:p>
      <w:pPr>
        <w:jc w:val="both"/>
        <w:ind w:left="560" w:hanging="286"/>
        <w:spacing w:after="0" w:line="257"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geopolitical instability and government actions, including the ongoing military conflict in Ukraine, conflicts in the Middle East, recent events in Venezuela, geopolitical tensions between the United States and other countries, including China and Iran, and the implementation of measures that restrict international trade by the United States, China or other governments;</w:t>
      </w:r>
    </w:p>
    <w:p>
      <w:pPr>
        <w:spacing w:after="0" w:line="16"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trading volume of our common stock;</w:t>
      </w:r>
    </w:p>
    <w:p>
      <w:pPr>
        <w:spacing w:after="0" w:line="49" w:lineRule="exact"/>
        <w:rPr>
          <w:rFonts w:ascii="Arial" w:cs="Arial" w:eastAsia="Arial" w:hAnsi="Arial"/>
          <w:sz w:val="16"/>
          <w:szCs w:val="16"/>
          <w:color w:val="auto"/>
        </w:rPr>
      </w:pPr>
    </w:p>
    <w:p>
      <w:pPr>
        <w:ind w:left="560" w:hanging="286"/>
        <w:spacing w:after="0" w:line="271"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by commercial partners or competitors of new commercial products, clinical progress or the lack thereof, significant contracts, commercial relationships, or capital commitments;</w:t>
      </w:r>
    </w:p>
    <w:p>
      <w:pPr>
        <w:spacing w:after="0" w:line="5"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introduction of technological innovations or new therapies that compete with our potential products;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the structure of health care payment systems; and</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period-to-period fluctuations in our financial results.</w:t>
      </w:r>
    </w:p>
    <w:p>
      <w:pPr>
        <w:spacing w:after="0" w:line="19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Moreover, the capital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in recent months, and particularly in the biotechnology and biopharmaceutical industries. If the market price of our common stock does not exceed the price at which a stockholder purchases its shares, such stockholder may not realize any return on its investment in us and may lose some or all of its investment.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80" w:name="page81"/>
    <w:bookmarkEnd w:id="80"/>
    <w:p>
      <w:pPr>
        <w:jc w:val="both"/>
        <w:ind w:right="20" w:firstLine="561"/>
        <w:spacing w:after="0" w:line="257" w:lineRule="auto"/>
        <w:rPr>
          <w:sz w:val="20"/>
          <w:szCs w:val="20"/>
          <w:color w:val="auto"/>
        </w:rPr>
      </w:pPr>
      <w:r>
        <w:rPr>
          <w:rFonts w:ascii="Arial" w:cs="Arial" w:eastAsia="Arial" w:hAnsi="Arial"/>
          <w:sz w:val="16"/>
          <w:szCs w:val="16"/>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15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Provisions in our Certificate of Incorporation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67"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In addition, the Certificate of Designation of Preferences, Rights and Limitations of the Series A Preferred Stock (the “Series A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our stockholders immediately before such transaction do not hold at least a majority of our capital stock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 as it would require the separate consent of a majority of the holders of the Series A Preferred Stock.</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Our Certificate of Incorporation and Bylaws provide that the Court of Chancery of the State of Delaware is the exclusive forum for certain types of actions and proceedings that may be initiated by our stockholders, and our Bylaws designate the federal courts of the United States as the exclusive forum for actions arising under the Securities Act, each of which could limit our stockholders’ ability to obtain a favorable judicial forum for disputes with us or our directors, officers, employees or agents</w:t>
      </w:r>
      <w:r>
        <w:rPr>
          <w:rFonts w:ascii="Arial" w:cs="Arial" w:eastAsia="Arial" w:hAnsi="Arial"/>
          <w:sz w:val="16"/>
          <w:szCs w:val="16"/>
          <w:color w:val="auto"/>
        </w:rPr>
        <w:t>.</w:t>
      </w:r>
    </w:p>
    <w:p>
      <w:pPr>
        <w:spacing w:after="0" w:line="15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Our Certificate of Incorporation and Bylaws provide that, unless we consent in writing to an alternative forum, the Court of Chancery of the State of Delaware will be the sole and exclusive forum for any derivative action or proceeding brought on our behalf, any action asserting a claim of breach of a fiduciary duty owed by any of our directors, officers, employees or agents to us or our stockholders, any action asserting a claim arising pursuant to any provision of the DGCL, our Certificate of Incorporation or our Bylaws or any action asserting a claim that is governed by the internal affairs doctrine, in each case subject to the Court of Chancery having personal jurisdiction over the indispensable parties named as defendants therein and the claim not being one which is vested in the exclusive jurisdiction of a court or forum other than the Court of Chancery or for which the Court of Chancery does not have subject matter jurisdiction. Any person purchasing or otherwise acquiring any interest in any shares of our capital stock shall be deemed to have notice of and to have consented to this provision of our Certificate of Incorporation and Bylaws.</w:t>
      </w:r>
    </w:p>
    <w:p>
      <w:pPr>
        <w:spacing w:after="0" w:line="167"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81" w:name="page82"/>
    <w:bookmarkEnd w:id="81"/>
    <w:p>
      <w:pPr>
        <w:jc w:val="both"/>
        <w:ind w:right="20"/>
        <w:spacing w:after="0" w:line="271" w:lineRule="auto"/>
        <w:rPr>
          <w:sz w:val="20"/>
          <w:szCs w:val="20"/>
          <w:color w:val="auto"/>
        </w:rPr>
      </w:pPr>
      <w:r>
        <w:rPr>
          <w:rFonts w:ascii="Arial" w:cs="Arial" w:eastAsia="Arial" w:hAnsi="Arial"/>
          <w:sz w:val="16"/>
          <w:szCs w:val="16"/>
          <w:color w:val="auto"/>
        </w:rPr>
        <w:t>duty or liability created by the Securities Act must be brought in federal court and cannot be brought in state court. In addition, investors cannot waive compliance with the federal securities laws and the rules and regulations thereunder.</w:t>
      </w:r>
    </w:p>
    <w:p>
      <w:pPr>
        <w:spacing w:after="0" w:line="145"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These choice of forum provisions will not apply to claims brought to enforce a duty or liability created by the Exchange Act</w:t>
      </w:r>
      <w:r>
        <w:rPr>
          <w:rFonts w:ascii="Arial" w:cs="Arial" w:eastAsia="Arial" w:hAnsi="Arial"/>
          <w:sz w:val="16"/>
          <w:szCs w:val="16"/>
          <w:color w:val="008080"/>
        </w:rPr>
        <w:t>.</w:t>
      </w:r>
      <w:r>
        <w:rPr>
          <w:rFonts w:ascii="Arial" w:cs="Arial" w:eastAsia="Arial" w:hAnsi="Arial"/>
          <w:sz w:val="16"/>
          <w:szCs w:val="16"/>
          <w:color w:val="auto"/>
        </w:rPr>
        <w:t xml:space="preserve"> These choice of forum provisions may limit our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specified courts could face additional litigation costs in pursuing any such claim. The specified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these provisions of our governance documents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that we will pay any cash dividends in the foreseeable future.</w:t>
      </w:r>
    </w:p>
    <w:p>
      <w:pPr>
        <w:spacing w:after="0" w:line="190" w:lineRule="exact"/>
        <w:rPr>
          <w:sz w:val="20"/>
          <w:szCs w:val="20"/>
          <w:color w:val="auto"/>
        </w:rPr>
      </w:pPr>
    </w:p>
    <w:p>
      <w:pPr>
        <w:jc w:val="both"/>
        <w:ind w:right="20" w:firstLine="561"/>
        <w:spacing w:after="0" w:line="271" w:lineRule="auto"/>
        <w:rPr>
          <w:sz w:val="20"/>
          <w:szCs w:val="20"/>
          <w:color w:val="auto"/>
        </w:rPr>
      </w:pPr>
      <w:r>
        <w:rPr>
          <w:rFonts w:ascii="Arial" w:cs="Arial" w:eastAsia="Arial" w:hAnsi="Arial"/>
          <w:sz w:val="16"/>
          <w:szCs w:val="16"/>
          <w:color w:val="auto"/>
        </w:rPr>
        <w:t>The current expectation is that we will retain our future earnings, if any, to fund the development and growth of our business. As a result, capital appreciation, if any, of our common stock will be your sole source of gain, if any, for the foreseeable future.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by existing stockholders could cause our stock price to decline.</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and restricted stock units will become eligible for sale in the public market to the extent permitted by the provisions of various vesting agreements and Rules 144 and 701 under the Securities Act</w:t>
      </w:r>
      <w:r>
        <w:rPr>
          <w:rFonts w:ascii="Arial" w:cs="Arial" w:eastAsia="Arial" w:hAnsi="Arial"/>
          <w:sz w:val="16"/>
          <w:szCs w:val="16"/>
          <w:color w:val="0000FF"/>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and issuances of equity and debt could result in additional dilution to our stockholders.</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We expect that we will need significant additional capital to fund our current and future operations, including to complete ongoing and potential preclinical and clinical trials for our product candidates. To raise capital, we may sell common stock, convertible securities, or other equity securities in one or more transactions at prices and in a manner we determine from time to time. As a result, our stockholders may experience additional dilution, which could cause our stock price to fall.</w:t>
      </w:r>
    </w:p>
    <w:p>
      <w:pPr>
        <w:spacing w:after="0" w:line="162" w:lineRule="exact"/>
        <w:rPr>
          <w:sz w:val="20"/>
          <w:szCs w:val="20"/>
          <w:color w:val="auto"/>
        </w:rPr>
      </w:pPr>
    </w:p>
    <w:p>
      <w:pPr>
        <w:jc w:val="both"/>
        <w:ind w:firstLine="561"/>
        <w:spacing w:after="0" w:line="300" w:lineRule="auto"/>
        <w:rPr>
          <w:sz w:val="20"/>
          <w:szCs w:val="20"/>
          <w:color w:val="auto"/>
        </w:rPr>
      </w:pPr>
      <w:r>
        <w:rPr>
          <w:rFonts w:ascii="Arial" w:cs="Arial" w:eastAsia="Arial" w:hAnsi="Arial"/>
          <w:sz w:val="14"/>
          <w:szCs w:val="14"/>
          <w:color w:val="auto"/>
        </w:rPr>
        <w:t>Pursuant to our equity incentive plans, we may grant equity awards and issue additional shares of our common stock to our employees, directors and consultants, and the number of shares of our common stock reserved for future issuance under certain of these plans will be subject to automatic annual increases in accordance with the terms of the plans. To the extent that new options or other stock-based equity awards are granted and, if applicable, exercised, or we issue additional shares of common stock in the future, our stockholders may experience additional dilution, which could cause our stock price to fall.</w:t>
      </w:r>
    </w:p>
    <w:p>
      <w:pPr>
        <w:spacing w:after="0" w:line="130"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Our principal stockholders own a significant percentage of our stock and are able to exert significant control over matters subject to stockholder approval.</w:t>
      </w:r>
    </w:p>
    <w:p>
      <w:pPr>
        <w:spacing w:after="0" w:line="13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directors, officers, 5% stockholders, and their affiliates currently beneficially own a substantial portion of our outstanding voting stock. Therefore, these stockholders have the ability and may continue to have the ability to influence us through this ownership position. These stockholders may be able to determine some or all matters requiring stockholder approval. For example, these stockholders, acting together, may be able to control elections of directors, amendments of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82" w:name="page83"/>
    <w:bookmarkEnd w:id="82"/>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programs in the clinic or at the commercial stage, and our product liability insurance may not cover all damages from such claims.</w:t>
      </w:r>
    </w:p>
    <w:p>
      <w:pPr>
        <w:spacing w:after="0" w:line="13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use of our product candidates in clinical trials, and the sale of any approved products in the future, may expose us to liability claims. These claims may be made by participants or patients that use the product candidate or product, healthcare providers, pharmaceutical companies, or others selling such products. Any claims against us, regardless of their merit, could be difficult and costly to defend and could materially and adversely affect the market for our products or any prospects for commercialization of our products. Although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 costs and the outcome of litigation could have a material adverse effect on our business.</w:t>
      </w:r>
    </w:p>
    <w:p>
      <w:pPr>
        <w:spacing w:after="0" w:line="190"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spacing w:after="0" w:line="16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We continue to incur significant costs and demands upon management as a result of complying with the laws and regulations regulating public companies.</w:t>
      </w:r>
    </w:p>
    <w:p>
      <w:pPr>
        <w:spacing w:after="0" w:line="130" w:lineRule="exact"/>
        <w:rPr>
          <w:sz w:val="20"/>
          <w:szCs w:val="20"/>
          <w:color w:val="auto"/>
        </w:rPr>
      </w:pPr>
    </w:p>
    <w:p>
      <w:pPr>
        <w:jc w:val="both"/>
        <w:ind w:firstLine="561"/>
        <w:spacing w:after="0" w:line="245" w:lineRule="auto"/>
        <w:rPr>
          <w:sz w:val="20"/>
          <w:szCs w:val="20"/>
          <w:color w:val="auto"/>
        </w:rPr>
      </w:pPr>
      <w:r>
        <w:rPr>
          <w:rFonts w:ascii="Arial" w:cs="Arial" w:eastAsia="Arial" w:hAnsi="Arial"/>
          <w:sz w:val="16"/>
          <w:szCs w:val="16"/>
          <w:color w:val="auto"/>
        </w:rPr>
        <w:t>As a public company, and particularly after December 31, 2024, when we ceased to be a “smaller reporting company” and “non-accelerated filer,” and became a “large accelerated filer,” we have and will continue to incur significant legal, accounting and other expenses associated with public company reporting requirements, including costs associated with corporate governance requirements, such as requirements under the Sarbanes-Oxley Act, the Dodd-Frank Wall Street Reform and Consumer Protection Act, as well as rules implemented by the SEC and Nasdaq.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These rules and regulations increase our legal and financial compliance costs and make some activities more time-consuming and costly. These rules and regulations may also make it difficult and expensive for us to obtain directors’ and officers’ liability insurance. Our management and other personnel will continue to devote a substantial amount of time to these compliance initiatives, and we will continue to incur increased legal and financial compliance costs. As a result, it may be more difficult for us to attract and retain qualified individuals to serve on our board of directors or as our executive officers, which may adversely affect investor confidence and could cause our business or stock price to suffer. In addition, the increased costs may require us to reduce costs in other areas of our business or increase the prices of our product candidates,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We are no longer a “smaller reporting company” within the meaning of the Securities Act and as a result we are or will be subject to certain enhanced disclosure requirements which will require us to incur significant expenses and expend time and resources.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83" w:name="page84"/>
    <w:bookmarkEnd w:id="83"/>
    <w:p>
      <w:pPr>
        <w:jc w:val="both"/>
        <w:ind w:firstLine="561"/>
        <w:spacing w:after="0" w:line="247" w:lineRule="auto"/>
        <w:rPr>
          <w:sz w:val="20"/>
          <w:szCs w:val="20"/>
          <w:color w:val="auto"/>
        </w:rPr>
      </w:pPr>
      <w:r>
        <w:rPr>
          <w:rFonts w:ascii="Arial" w:cs="Arial" w:eastAsia="Arial" w:hAnsi="Arial"/>
          <w:sz w:val="16"/>
          <w:szCs w:val="16"/>
          <w:color w:val="auto"/>
        </w:rPr>
        <w:t>We are no longer a “smaller reporting company,” as of January 1, 2025 and, as a result, we are required to comply with various disclosure and compliance requirements that did not previously apply, such as the auditor attestation requirements of Section 404(b) of the Sarbanes-Oxley Act, the requirement that we hold a nonbinding advisory vote on executive compensation and obtain stockholder approval of any golden parachute payments not previously approved, the requirement to provide full and more detailed executive compensation disclosure and the reduction in the amount of time for filing our periodic and annual reports.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stock exchange on which our common shares are listed, or sanctions or investigations by the SEC or other regulatory authorities, which would require additional financial and management resources.</w:t>
      </w:r>
    </w:p>
    <w:p>
      <w:pPr>
        <w:spacing w:after="0" w:line="16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30" w:lineRule="exact"/>
        <w:rPr>
          <w:sz w:val="20"/>
          <w:szCs w:val="20"/>
          <w:color w:val="auto"/>
        </w:rPr>
      </w:pPr>
    </w:p>
    <w:p>
      <w:pPr>
        <w:jc w:val="both"/>
        <w:ind w:firstLine="561"/>
        <w:spacing w:after="0" w:line="249"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 investors may lose confidence in the accuracy and completeness of our financial reports and the market price of our common stock may be negatively affected. For example, in the fourth quarter of 2024, we identified a material weakness in our internal control over financial reporting which resulted in restatements of our previously-issued financial statements to amend certain net loss per share disclosures.</w:t>
      </w:r>
    </w:p>
    <w:p>
      <w:pPr>
        <w:spacing w:after="0" w:line="150"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In addition to our management’s report on the effectiveness of our internal controls over financial reporting, our independent registered public accounting firm is required to attest to the effectiveness of our internal control over financial reporting pursuant to Section 404 of the Sarbanes-Oxley Act. The rules governing the standards that must be met for management to assess our internal control over financial reporting are complex and require significant documentation, testing, and possible remediation. We must perform system and process evaluation and testing of our internal control over financial reporting to allow management to report on the effectiveness of our internal controls over financial reporting in our annual report filing for that year, as required by Section 404 of the Sarbanes-Oxley Act.</w:t>
      </w:r>
    </w:p>
    <w:p>
      <w:pPr>
        <w:spacing w:after="0" w:line="138" w:lineRule="exact"/>
        <w:rPr>
          <w:sz w:val="20"/>
          <w:szCs w:val="20"/>
          <w:color w:val="auto"/>
        </w:rPr>
      </w:pPr>
    </w:p>
    <w:p>
      <w:pPr>
        <w:jc w:val="both"/>
        <w:ind w:firstLine="561"/>
        <w:spacing w:after="0" w:line="252" w:lineRule="auto"/>
        <w:rPr>
          <w:sz w:val="20"/>
          <w:szCs w:val="20"/>
          <w:color w:val="auto"/>
        </w:rPr>
      </w:pPr>
      <w:r>
        <w:rPr>
          <w:rFonts w:ascii="Arial" w:cs="Arial" w:eastAsia="Arial" w:hAnsi="Arial"/>
          <w:sz w:val="16"/>
          <w:szCs w:val="16"/>
          <w:color w:val="auto"/>
        </w:rPr>
        <w:t>If we are not able to comply with the requirements of Section 404 of the Sarbanes-Oxley Act, or if we are unable to maintain proper and effective internal controls, it could result in a material misstatement of our financial statements that would not be prevented or detected on a timely basis, which could require a restatement, cause us to be subject to sanctions or investigations by Nasdaq, the SEC, or other regulatory authorities, cause investors to lose confidence in our financial information, or cause our stock price to decline.</w:t>
      </w:r>
    </w:p>
    <w:p>
      <w:pPr>
        <w:spacing w:after="0" w:line="162"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described in our Annual Report for the year ended December 31, 2024, we identified a material weakness in our internal control over financial reporting in connection with our net earnings (loss) per share disclosures, which resulted in the restatement of our consolidated financial statements as of and for the year ended December 31, 2023, as well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84" w:name="page85"/>
    <w:bookmarkEnd w:id="84"/>
    <w:p>
      <w:pPr>
        <w:jc w:val="both"/>
        <w:spacing w:after="0" w:line="250" w:lineRule="auto"/>
        <w:rPr>
          <w:sz w:val="20"/>
          <w:szCs w:val="20"/>
          <w:color w:val="auto"/>
        </w:rPr>
      </w:pPr>
      <w:r>
        <w:rPr>
          <w:rFonts w:ascii="Arial" w:cs="Arial" w:eastAsia="Arial" w:hAnsi="Arial"/>
          <w:sz w:val="16"/>
          <w:szCs w:val="16"/>
          <w:color w:val="auto"/>
        </w:rPr>
        <w:t>as the quarterly condensed consolidated financial information for the interim periods ended March 31, 2024, June 30, 2024, and September 30, 2024. We have implemented measures designed to improve our disclosure controls and procedures and internal control over financial reporting to address the underlying causes of this material weakness, including enhancing the design of controls relevant to the preparation and presentation of financial reporting matters related to net earnings (loss) per share calculations and disclosures to ensure that economic substance beyond the legal form of our capital structure is considered when preparing disclosures related to net earnings (loss) per share.</w:t>
      </w:r>
    </w:p>
    <w:p>
      <w:pPr>
        <w:spacing w:after="0" w:line="163"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In addition, we may encounter problems or delays in completing the implementation of any requested improvements and receiving a favorable attestation in connection with the attestation provided by our independent registered public accounting firm.</w:t>
      </w:r>
    </w:p>
    <w:p>
      <w:pPr>
        <w:spacing w:after="0" w:line="163"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6"/>
          <w:szCs w:val="16"/>
          <w:color w:val="auto"/>
        </w:rPr>
        <w:t>As a public company, we incur significant legal, accounting, insurance, and other expenses, and our management and other personnel have and will need to continue to devote a substantial amount of time to compliance initiatives resulting from operating as a public company. We may experience difficulty in meeting these reporting requirements in a timely manner for each period.</w:t>
      </w:r>
    </w:p>
    <w:p>
      <w:pPr>
        <w:spacing w:after="0" w:line="157" w:lineRule="exact"/>
        <w:rPr>
          <w:sz w:val="20"/>
          <w:szCs w:val="20"/>
          <w:color w:val="auto"/>
        </w:rPr>
      </w:pPr>
    </w:p>
    <w:p>
      <w:pPr>
        <w:jc w:val="both"/>
        <w:spacing w:after="0" w:line="304" w:lineRule="auto"/>
        <w:rPr>
          <w:sz w:val="20"/>
          <w:szCs w:val="20"/>
          <w:color w:val="auto"/>
        </w:rPr>
      </w:pPr>
      <w:r>
        <w:rPr>
          <w:rFonts w:ascii="Arial" w:cs="Arial" w:eastAsia="Arial" w:hAnsi="Arial"/>
          <w:sz w:val="14"/>
          <w:szCs w:val="14"/>
          <w:b w:val="1"/>
          <w:bCs w:val="1"/>
          <w:i w:val="1"/>
          <w:iCs w:val="1"/>
          <w:color w:val="auto"/>
        </w:rPr>
        <w:t xml:space="preserve">Our business could be adversely affected by economic downturns, inflation, increases in interest rates, natural disasters, public health crises, political crises, U.S. elections, international or geopolitical events, such as the conflict between Russia and Ukraine, recent events in Venezuela, conflicts between the U.S. and other countries, </w:t>
      </w:r>
      <w:r>
        <w:rPr>
          <w:rFonts w:ascii="Arial" w:cs="Arial" w:eastAsia="Arial" w:hAnsi="Arial"/>
          <w:sz w:val="14"/>
          <w:szCs w:val="14"/>
          <w:color w:val="auto"/>
        </w:rPr>
        <w:t>including Iran,</w:t>
      </w:r>
      <w:r>
        <w:rPr>
          <w:rFonts w:ascii="Arial" w:cs="Arial" w:eastAsia="Arial" w:hAnsi="Arial"/>
          <w:sz w:val="14"/>
          <w:szCs w:val="14"/>
          <w:b w:val="1"/>
          <w:bCs w:val="1"/>
          <w:i w:val="1"/>
          <w:iCs w:val="1"/>
          <w:color w:val="auto"/>
        </w:rPr>
        <w:t xml:space="preserve"> and conflicts in the Middle East, the implementation of measures that restrict international trade or other macroeconomic conditions, which could have a material and adverse effect on our results of operations and financial condition.</w:t>
      </w:r>
    </w:p>
    <w:p>
      <w:pPr>
        <w:spacing w:after="0" w:line="119" w:lineRule="exact"/>
        <w:rPr>
          <w:sz w:val="20"/>
          <w:szCs w:val="20"/>
          <w:color w:val="auto"/>
        </w:rPr>
      </w:pPr>
    </w:p>
    <w:p>
      <w:pPr>
        <w:jc w:val="both"/>
        <w:ind w:firstLine="561"/>
        <w:spacing w:after="0" w:line="245" w:lineRule="auto"/>
        <w:rPr>
          <w:sz w:val="20"/>
          <w:szCs w:val="20"/>
          <w:color w:val="auto"/>
        </w:rPr>
      </w:pPr>
      <w:r>
        <w:rPr>
          <w:rFonts w:ascii="Arial" w:cs="Arial" w:eastAsia="Arial" w:hAnsi="Arial"/>
          <w:sz w:val="16"/>
          <w:szCs w:val="16"/>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Trump administration, changes to fiscal and monetary policy or government budget dynamics (particularly in the pharmaceutical and biotechnology areas),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The United States has previously announced tariffs on imports from most countries, including significant tariffs on imports from Canada, Mexico and China. Historically, tariffs have led to increased trade and political tensions. In response to tariffs, other countries have implemented retaliatory tariffs on U.S. goods. In April 2026, the U.S. announced the imposition of tariffs on patented pharmaceutical products, and there can be no guarantee that further retaliatory tariffs will not be forthcoming.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geopolitical uncertainties, international conflicts and government actions, including the ongoing military conflicts between Russia and Ukraine, recent events in Venezuela, conflicts between U.S. and other countries, including Iran, and conflicts in the Middle East involving Israel and various other parties, including Iran, Hamas and Hezbollah, as well as other conflicts in the region, rising tensions with China and the implementation of tariffs, sanctions, export or import controls, and other measures that restrict international trade by the United States, China or other governments,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85" w:name="page86"/>
    <w:bookmarkEnd w:id="85"/>
    <w:p>
      <w:pPr>
        <w:jc w:val="both"/>
        <w:spacing w:after="0" w:line="271" w:lineRule="auto"/>
        <w:rPr>
          <w:sz w:val="20"/>
          <w:szCs w:val="20"/>
          <w:color w:val="auto"/>
        </w:rPr>
      </w:pPr>
      <w:r>
        <w:rPr>
          <w:rFonts w:ascii="Arial" w:cs="Arial" w:eastAsia="Arial" w:hAnsi="Arial"/>
          <w:sz w:val="16"/>
          <w:szCs w:val="16"/>
          <w:color w:val="auto"/>
        </w:rPr>
        <w:t>financing more costly, more dilutive, or more difficult to obtain in a timely manner or on favorable terms, if at all. Increased inflation rates can adversely affect us by increasing our costs, including labor and employee benefit costs.</w:t>
      </w:r>
    </w:p>
    <w:p>
      <w:pPr>
        <w:spacing w:after="0" w:line="145"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may in the future experience disruptions as a result of such macroeconomic conditions, including delays or difficulties in initiating or expanding clinical trials and manufacturing or shipping sufficient quantities of materials. Any one or a combination of these events could have a material and adverse effect on our results of operations and financial condition. For example, our business may be generally exposed to the impact of political or civil unrest or military action. While we do not have any employees or offices in Ukraine, Venezuela, Russia or countries in the Middle East, including Israel and Jordan, we do have third-party partners and clinical trial sites with locations in Europe, South America and the Middle East, which may be affected by the ongoing conflicts affecting such countries. These third parties or clinical trial sites may be materially impacted by the increasing military conflicts in Europe and the Middle East, could result in difficulties enrolling and retaining participants and/or delivering drug samples in such areas on schedule and cause delay in our clinical trials and/or increase trial costs. Any of the foregoing could harm our business and we cannot anticipate all of the ways in which the current economic or political climate and financial market conditions could adversely impact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00" w:right="31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Item 5. 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Trading Plans</w:t>
      </w:r>
    </w:p>
    <w:p>
      <w:pPr>
        <w:spacing w:after="0" w:line="190" w:lineRule="exact"/>
        <w:rPr>
          <w:sz w:val="20"/>
          <w:szCs w:val="20"/>
          <w:color w:val="auto"/>
        </w:rPr>
      </w:pPr>
    </w:p>
    <w:p>
      <w:pPr>
        <w:ind w:firstLine="561"/>
        <w:spacing w:after="0" w:line="271" w:lineRule="auto"/>
        <w:rPr>
          <w:sz w:val="20"/>
          <w:szCs w:val="20"/>
          <w:color w:val="auto"/>
        </w:rPr>
      </w:pPr>
      <w:r>
        <w:rPr>
          <w:rFonts w:ascii="Arial" w:cs="Arial" w:eastAsia="Arial" w:hAnsi="Arial"/>
          <w:sz w:val="16"/>
          <w:szCs w:val="16"/>
          <w:color w:val="auto"/>
        </w:rPr>
        <w:t>During the fiscal quarter ended March 31, 2026, no director or Section 16 officer adopted or terminated any Rule 10b5-1 trading arrangement or non-Rule 10b5-1 trading arrangement (in each case, as defined in Item 408(a) of Regulation S-K) except as described below.</w:t>
      </w:r>
    </w:p>
    <w:p>
      <w:pPr>
        <w:spacing w:after="0" w:line="145" w:lineRule="exact"/>
        <w:rPr>
          <w:sz w:val="20"/>
          <w:szCs w:val="20"/>
          <w:color w:val="auto"/>
        </w:rPr>
      </w:pPr>
    </w:p>
    <w:p>
      <w:pPr>
        <w:ind w:firstLine="561"/>
        <w:spacing w:after="0" w:line="271" w:lineRule="auto"/>
        <w:rPr>
          <w:sz w:val="20"/>
          <w:szCs w:val="20"/>
          <w:color w:val="auto"/>
        </w:rPr>
      </w:pPr>
      <w:r>
        <w:rPr>
          <w:rFonts w:ascii="Arial" w:cs="Arial" w:eastAsia="Arial" w:hAnsi="Arial"/>
          <w:sz w:val="16"/>
          <w:szCs w:val="16"/>
          <w:color w:val="auto"/>
        </w:rPr>
        <w:t>On February 6, 2026, Michael Henderson, one of our directors, adopted a trading plan intended to satisfy Rule 10b5-1(c) to sell up to 100,000 shares of our common stock over a period ending February 27, 2027, subject to certain conditions.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1" w:right="31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Item 6. Exhibits.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exhibits filed or furnished as part of this Quarterly Report on Form 10-Q are set forth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Exhibit</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Filed</w:t>
            </w:r>
          </w:p>
        </w:tc>
      </w:tr>
      <w:tr>
        <w:trPr>
          <w:trHeight w:val="177"/>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5"/>
                <w:szCs w:val="15"/>
                <w:color w:val="auto"/>
              </w:rPr>
            </w:pPr>
          </w:p>
        </w:tc>
        <w:tc>
          <w:tcPr>
            <w:tcW w:w="4600" w:type="dxa"/>
            <w:vAlign w:val="bottom"/>
            <w:tcBorders>
              <w:bottom w:val="single" w:sz="8" w:color="auto"/>
            </w:tcBorders>
            <w:gridSpan w:val="15"/>
          </w:tcPr>
          <w:p>
            <w:pPr>
              <w:spacing w:after="0"/>
              <w:rPr>
                <w:sz w:val="20"/>
                <w:szCs w:val="20"/>
                <w:color w:val="auto"/>
              </w:rPr>
            </w:pPr>
            <w:r>
              <w:rPr>
                <w:rFonts w:ascii="Arial" w:cs="Arial" w:eastAsia="Arial" w:hAnsi="Arial"/>
                <w:sz w:val="12"/>
                <w:szCs w:val="12"/>
                <w:b w:val="1"/>
                <w:bCs w:val="1"/>
                <w:color w:val="auto"/>
              </w:rPr>
              <w:t>Description</w:t>
            </w:r>
          </w:p>
        </w:tc>
        <w:tc>
          <w:tcPr>
            <w:tcW w:w="80" w:type="dxa"/>
            <w:vAlign w:val="bottom"/>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Form</w:t>
            </w:r>
          </w:p>
        </w:tc>
        <w:tc>
          <w:tcPr>
            <w:tcW w:w="80" w:type="dxa"/>
            <w:vAlign w:val="bottom"/>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File No</w:t>
            </w:r>
          </w:p>
        </w:tc>
        <w:tc>
          <w:tcPr>
            <w:tcW w:w="80" w:type="dxa"/>
            <w:vAlign w:val="bottom"/>
          </w:tcPr>
          <w:p>
            <w:pPr>
              <w:spacing w:after="0"/>
              <w:rPr>
                <w:sz w:val="15"/>
                <w:szCs w:val="15"/>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Date of Filing</w:t>
            </w:r>
          </w:p>
        </w:tc>
        <w:tc>
          <w:tcPr>
            <w:tcW w:w="8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No.</w:t>
            </w:r>
          </w:p>
        </w:tc>
        <w:tc>
          <w:tcPr>
            <w:tcW w:w="8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Herewith</w:t>
            </w:r>
          </w:p>
        </w:tc>
      </w:tr>
      <w:tr>
        <w:trPr>
          <w:trHeight w:val="173"/>
        </w:trPr>
        <w:tc>
          <w:tcPr>
            <w:tcW w:w="1100" w:type="dxa"/>
            <w:vAlign w:val="bottom"/>
          </w:tcPr>
          <w:p>
            <w:pPr>
              <w:spacing w:after="0" w:line="173" w:lineRule="exact"/>
              <w:rPr>
                <w:sz w:val="20"/>
                <w:szCs w:val="20"/>
                <w:color w:val="auto"/>
              </w:rPr>
            </w:pPr>
            <w:r>
              <w:rPr>
                <w:rFonts w:ascii="Arial" w:cs="Arial" w:eastAsia="Arial" w:hAnsi="Arial"/>
                <w:sz w:val="16"/>
                <w:szCs w:val="16"/>
                <w:color w:val="auto"/>
              </w:rPr>
              <w:t>2.1</w:t>
            </w:r>
          </w:p>
        </w:tc>
        <w:tc>
          <w:tcPr>
            <w:tcW w:w="80" w:type="dxa"/>
            <w:vAlign w:val="bottom"/>
          </w:tcPr>
          <w:p>
            <w:pPr>
              <w:spacing w:after="0"/>
              <w:rPr>
                <w:sz w:val="15"/>
                <w:szCs w:val="15"/>
                <w:color w:val="auto"/>
              </w:rPr>
            </w:pPr>
          </w:p>
        </w:tc>
        <w:tc>
          <w:tcPr>
            <w:tcW w:w="4680" w:type="dxa"/>
            <w:vAlign w:val="bottom"/>
            <w:gridSpan w:val="16"/>
          </w:tcPr>
          <w:p>
            <w:pPr>
              <w:spacing w:after="0" w:line="173" w:lineRule="exact"/>
              <w:rPr>
                <w:rFonts w:ascii="Arial" w:cs="Arial" w:eastAsia="Arial" w:hAnsi="Arial"/>
                <w:sz w:val="16"/>
                <w:szCs w:val="16"/>
                <w:color w:val="0000FF"/>
              </w:rPr>
            </w:pPr>
            <w:hyperlink r:id="rId114">
              <w:r>
                <w:rPr>
                  <w:rFonts w:ascii="Arial" w:cs="Arial" w:eastAsia="Arial" w:hAnsi="Arial"/>
                  <w:sz w:val="16"/>
                  <w:szCs w:val="16"/>
                  <w:color w:val="0000FF"/>
                </w:rPr>
                <w:t>Agreement and Plan of Merger, dated June 22, 2023, by and</w:t>
              </w:r>
            </w:hyperlink>
          </w:p>
        </w:tc>
        <w:tc>
          <w:tcPr>
            <w:tcW w:w="800" w:type="dxa"/>
            <w:vAlign w:val="bottom"/>
            <w:gridSpan w:val="2"/>
          </w:tcPr>
          <w:p>
            <w:pPr>
              <w:ind w:left="20"/>
              <w:spacing w:after="0" w:line="173" w:lineRule="exact"/>
              <w:rPr>
                <w:sz w:val="20"/>
                <w:szCs w:val="20"/>
                <w:color w:val="auto"/>
              </w:rPr>
            </w:pPr>
            <w:r>
              <w:rPr>
                <w:rFonts w:ascii="Arial" w:cs="Arial" w:eastAsia="Arial" w:hAnsi="Arial"/>
                <w:sz w:val="16"/>
                <w:szCs w:val="16"/>
                <w:color w:val="auto"/>
              </w:rPr>
              <w:t>S-1</w:t>
            </w:r>
          </w:p>
        </w:tc>
        <w:tc>
          <w:tcPr>
            <w:tcW w:w="1340" w:type="dxa"/>
            <w:vAlign w:val="bottom"/>
          </w:tcPr>
          <w:p>
            <w:pPr>
              <w:spacing w:after="0" w:line="173" w:lineRule="exact"/>
              <w:rPr>
                <w:sz w:val="20"/>
                <w:szCs w:val="20"/>
                <w:color w:val="auto"/>
              </w:rPr>
            </w:pPr>
            <w:r>
              <w:rPr>
                <w:rFonts w:ascii="Arial" w:cs="Arial" w:eastAsia="Arial" w:hAnsi="Arial"/>
                <w:sz w:val="16"/>
                <w:szCs w:val="16"/>
                <w:color w:val="auto"/>
              </w:rPr>
              <w:t>333-276251</w:t>
            </w:r>
          </w:p>
        </w:tc>
        <w:tc>
          <w:tcPr>
            <w:tcW w:w="80" w:type="dxa"/>
            <w:vAlign w:val="bottom"/>
          </w:tcPr>
          <w:p>
            <w:pPr>
              <w:spacing w:after="0"/>
              <w:rPr>
                <w:sz w:val="15"/>
                <w:szCs w:val="15"/>
                <w:color w:val="auto"/>
              </w:rPr>
            </w:pPr>
          </w:p>
        </w:tc>
        <w:tc>
          <w:tcPr>
            <w:tcW w:w="1380" w:type="dxa"/>
            <w:vAlign w:val="bottom"/>
          </w:tcPr>
          <w:p>
            <w:pPr>
              <w:ind w:left="20"/>
              <w:spacing w:after="0" w:line="173" w:lineRule="exact"/>
              <w:rPr>
                <w:sz w:val="20"/>
                <w:szCs w:val="20"/>
                <w:color w:val="auto"/>
              </w:rPr>
            </w:pPr>
            <w:r>
              <w:rPr>
                <w:rFonts w:ascii="Arial" w:cs="Arial" w:eastAsia="Arial" w:hAnsi="Arial"/>
                <w:sz w:val="16"/>
                <w:szCs w:val="16"/>
                <w:color w:val="auto"/>
              </w:rPr>
              <w:t>12/22/2023</w:t>
            </w:r>
          </w:p>
        </w:tc>
        <w:tc>
          <w:tcPr>
            <w:tcW w:w="80" w:type="dxa"/>
            <w:vAlign w:val="bottom"/>
          </w:tcPr>
          <w:p>
            <w:pPr>
              <w:spacing w:after="0"/>
              <w:rPr>
                <w:sz w:val="15"/>
                <w:szCs w:val="15"/>
                <w:color w:val="auto"/>
              </w:rPr>
            </w:pPr>
          </w:p>
        </w:tc>
        <w:tc>
          <w:tcPr>
            <w:tcW w:w="740" w:type="dxa"/>
            <w:vAlign w:val="bottom"/>
          </w:tcPr>
          <w:p>
            <w:pPr>
              <w:ind w:left="20"/>
              <w:spacing w:after="0" w:line="173" w:lineRule="exact"/>
              <w:rPr>
                <w:sz w:val="20"/>
                <w:szCs w:val="20"/>
                <w:color w:val="auto"/>
              </w:rPr>
            </w:pPr>
            <w:r>
              <w:rPr>
                <w:rFonts w:ascii="Arial" w:cs="Arial" w:eastAsia="Arial" w:hAnsi="Arial"/>
                <w:sz w:val="16"/>
                <w:szCs w:val="16"/>
                <w:color w:val="auto"/>
              </w:rPr>
              <w:t>2.1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40" w:type="dxa"/>
            <w:vAlign w:val="bottom"/>
            <w:tcBorders>
              <w:bottom w:val="single" w:sz="8" w:color="0000FF"/>
            </w:tcBorders>
            <w:gridSpan w:val="12"/>
          </w:tcPr>
          <w:p>
            <w:pPr>
              <w:spacing w:after="0" w:line="167"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among Aeglea BioTherapeutics, Inc. Aspen Merger Sub I, Inc.,</w:t>
              </w:r>
            </w:hyperlink>
          </w:p>
        </w:tc>
        <w:tc>
          <w:tcPr>
            <w:tcW w:w="34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tcBorders>
              <w:bottom w:val="single" w:sz="8" w:color="0000FF"/>
            </w:tcBorders>
            <w:gridSpan w:val="5"/>
          </w:tcPr>
          <w:p>
            <w:pPr>
              <w:spacing w:after="0" w:line="167"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Sequoia Merger Sub II, LLC and Spyre Therapeutics, Inc.</w:t>
              </w:r>
            </w:hyperlink>
          </w:p>
        </w:tc>
        <w:tc>
          <w:tcPr>
            <w:tcW w:w="700" w:type="dxa"/>
            <w:vAlign w:val="bottom"/>
            <w:gridSpan w:val="11"/>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4520" w:type="dxa"/>
            <w:vAlign w:val="bottom"/>
            <w:tcBorders>
              <w:bottom w:val="single" w:sz="8" w:color="0000FF"/>
            </w:tcBorders>
            <w:gridSpan w:val="14"/>
          </w:tcPr>
          <w:p>
            <w:pPr>
              <w:spacing w:after="0"/>
              <w:rPr>
                <w:rFonts w:ascii="Arial" w:cs="Arial" w:eastAsia="Arial" w:hAnsi="Arial"/>
                <w:sz w:val="16"/>
                <w:szCs w:val="16"/>
                <w:color w:val="0000FF"/>
                <w:w w:val="97"/>
              </w:rPr>
            </w:pPr>
            <w:hyperlink r:id="rId115">
              <w:r>
                <w:rPr>
                  <w:rFonts w:ascii="Arial" w:cs="Arial" w:eastAsia="Arial" w:hAnsi="Arial"/>
                  <w:sz w:val="16"/>
                  <w:szCs w:val="16"/>
                  <w:color w:val="0000FF"/>
                  <w:w w:val="97"/>
                </w:rPr>
                <w:t>Second Amended and Restated Certificate of Incorporation of the</w:t>
              </w:r>
            </w:hyperlink>
          </w:p>
        </w:tc>
        <w:tc>
          <w:tcPr>
            <w:tcW w:w="160" w:type="dxa"/>
            <w:vAlign w:val="bottom"/>
            <w:gridSpan w:val="2"/>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340" w:type="dxa"/>
            <w:vAlign w:val="bottom"/>
          </w:tcPr>
          <w:p>
            <w:pPr>
              <w:spacing w:after="0"/>
              <w:rPr>
                <w:sz w:val="20"/>
                <w:szCs w:val="20"/>
                <w:color w:val="auto"/>
              </w:rPr>
            </w:pPr>
            <w:r>
              <w:rPr>
                <w:rFonts w:ascii="Arial" w:cs="Arial" w:eastAsia="Arial" w:hAnsi="Arial"/>
                <w:sz w:val="16"/>
                <w:szCs w:val="16"/>
                <w:color w:val="auto"/>
              </w:rPr>
              <w:t>001-37722</w:t>
            </w:r>
          </w:p>
        </w:tc>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05/15/2024</w:t>
            </w: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Borders>
              <w:bottom w:val="single" w:sz="8" w:color="0000FF"/>
            </w:tcBorders>
            <w:gridSpan w:val="3"/>
          </w:tcPr>
          <w:p>
            <w:pPr>
              <w:spacing w:after="0" w:line="167" w:lineRule="exact"/>
              <w:rPr>
                <w:rFonts w:ascii="Arial" w:cs="Arial" w:eastAsia="Arial" w:hAnsi="Arial"/>
                <w:sz w:val="16"/>
                <w:szCs w:val="16"/>
                <w:color w:val="0000FF"/>
                <w:w w:val="96"/>
              </w:rPr>
            </w:pPr>
            <w:hyperlink r:id="rId115">
              <w:r>
                <w:rPr>
                  <w:rFonts w:ascii="Arial" w:cs="Arial" w:eastAsia="Arial" w:hAnsi="Arial"/>
                  <w:sz w:val="16"/>
                  <w:szCs w:val="16"/>
                  <w:color w:val="0000FF"/>
                  <w:w w:val="96"/>
                </w:rPr>
                <w:t>Company, effective as of May 14, 2024</w:t>
              </w:r>
            </w:hyperlink>
          </w:p>
        </w:tc>
        <w:tc>
          <w:tcPr>
            <w:tcW w:w="1980" w:type="dxa"/>
            <w:vAlign w:val="bottom"/>
            <w:gridSpan w:val="13"/>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4680" w:type="dxa"/>
            <w:vAlign w:val="bottom"/>
            <w:gridSpan w:val="16"/>
          </w:tcPr>
          <w:p>
            <w:pPr>
              <w:spacing w:after="0"/>
              <w:rPr>
                <w:rFonts w:ascii="Arial" w:cs="Arial" w:eastAsia="Arial" w:hAnsi="Arial"/>
                <w:sz w:val="16"/>
                <w:szCs w:val="16"/>
                <w:color w:val="0000FF"/>
              </w:rPr>
            </w:pPr>
            <w:hyperlink r:id="rId116">
              <w:r>
                <w:rPr>
                  <w:rFonts w:ascii="Arial" w:cs="Arial" w:eastAsia="Arial" w:hAnsi="Arial"/>
                  <w:sz w:val="16"/>
                  <w:szCs w:val="16"/>
                  <w:color w:val="0000FF"/>
                </w:rPr>
                <w:t>Amended and Restated Bylaws</w:t>
              </w:r>
            </w:hyperlink>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S-1/A</w:t>
            </w:r>
          </w:p>
        </w:tc>
        <w:tc>
          <w:tcPr>
            <w:tcW w:w="1340" w:type="dxa"/>
            <w:vAlign w:val="bottom"/>
          </w:tcPr>
          <w:p>
            <w:pPr>
              <w:spacing w:after="0"/>
              <w:rPr>
                <w:sz w:val="20"/>
                <w:szCs w:val="20"/>
                <w:color w:val="auto"/>
              </w:rPr>
            </w:pPr>
            <w:r>
              <w:rPr>
                <w:rFonts w:ascii="Arial" w:cs="Arial" w:eastAsia="Arial" w:hAnsi="Arial"/>
                <w:sz w:val="16"/>
                <w:szCs w:val="16"/>
                <w:color w:val="auto"/>
              </w:rPr>
              <w:t>333-276251</w:t>
            </w:r>
          </w:p>
        </w:tc>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02/05/2024</w:t>
            </w: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4"/>
                <w:szCs w:val="24"/>
                <w:color w:val="auto"/>
              </w:rPr>
            </w:pPr>
          </w:p>
        </w:tc>
        <w:tc>
          <w:tcPr>
            <w:tcW w:w="4200" w:type="dxa"/>
            <w:vAlign w:val="bottom"/>
            <w:tcBorders>
              <w:bottom w:val="single" w:sz="8" w:color="0000FF"/>
            </w:tcBorders>
            <w:gridSpan w:val="9"/>
          </w:tcPr>
          <w:p>
            <w:pPr>
              <w:spacing w:after="0"/>
              <w:rPr>
                <w:rFonts w:ascii="Arial" w:cs="Arial" w:eastAsia="Arial" w:hAnsi="Arial"/>
                <w:sz w:val="16"/>
                <w:szCs w:val="16"/>
                <w:color w:val="0000FF"/>
                <w:w w:val="96"/>
              </w:rPr>
            </w:pPr>
            <w:hyperlink r:id="rId117">
              <w:r>
                <w:rPr>
                  <w:rFonts w:ascii="Arial" w:cs="Arial" w:eastAsia="Arial" w:hAnsi="Arial"/>
                  <w:sz w:val="16"/>
                  <w:szCs w:val="16"/>
                  <w:color w:val="0000FF"/>
                  <w:w w:val="96"/>
                </w:rPr>
                <w:t>Certificate of Designation of Series A Non-Voting Convertible</w:t>
              </w:r>
            </w:hyperlink>
          </w:p>
        </w:tc>
        <w:tc>
          <w:tcPr>
            <w:tcW w:w="480" w:type="dxa"/>
            <w:vAlign w:val="bottom"/>
            <w:gridSpan w:val="7"/>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S-1</w:t>
            </w:r>
          </w:p>
        </w:tc>
        <w:tc>
          <w:tcPr>
            <w:tcW w:w="1340" w:type="dxa"/>
            <w:vAlign w:val="bottom"/>
          </w:tcPr>
          <w:p>
            <w:pPr>
              <w:spacing w:after="0"/>
              <w:rPr>
                <w:sz w:val="20"/>
                <w:szCs w:val="20"/>
                <w:color w:val="auto"/>
              </w:rPr>
            </w:pPr>
            <w:r>
              <w:rPr>
                <w:rFonts w:ascii="Arial" w:cs="Arial" w:eastAsia="Arial" w:hAnsi="Arial"/>
                <w:sz w:val="16"/>
                <w:szCs w:val="16"/>
                <w:color w:val="auto"/>
              </w:rPr>
              <w:t>333-276251</w:t>
            </w:r>
          </w:p>
        </w:tc>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12/22/2023</w:t>
            </w: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0000FF"/>
            </w:tcBorders>
          </w:tcPr>
          <w:p>
            <w:pPr>
              <w:spacing w:after="0" w:line="167" w:lineRule="exact"/>
              <w:rPr>
                <w:rFonts w:ascii="Arial" w:cs="Arial" w:eastAsia="Arial" w:hAnsi="Arial"/>
                <w:sz w:val="16"/>
                <w:szCs w:val="16"/>
                <w:color w:val="0000FF"/>
                <w:w w:val="97"/>
              </w:rPr>
            </w:pPr>
            <w:hyperlink r:id="rId117">
              <w:r>
                <w:rPr>
                  <w:rFonts w:ascii="Arial" w:cs="Arial" w:eastAsia="Arial" w:hAnsi="Arial"/>
                  <w:sz w:val="16"/>
                  <w:szCs w:val="16"/>
                  <w:color w:val="0000FF"/>
                  <w:w w:val="97"/>
                </w:rPr>
                <w:t>Preferred Stock</w:t>
              </w:r>
            </w:hyperlink>
          </w:p>
        </w:tc>
        <w:tc>
          <w:tcPr>
            <w:tcW w:w="3580" w:type="dxa"/>
            <w:vAlign w:val="bottom"/>
            <w:gridSpan w:val="15"/>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4"/>
                <w:szCs w:val="24"/>
                <w:color w:val="auto"/>
              </w:rPr>
            </w:pPr>
          </w:p>
        </w:tc>
        <w:tc>
          <w:tcPr>
            <w:tcW w:w="4200" w:type="dxa"/>
            <w:vAlign w:val="bottom"/>
            <w:tcBorders>
              <w:bottom w:val="single" w:sz="8" w:color="0000FF"/>
            </w:tcBorders>
            <w:gridSpan w:val="9"/>
          </w:tcPr>
          <w:p>
            <w:pPr>
              <w:spacing w:after="0"/>
              <w:rPr>
                <w:rFonts w:ascii="Arial" w:cs="Arial" w:eastAsia="Arial" w:hAnsi="Arial"/>
                <w:sz w:val="16"/>
                <w:szCs w:val="16"/>
                <w:color w:val="0000FF"/>
                <w:w w:val="96"/>
              </w:rPr>
            </w:pPr>
            <w:hyperlink r:id="rId118">
              <w:r>
                <w:rPr>
                  <w:rFonts w:ascii="Arial" w:cs="Arial" w:eastAsia="Arial" w:hAnsi="Arial"/>
                  <w:sz w:val="16"/>
                  <w:szCs w:val="16"/>
                  <w:color w:val="0000FF"/>
                  <w:w w:val="96"/>
                </w:rPr>
                <w:t>Certificate of Designation of Series B Non-Voting Convertible</w:t>
              </w:r>
            </w:hyperlink>
          </w:p>
        </w:tc>
        <w:tc>
          <w:tcPr>
            <w:tcW w:w="480" w:type="dxa"/>
            <w:vAlign w:val="bottom"/>
            <w:gridSpan w:val="7"/>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S-1</w:t>
            </w:r>
          </w:p>
        </w:tc>
        <w:tc>
          <w:tcPr>
            <w:tcW w:w="1340" w:type="dxa"/>
            <w:vAlign w:val="bottom"/>
          </w:tcPr>
          <w:p>
            <w:pPr>
              <w:spacing w:after="0"/>
              <w:rPr>
                <w:sz w:val="20"/>
                <w:szCs w:val="20"/>
                <w:color w:val="auto"/>
              </w:rPr>
            </w:pPr>
            <w:r>
              <w:rPr>
                <w:rFonts w:ascii="Arial" w:cs="Arial" w:eastAsia="Arial" w:hAnsi="Arial"/>
                <w:sz w:val="16"/>
                <w:szCs w:val="16"/>
                <w:color w:val="auto"/>
              </w:rPr>
              <w:t>333-276251</w:t>
            </w:r>
          </w:p>
        </w:tc>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12/22/2023</w:t>
            </w: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0000FF"/>
            </w:tcBorders>
          </w:tcPr>
          <w:p>
            <w:pPr>
              <w:spacing w:after="0" w:line="167" w:lineRule="exact"/>
              <w:rPr>
                <w:rFonts w:ascii="Arial" w:cs="Arial" w:eastAsia="Arial" w:hAnsi="Arial"/>
                <w:sz w:val="16"/>
                <w:szCs w:val="16"/>
                <w:color w:val="0000FF"/>
                <w:w w:val="97"/>
              </w:rPr>
            </w:pPr>
            <w:hyperlink r:id="rId118">
              <w:r>
                <w:rPr>
                  <w:rFonts w:ascii="Arial" w:cs="Arial" w:eastAsia="Arial" w:hAnsi="Arial"/>
                  <w:sz w:val="16"/>
                  <w:szCs w:val="16"/>
                  <w:color w:val="0000FF"/>
                  <w:w w:val="97"/>
                </w:rPr>
                <w:t>Preferred Stock</w:t>
              </w:r>
            </w:hyperlink>
          </w:p>
        </w:tc>
        <w:tc>
          <w:tcPr>
            <w:tcW w:w="3580" w:type="dxa"/>
            <w:vAlign w:val="bottom"/>
            <w:gridSpan w:val="15"/>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4"/>
                <w:szCs w:val="24"/>
                <w:color w:val="auto"/>
              </w:rPr>
            </w:pPr>
          </w:p>
        </w:tc>
        <w:tc>
          <w:tcPr>
            <w:tcW w:w="4680" w:type="dxa"/>
            <w:vAlign w:val="bottom"/>
            <w:gridSpan w:val="16"/>
          </w:tcPr>
          <w:p>
            <w:pPr>
              <w:spacing w:after="0"/>
              <w:rPr>
                <w:rFonts w:ascii="Arial" w:cs="Arial" w:eastAsia="Arial" w:hAnsi="Arial"/>
                <w:sz w:val="16"/>
                <w:szCs w:val="16"/>
                <w:color w:val="0000FF"/>
              </w:rPr>
            </w:pPr>
            <w:hyperlink r:id="rId119">
              <w:r>
                <w:rPr>
                  <w:rFonts w:ascii="Arial" w:cs="Arial" w:eastAsia="Arial" w:hAnsi="Arial"/>
                  <w:sz w:val="16"/>
                  <w:szCs w:val="16"/>
                  <w:color w:val="0000FF"/>
                </w:rPr>
                <w:t>Certificate of Amendment to Certificate of Designation of Series B</w:t>
              </w:r>
            </w:hyperlink>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340" w:type="dxa"/>
            <w:vAlign w:val="bottom"/>
          </w:tcPr>
          <w:p>
            <w:pPr>
              <w:spacing w:after="0"/>
              <w:rPr>
                <w:sz w:val="20"/>
                <w:szCs w:val="20"/>
                <w:color w:val="auto"/>
              </w:rPr>
            </w:pPr>
            <w:r>
              <w:rPr>
                <w:rFonts w:ascii="Arial" w:cs="Arial" w:eastAsia="Arial" w:hAnsi="Arial"/>
                <w:sz w:val="16"/>
                <w:szCs w:val="16"/>
                <w:color w:val="auto"/>
              </w:rPr>
              <w:t>001-37722</w:t>
            </w:r>
          </w:p>
        </w:tc>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03/18/2024</w:t>
            </w: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4"/>
          </w:tcPr>
          <w:p>
            <w:pPr>
              <w:spacing w:after="0" w:line="167" w:lineRule="exact"/>
              <w:rPr>
                <w:rFonts w:ascii="Arial" w:cs="Arial" w:eastAsia="Arial" w:hAnsi="Arial"/>
                <w:sz w:val="16"/>
                <w:szCs w:val="16"/>
                <w:color w:val="0000FF"/>
                <w:w w:val="96"/>
              </w:rPr>
            </w:pPr>
            <w:hyperlink r:id="rId119">
              <w:r>
                <w:rPr>
                  <w:rFonts w:ascii="Arial" w:cs="Arial" w:eastAsia="Arial" w:hAnsi="Arial"/>
                  <w:sz w:val="16"/>
                  <w:szCs w:val="16"/>
                  <w:color w:val="0000FF"/>
                  <w:w w:val="96"/>
                </w:rPr>
                <w:t>Non-Voting Convertible Preferred Stock</w:t>
              </w:r>
            </w:hyperlink>
          </w:p>
        </w:tc>
        <w:tc>
          <w:tcPr>
            <w:tcW w:w="1780" w:type="dxa"/>
            <w:vAlign w:val="bottom"/>
            <w:tcBorders>
              <w:top w:val="single" w:sz="8" w:color="0000FF"/>
            </w:tcBorders>
            <w:gridSpan w:val="10"/>
          </w:tcPr>
          <w:p>
            <w:pPr>
              <w:spacing w:after="0"/>
              <w:rPr>
                <w:sz w:val="14"/>
                <w:szCs w:val="14"/>
                <w:color w:val="auto"/>
              </w:rPr>
            </w:pPr>
          </w:p>
        </w:tc>
        <w:tc>
          <w:tcPr>
            <w:tcW w:w="16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0"/>
        </w:trPr>
        <w:tc>
          <w:tcPr>
            <w:tcW w:w="1100" w:type="dxa"/>
            <w:vAlign w:val="bottom"/>
          </w:tcPr>
          <w:p>
            <w:pP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2"/>
                <w:szCs w:val="22"/>
                <w:color w:val="auto"/>
              </w:rPr>
            </w:pPr>
          </w:p>
        </w:tc>
        <w:tc>
          <w:tcPr>
            <w:tcW w:w="4680" w:type="dxa"/>
            <w:vAlign w:val="bottom"/>
            <w:gridSpan w:val="16"/>
          </w:tcPr>
          <w:p>
            <w:pPr>
              <w:spacing w:after="0"/>
              <w:rPr>
                <w:sz w:val="20"/>
                <w:szCs w:val="20"/>
                <w:color w:val="auto"/>
              </w:rPr>
            </w:pPr>
            <w:r>
              <w:rPr>
                <w:rFonts w:ascii="Arial" w:cs="Arial" w:eastAsia="Arial" w:hAnsi="Arial"/>
                <w:sz w:val="16"/>
                <w:szCs w:val="16"/>
                <w:color w:val="0000FF"/>
              </w:rPr>
              <w:t>Certification of the Principal Executive Officer pursuant to Rule</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20" w:type="dxa"/>
            <w:vAlign w:val="bottom"/>
            <w:tcBorders>
              <w:bottom w:val="single" w:sz="8" w:color="0000FF"/>
            </w:tcBorders>
            <w:gridSpan w:val="11"/>
          </w:tcPr>
          <w:p>
            <w:pPr>
              <w:spacing w:after="0" w:line="167" w:lineRule="exact"/>
              <w:rPr>
                <w:sz w:val="20"/>
                <w:szCs w:val="20"/>
                <w:color w:val="auto"/>
              </w:rPr>
            </w:pPr>
            <w:r>
              <w:rPr>
                <w:rFonts w:ascii="Arial" w:cs="Arial" w:eastAsia="Arial" w:hAnsi="Arial"/>
                <w:sz w:val="16"/>
                <w:szCs w:val="16"/>
                <w:color w:val="0000FF"/>
                <w:w w:val="97"/>
              </w:rPr>
              <w:t>13a-14(a) or 15d-14(a) of the Securities Exchange Act of 1934</w:t>
            </w:r>
          </w:p>
        </w:tc>
        <w:tc>
          <w:tcPr>
            <w:tcW w:w="36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43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7"/>
              </w:rPr>
              <w:t>Certification of the Principal Financial Officer pursuant to Rule</w:t>
            </w:r>
          </w:p>
        </w:tc>
        <w:tc>
          <w:tcPr>
            <w:tcW w:w="38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20" w:type="dxa"/>
            <w:vAlign w:val="bottom"/>
            <w:tcBorders>
              <w:bottom w:val="single" w:sz="8" w:color="0000FF"/>
            </w:tcBorders>
            <w:gridSpan w:val="11"/>
          </w:tcPr>
          <w:p>
            <w:pPr>
              <w:spacing w:after="0" w:line="167" w:lineRule="exact"/>
              <w:rPr>
                <w:sz w:val="20"/>
                <w:szCs w:val="20"/>
                <w:color w:val="auto"/>
              </w:rPr>
            </w:pPr>
            <w:r>
              <w:rPr>
                <w:rFonts w:ascii="Arial" w:cs="Arial" w:eastAsia="Arial" w:hAnsi="Arial"/>
                <w:sz w:val="16"/>
                <w:szCs w:val="16"/>
                <w:color w:val="0000FF"/>
                <w:w w:val="97"/>
              </w:rPr>
              <w:t>13a-14(a) or 15d-14(a) of the Securities Exchange Act of 1934</w:t>
            </w:r>
          </w:p>
        </w:tc>
        <w:tc>
          <w:tcPr>
            <w:tcW w:w="36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5"/>
        </w:trPr>
        <w:tc>
          <w:tcPr>
            <w:tcW w:w="1100" w:type="dxa"/>
            <w:vAlign w:val="bottom"/>
          </w:tcPr>
          <w:p>
            <w:pPr>
              <w:spacing w:after="0"/>
              <w:rPr>
                <w:sz w:val="20"/>
                <w:szCs w:val="20"/>
                <w:color w:val="auto"/>
              </w:rPr>
            </w:pPr>
            <w:r>
              <w:rPr>
                <w:rFonts w:ascii="Arial" w:cs="Arial" w:eastAsia="Arial" w:hAnsi="Arial"/>
                <w:sz w:val="16"/>
                <w:szCs w:val="16"/>
                <w:color w:val="auto"/>
              </w:rPr>
              <w:t>32.1(1)</w:t>
            </w:r>
          </w:p>
        </w:tc>
        <w:tc>
          <w:tcPr>
            <w:tcW w:w="80" w:type="dxa"/>
            <w:vAlign w:val="bottom"/>
          </w:tcPr>
          <w:p>
            <w:pPr>
              <w:spacing w:after="0"/>
              <w:rPr>
                <w:sz w:val="24"/>
                <w:szCs w:val="24"/>
                <w:color w:val="auto"/>
              </w:rPr>
            </w:pPr>
          </w:p>
        </w:tc>
        <w:tc>
          <w:tcPr>
            <w:tcW w:w="4680" w:type="dxa"/>
            <w:vAlign w:val="bottom"/>
            <w:gridSpan w:val="16"/>
          </w:tcPr>
          <w:p>
            <w:pPr>
              <w:spacing w:after="0"/>
              <w:rPr>
                <w:sz w:val="20"/>
                <w:szCs w:val="20"/>
                <w:color w:val="auto"/>
              </w:rPr>
            </w:pPr>
            <w:r>
              <w:rPr>
                <w:rFonts w:ascii="Arial" w:cs="Arial" w:eastAsia="Arial" w:hAnsi="Arial"/>
                <w:sz w:val="16"/>
                <w:szCs w:val="16"/>
                <w:color w:val="0000FF"/>
              </w:rPr>
              <w:t>Certification of the Principal Executive Officer and Principal</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80" w:type="dxa"/>
            <w:vAlign w:val="bottom"/>
            <w:gridSpan w:val="16"/>
          </w:tcPr>
          <w:p>
            <w:pPr>
              <w:spacing w:after="0" w:line="167" w:lineRule="exact"/>
              <w:rPr>
                <w:sz w:val="20"/>
                <w:szCs w:val="20"/>
                <w:color w:val="auto"/>
              </w:rPr>
            </w:pPr>
            <w:r>
              <w:rPr>
                <w:rFonts w:ascii="Arial" w:cs="Arial" w:eastAsia="Arial" w:hAnsi="Arial"/>
                <w:sz w:val="16"/>
                <w:szCs w:val="16"/>
                <w:color w:val="0000FF"/>
              </w:rPr>
              <w:t>Financial Officer pursuant to 18 U.S.C. Section 1350, as adopted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7"/>
          </w:tcPr>
          <w:p>
            <w:pPr>
              <w:spacing w:after="0" w:line="167" w:lineRule="exact"/>
              <w:rPr>
                <w:sz w:val="20"/>
                <w:szCs w:val="20"/>
                <w:color w:val="auto"/>
              </w:rPr>
            </w:pPr>
            <w:r>
              <w:rPr>
                <w:rFonts w:ascii="Arial" w:cs="Arial" w:eastAsia="Arial" w:hAnsi="Arial"/>
                <w:sz w:val="16"/>
                <w:szCs w:val="16"/>
                <w:color w:val="0000FF"/>
                <w:w w:val="97"/>
              </w:rPr>
              <w:t>pursuant to Section 906 of the Sarbanes-Oxley Act of 2002</w:t>
            </w:r>
          </w:p>
        </w:tc>
        <w:tc>
          <w:tcPr>
            <w:tcW w:w="400" w:type="dxa"/>
            <w:vAlign w:val="bottom"/>
            <w:tcBorders>
              <w:top w:val="single" w:sz="8" w:color="0000FF"/>
            </w:tcBorders>
            <w:gridSpan w:val="6"/>
          </w:tcPr>
          <w:p>
            <w:pPr>
              <w:spacing w:after="0"/>
              <w:rPr>
                <w:sz w:val="14"/>
                <w:szCs w:val="14"/>
                <w:color w:val="auto"/>
              </w:rPr>
            </w:pPr>
          </w:p>
        </w:tc>
        <w:tc>
          <w:tcPr>
            <w:tcW w:w="2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16"/>
        </w:trPr>
        <w:tc>
          <w:tcPr>
            <w:tcW w:w="11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4680" w:type="dxa"/>
            <w:vAlign w:val="bottom"/>
            <w:gridSpan w:val="16"/>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187"/>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16"/>
          </w:tcPr>
          <w:p>
            <w:pPr>
              <w:spacing w:after="0"/>
              <w:rPr>
                <w:sz w:val="20"/>
                <w:szCs w:val="20"/>
                <w:color w:val="auto"/>
              </w:rPr>
            </w:pPr>
            <w:r>
              <w:rPr>
                <w:rFonts w:ascii="Arial" w:cs="Arial" w:eastAsia="Arial" w:hAnsi="Arial"/>
                <w:sz w:val="16"/>
                <w:szCs w:val="16"/>
                <w:color w:val="auto"/>
              </w:rPr>
              <w:t>not appear in the Interactive Data File because its XBRL tags are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16"/>
          </w:tcPr>
          <w:p>
            <w:pPr>
              <w:spacing w:after="0"/>
              <w:rPr>
                <w:sz w:val="20"/>
                <w:szCs w:val="20"/>
                <w:color w:val="auto"/>
              </w:rPr>
            </w:pPr>
            <w:r>
              <w:rPr>
                <w:rFonts w:ascii="Arial" w:cs="Arial" w:eastAsia="Arial" w:hAnsi="Arial"/>
                <w:sz w:val="16"/>
                <w:szCs w:val="16"/>
                <w:color w:val="auto"/>
              </w:rPr>
              <w:t>embedded within the Inline XBRL document.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5"/>
        </w:trPr>
        <w:tc>
          <w:tcPr>
            <w:tcW w:w="11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4680" w:type="dxa"/>
            <w:vAlign w:val="bottom"/>
            <w:gridSpan w:val="16"/>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15"/>
        </w:trPr>
        <w:tc>
          <w:tcPr>
            <w:tcW w:w="11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4680" w:type="dxa"/>
            <w:vAlign w:val="bottom"/>
            <w:gridSpan w:val="16"/>
          </w:tcPr>
          <w:p>
            <w:pPr>
              <w:spacing w:after="0"/>
              <w:rPr>
                <w:sz w:val="20"/>
                <w:szCs w:val="20"/>
                <w:color w:val="auto"/>
              </w:rPr>
            </w:pPr>
            <w:r>
              <w:rPr>
                <w:rFonts w:ascii="Arial" w:cs="Arial" w:eastAsia="Arial" w:hAnsi="Arial"/>
                <w:sz w:val="16"/>
                <w:szCs w:val="16"/>
                <w:color w:val="auto"/>
                <w:w w:val="99"/>
              </w:rPr>
              <w:t>Inline XBRL Taxonomy Extension Calculation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15"/>
        </w:trPr>
        <w:tc>
          <w:tcPr>
            <w:tcW w:w="11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4680" w:type="dxa"/>
            <w:vAlign w:val="bottom"/>
            <w:gridSpan w:val="1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15"/>
        </w:trPr>
        <w:tc>
          <w:tcPr>
            <w:tcW w:w="11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4680" w:type="dxa"/>
            <w:vAlign w:val="bottom"/>
            <w:gridSpan w:val="1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297"/>
        </w:trPr>
        <w:tc>
          <w:tcPr>
            <w:tcW w:w="11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4680" w:type="dxa"/>
            <w:vAlign w:val="bottom"/>
            <w:gridSpan w:val="16"/>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205"/>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16"/>
          </w:tcPr>
          <w:p>
            <w:pPr>
              <w:spacing w:after="0"/>
              <w:rPr>
                <w:sz w:val="20"/>
                <w:szCs w:val="20"/>
                <w:color w:val="auto"/>
              </w:rPr>
            </w:pPr>
            <w:r>
              <w:rPr>
                <w:rFonts w:ascii="Arial" w:cs="Arial" w:eastAsia="Arial" w:hAnsi="Arial"/>
                <w:sz w:val="16"/>
                <w:szCs w:val="16"/>
                <w:color w:val="auto"/>
              </w:rPr>
              <w:t>Document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110" w:lineRule="exact"/>
        <w:rPr>
          <w:sz w:val="20"/>
          <w:szCs w:val="20"/>
          <w:color w:val="auto"/>
        </w:rPr>
      </w:pPr>
    </w:p>
    <w:p>
      <w:pPr>
        <w:ind w:left="1180" w:right="5880" w:hanging="1171"/>
        <w:spacing w:after="0" w:line="271"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cover page from this Quarterly Report formatted in Inline XBRL and contained in Exhibit 101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57785</wp:posOffset>
            </wp:positionV>
            <wp:extent cx="717613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bookmarkStart w:id="88" w:name="page89"/>
    <w:bookmarkEnd w:id="88"/>
    <w:p>
      <w:pPr>
        <w:ind w:left="287" w:hanging="287"/>
        <w:spacing w:after="0" w:line="271"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certifications on Exhibit 32 hereto are deemed furnished and not “filed” for purposes of Section 18 of the Exchange Act or otherwise subject to the liability of that Section. Such certifications will not be deemed incorporated by reference into any filing under the Securities Act or the Exchange Act.</w:t>
      </w:r>
    </w:p>
    <w:p>
      <w:pPr>
        <w:spacing w:after="0" w:line="200" w:lineRule="exact"/>
        <w:rPr>
          <w:sz w:val="20"/>
          <w:szCs w:val="20"/>
          <w:color w:val="auto"/>
        </w:rPr>
      </w:pP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613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112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Signatures</w:t>
      </w:r>
    </w:p>
    <w:p>
      <w:pPr>
        <w:spacing w:after="0" w:line="98" w:lineRule="exact"/>
        <w:rPr>
          <w:sz w:val="20"/>
          <w:szCs w:val="20"/>
          <w:color w:val="auto"/>
        </w:rPr>
      </w:pPr>
    </w:p>
    <w:p>
      <w:pPr>
        <w:ind w:firstLine="561"/>
        <w:spacing w:after="0" w:line="27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2026</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Spyre Therapeutics, Inc.</w:t>
      </w:r>
    </w:p>
    <w:p>
      <w:pPr>
        <w:spacing w:after="0" w:line="283"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16"/>
          <w:szCs w:val="16"/>
          <w:color w:val="auto"/>
        </w:rPr>
        <w:t>By:</w:t>
        <w:tab/>
        <w:t>/s/ Scott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26035</wp:posOffset>
            </wp:positionV>
            <wp:extent cx="341947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3419475" cy="7620"/>
                    </a:xfrm>
                    <a:prstGeom prst="rect">
                      <a:avLst/>
                    </a:prstGeom>
                    <a:noFill/>
                  </pic:spPr>
                </pic:pic>
              </a:graphicData>
            </a:graphic>
          </wp:anchor>
        </w:drawing>
      </w:r>
    </w:p>
    <w:p>
      <w:pPr>
        <w:spacing w:after="0" w:line="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Scott Burrows</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Chief Financial Officer</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12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31.1</w:t>
      </w:r>
    </w:p>
    <w:p>
      <w:pPr>
        <w:spacing w:after="0" w:line="283" w:lineRule="exact"/>
        <w:rPr>
          <w:sz w:val="20"/>
          <w:szCs w:val="20"/>
          <w:color w:val="auto"/>
        </w:rPr>
      </w:pPr>
    </w:p>
    <w:p>
      <w:pPr>
        <w:ind w:left="1887"/>
        <w:spacing w:after="0"/>
        <w:rPr>
          <w:sz w:val="20"/>
          <w:szCs w:val="20"/>
          <w:color w:val="auto"/>
        </w:rPr>
      </w:pPr>
      <w:r>
        <w:rPr>
          <w:rFonts w:ascii="Arial" w:cs="Arial" w:eastAsia="Arial" w:hAnsi="Arial"/>
          <w:sz w:val="16"/>
          <w:szCs w:val="16"/>
          <w:b w:val="1"/>
          <w:bCs w:val="1"/>
          <w:color w:val="auto"/>
        </w:rPr>
        <w:t>Certification of Principal Executive Officer Pursuant to Section 302 of the Sarbanes-Oxley Act of 2002</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6"/>
          <w:szCs w:val="16"/>
          <w:color w:val="auto"/>
        </w:rPr>
        <w:t>I, Cameron Turtle, certify that:</w:t>
      </w:r>
    </w:p>
    <w:p>
      <w:pPr>
        <w:spacing w:after="0" w:line="96" w:lineRule="exact"/>
        <w:rPr>
          <w:sz w:val="20"/>
          <w:szCs w:val="20"/>
          <w:color w:val="auto"/>
        </w:rPr>
      </w:pPr>
    </w:p>
    <w:p>
      <w:pPr>
        <w:ind w:left="547" w:hanging="547"/>
        <w:spacing w:after="0"/>
        <w:tabs>
          <w:tab w:leader="none" w:pos="5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Spyre Therapeutics, Inc.;</w:t>
      </w:r>
    </w:p>
    <w:p>
      <w:pPr>
        <w:spacing w:after="0" w:line="96" w:lineRule="exact"/>
        <w:rPr>
          <w:rFonts w:ascii="Arial" w:cs="Arial" w:eastAsia="Arial" w:hAnsi="Arial"/>
          <w:sz w:val="16"/>
          <w:szCs w:val="16"/>
          <w:color w:val="auto"/>
        </w:rPr>
      </w:pPr>
    </w:p>
    <w:p>
      <w:pPr>
        <w:ind w:left="567" w:right="180" w:hanging="567"/>
        <w:spacing w:after="0" w:line="344" w:lineRule="auto"/>
        <w:tabs>
          <w:tab w:leader="none" w:pos="5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4"/>
          <w:szCs w:val="14"/>
          <w:color w:val="auto"/>
        </w:rPr>
      </w:pPr>
    </w:p>
    <w:p>
      <w:pPr>
        <w:ind w:left="567" w:right="160" w:hanging="567"/>
        <w:spacing w:after="0" w:line="271"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6"/>
          <w:szCs w:val="16"/>
          <w:color w:val="auto"/>
        </w:rPr>
      </w:pPr>
    </w:p>
    <w:p>
      <w:pPr>
        <w:ind w:left="567" w:right="220" w:hanging="567"/>
        <w:spacing w:after="0" w:line="257"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7" w:right="240" w:hanging="566"/>
        <w:spacing w:after="0" w:line="257"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7" w:right="140" w:hanging="566"/>
        <w:spacing w:after="0" w:line="257"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jc w:val="both"/>
        <w:ind w:left="1127" w:right="760" w:hanging="566"/>
        <w:spacing w:after="0" w:line="344" w:lineRule="auto"/>
        <w:tabs>
          <w:tab w:leader="none" w:pos="1119" w:val="left"/>
        </w:tabs>
        <w:numPr>
          <w:ilvl w:val="1"/>
          <w:numId w:val="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4"/>
          <w:szCs w:val="14"/>
          <w:color w:val="auto"/>
        </w:rPr>
      </w:pPr>
    </w:p>
    <w:p>
      <w:pPr>
        <w:ind w:left="1127" w:right="80" w:hanging="566"/>
        <w:spacing w:after="0" w:line="257"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567" w:right="720" w:hanging="567"/>
        <w:spacing w:after="0" w:line="271"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6"/>
          <w:szCs w:val="16"/>
          <w:color w:val="auto"/>
        </w:rPr>
      </w:pPr>
    </w:p>
    <w:p>
      <w:pPr>
        <w:ind w:left="1127" w:right="20" w:hanging="566"/>
        <w:spacing w:after="0" w:line="271"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6"/>
          <w:szCs w:val="16"/>
          <w:color w:val="auto"/>
        </w:rPr>
      </w:pPr>
    </w:p>
    <w:p>
      <w:pPr>
        <w:ind w:left="1127" w:right="360" w:hanging="566"/>
        <w:spacing w:after="0" w:line="271"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May 5, 2026</w:t>
      </w:r>
    </w:p>
    <w:p>
      <w:pPr>
        <w:spacing w:after="0" w:line="143"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/s/ Cameron Turtle,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18415</wp:posOffset>
            </wp:positionV>
            <wp:extent cx="357568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3575685" cy="7620"/>
                    </a:xfrm>
                    <a:prstGeom prst="rect">
                      <a:avLst/>
                    </a:prstGeom>
                    <a:noFill/>
                  </pic:spPr>
                </pic:pic>
              </a:graphicData>
            </a:graphic>
          </wp:anchor>
        </w:drawing>
      </w:r>
    </w:p>
    <w:p>
      <w:pPr>
        <w:spacing w:after="0" w:line="30"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Cameron Turtle, D.Phil</w:t>
      </w:r>
    </w:p>
    <w:p>
      <w:pPr>
        <w:spacing w:after="0" w:line="38" w:lineRule="exact"/>
        <w:rPr>
          <w:sz w:val="20"/>
          <w:szCs w:val="20"/>
          <w:color w:val="auto"/>
        </w:rPr>
      </w:pPr>
    </w:p>
    <w:p>
      <w:pPr>
        <w:ind w:left="5647"/>
        <w:spacing w:after="0"/>
        <w:rPr>
          <w:sz w:val="20"/>
          <w:szCs w:val="20"/>
          <w:color w:val="auto"/>
        </w:rPr>
      </w:pPr>
      <w:r>
        <w:rPr>
          <w:rFonts w:ascii="Arial" w:cs="Arial" w:eastAsia="Arial" w:hAnsi="Arial"/>
          <w:sz w:val="16"/>
          <w:szCs w:val="16"/>
          <w:i w:val="1"/>
          <w:iCs w:val="1"/>
          <w:color w:val="auto"/>
        </w:rPr>
        <w:t>Chief Executive Officer</w:t>
      </w:r>
    </w:p>
    <w:p>
      <w:pPr>
        <w:spacing w:after="0" w:line="38" w:lineRule="exact"/>
        <w:rPr>
          <w:sz w:val="20"/>
          <w:szCs w:val="20"/>
          <w:color w:val="auto"/>
        </w:rPr>
      </w:pPr>
    </w:p>
    <w:p>
      <w:pPr>
        <w:ind w:left="5647"/>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67"/>
          </w:cols>
          <w:pgMar w:left="313" w:top="917"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31.2</w:t>
      </w:r>
    </w:p>
    <w:p>
      <w:pPr>
        <w:spacing w:after="0" w:line="283" w:lineRule="exact"/>
        <w:rPr>
          <w:sz w:val="20"/>
          <w:szCs w:val="20"/>
          <w:color w:val="auto"/>
        </w:rPr>
      </w:pPr>
    </w:p>
    <w:p>
      <w:pPr>
        <w:ind w:left="1907"/>
        <w:spacing w:after="0"/>
        <w:rPr>
          <w:sz w:val="20"/>
          <w:szCs w:val="20"/>
          <w:color w:val="auto"/>
        </w:rPr>
      </w:pPr>
      <w:r>
        <w:rPr>
          <w:rFonts w:ascii="Arial" w:cs="Arial" w:eastAsia="Arial" w:hAnsi="Arial"/>
          <w:sz w:val="16"/>
          <w:szCs w:val="16"/>
          <w:b w:val="1"/>
          <w:bCs w:val="1"/>
          <w:color w:val="auto"/>
        </w:rPr>
        <w:t>Certification of Principal Financial Officer Pursuant to Section 302 of the Sarbanes-Oxley Act of 2002</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6"/>
          <w:szCs w:val="16"/>
          <w:color w:val="auto"/>
        </w:rPr>
        <w:t>I, Scott Burrows, certify that:</w:t>
      </w:r>
    </w:p>
    <w:p>
      <w:pPr>
        <w:spacing w:after="0" w:line="96" w:lineRule="exact"/>
        <w:rPr>
          <w:sz w:val="20"/>
          <w:szCs w:val="20"/>
          <w:color w:val="auto"/>
        </w:rPr>
      </w:pPr>
    </w:p>
    <w:p>
      <w:pPr>
        <w:ind w:left="547" w:hanging="547"/>
        <w:spacing w:after="0"/>
        <w:tabs>
          <w:tab w:leader="none" w:pos="5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Spyre Therapeutics, Inc.;</w:t>
      </w:r>
    </w:p>
    <w:p>
      <w:pPr>
        <w:spacing w:after="0" w:line="96" w:lineRule="exact"/>
        <w:rPr>
          <w:rFonts w:ascii="Arial" w:cs="Arial" w:eastAsia="Arial" w:hAnsi="Arial"/>
          <w:sz w:val="16"/>
          <w:szCs w:val="16"/>
          <w:color w:val="auto"/>
        </w:rPr>
      </w:pPr>
    </w:p>
    <w:p>
      <w:pPr>
        <w:ind w:left="567" w:right="180" w:hanging="567"/>
        <w:spacing w:after="0" w:line="344" w:lineRule="auto"/>
        <w:tabs>
          <w:tab w:leader="none" w:pos="5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4"/>
          <w:szCs w:val="14"/>
          <w:color w:val="auto"/>
        </w:rPr>
      </w:pPr>
    </w:p>
    <w:p>
      <w:pPr>
        <w:ind w:left="567" w:right="160" w:hanging="567"/>
        <w:spacing w:after="0" w:line="271"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6"/>
          <w:szCs w:val="16"/>
          <w:color w:val="auto"/>
        </w:rPr>
      </w:pPr>
    </w:p>
    <w:p>
      <w:pPr>
        <w:ind w:left="567" w:right="220" w:hanging="567"/>
        <w:spacing w:after="0" w:line="257"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7" w:right="240" w:hanging="566"/>
        <w:spacing w:after="0" w:line="257" w:lineRule="auto"/>
        <w:tabs>
          <w:tab w:leader="none" w:pos="111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7" w:right="140" w:hanging="566"/>
        <w:spacing w:after="0" w:line="257" w:lineRule="auto"/>
        <w:tabs>
          <w:tab w:leader="none" w:pos="111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jc w:val="both"/>
        <w:ind w:left="1127" w:right="760" w:hanging="566"/>
        <w:spacing w:after="0" w:line="344" w:lineRule="auto"/>
        <w:tabs>
          <w:tab w:leader="none" w:pos="1119"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4"/>
          <w:szCs w:val="14"/>
          <w:color w:val="auto"/>
        </w:rPr>
      </w:pPr>
    </w:p>
    <w:p>
      <w:pPr>
        <w:ind w:left="1127" w:right="80" w:hanging="566"/>
        <w:spacing w:after="0" w:line="257" w:lineRule="auto"/>
        <w:tabs>
          <w:tab w:leader="none" w:pos="111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567" w:right="720" w:hanging="567"/>
        <w:spacing w:after="0" w:line="271"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6"/>
          <w:szCs w:val="16"/>
          <w:color w:val="auto"/>
        </w:rPr>
      </w:pPr>
    </w:p>
    <w:p>
      <w:pPr>
        <w:ind w:left="1127" w:right="20" w:hanging="566"/>
        <w:spacing w:after="0" w:line="271" w:lineRule="auto"/>
        <w:tabs>
          <w:tab w:leader="none" w:pos="1116"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6"/>
          <w:szCs w:val="16"/>
          <w:color w:val="auto"/>
        </w:rPr>
      </w:pPr>
    </w:p>
    <w:p>
      <w:pPr>
        <w:ind w:left="1127" w:right="360" w:hanging="566"/>
        <w:spacing w:after="0" w:line="271" w:lineRule="auto"/>
        <w:tabs>
          <w:tab w:leader="none" w:pos="1116"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May 5, 2026</w:t>
      </w:r>
    </w:p>
    <w:p>
      <w:pPr>
        <w:spacing w:after="0" w:line="143" w:lineRule="exact"/>
        <w:rPr>
          <w:sz w:val="20"/>
          <w:szCs w:val="20"/>
          <w:color w:val="auto"/>
        </w:rPr>
      </w:pPr>
    </w:p>
    <w:p>
      <w:pPr>
        <w:ind w:left="5127"/>
        <w:spacing w:after="0"/>
        <w:rPr>
          <w:sz w:val="20"/>
          <w:szCs w:val="20"/>
          <w:color w:val="auto"/>
        </w:rPr>
      </w:pPr>
      <w:r>
        <w:rPr>
          <w:rFonts w:ascii="Arial" w:cs="Arial" w:eastAsia="Arial" w:hAnsi="Arial"/>
          <w:sz w:val="16"/>
          <w:szCs w:val="16"/>
          <w:color w:val="auto"/>
        </w:rPr>
        <w:t>/s/ Scott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18415</wp:posOffset>
            </wp:positionV>
            <wp:extent cx="39090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3909060" cy="7620"/>
                    </a:xfrm>
                    <a:prstGeom prst="rect">
                      <a:avLst/>
                    </a:prstGeom>
                    <a:noFill/>
                  </pic:spPr>
                </pic:pic>
              </a:graphicData>
            </a:graphic>
          </wp:anchor>
        </w:drawing>
      </w:r>
    </w:p>
    <w:p>
      <w:pPr>
        <w:spacing w:after="0" w:line="30" w:lineRule="exact"/>
        <w:rPr>
          <w:sz w:val="20"/>
          <w:szCs w:val="20"/>
          <w:color w:val="auto"/>
        </w:rPr>
      </w:pPr>
    </w:p>
    <w:p>
      <w:pPr>
        <w:ind w:left="5127"/>
        <w:spacing w:after="0"/>
        <w:rPr>
          <w:sz w:val="20"/>
          <w:szCs w:val="20"/>
          <w:color w:val="auto"/>
        </w:rPr>
      </w:pPr>
      <w:r>
        <w:rPr>
          <w:rFonts w:ascii="Arial" w:cs="Arial" w:eastAsia="Arial" w:hAnsi="Arial"/>
          <w:sz w:val="16"/>
          <w:szCs w:val="16"/>
          <w:color w:val="auto"/>
        </w:rPr>
        <w:t>Scott Burrows</w:t>
      </w:r>
    </w:p>
    <w:p>
      <w:pPr>
        <w:spacing w:after="0" w:line="38" w:lineRule="exact"/>
        <w:rPr>
          <w:sz w:val="20"/>
          <w:szCs w:val="20"/>
          <w:color w:val="auto"/>
        </w:rPr>
      </w:pPr>
    </w:p>
    <w:p>
      <w:pPr>
        <w:ind w:left="5127"/>
        <w:spacing w:after="0"/>
        <w:rPr>
          <w:sz w:val="20"/>
          <w:szCs w:val="20"/>
          <w:color w:val="auto"/>
        </w:rPr>
      </w:pPr>
      <w:r>
        <w:rPr>
          <w:rFonts w:ascii="Arial" w:cs="Arial" w:eastAsia="Arial" w:hAnsi="Arial"/>
          <w:sz w:val="16"/>
          <w:szCs w:val="16"/>
          <w:i w:val="1"/>
          <w:iCs w:val="1"/>
          <w:color w:val="auto"/>
        </w:rPr>
        <w:t>Chief Financial Officer</w:t>
      </w:r>
    </w:p>
    <w:p>
      <w:pPr>
        <w:spacing w:after="0" w:line="26" w:lineRule="exact"/>
        <w:rPr>
          <w:sz w:val="20"/>
          <w:szCs w:val="20"/>
          <w:color w:val="auto"/>
        </w:rPr>
      </w:pPr>
    </w:p>
    <w:p>
      <w:pPr>
        <w:ind w:left="5127"/>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ectPr>
          <w:pgSz w:w="11900" w:h="16838" w:orient="portrait"/>
          <w:cols w:equalWidth="0" w:num="1">
            <w:col w:w="11267"/>
          </w:cols>
          <w:pgMar w:left="313" w:top="917"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32.1</w:t>
      </w:r>
    </w:p>
    <w:p>
      <w:pPr>
        <w:spacing w:after="0" w:line="28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Certifications of the</w:t>
      </w:r>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Principal Executive Officer and Principal Financial Officer</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Pursuant To 18 U.S.C. Section 1350,</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6" w:lineRule="exact"/>
        <w:rPr>
          <w:sz w:val="20"/>
          <w:szCs w:val="20"/>
          <w:color w:val="auto"/>
        </w:rPr>
      </w:pPr>
    </w:p>
    <w:p>
      <w:pPr>
        <w:jc w:val="both"/>
        <w:ind w:left="7" w:right="20"/>
        <w:spacing w:after="0" w:line="257" w:lineRule="auto"/>
        <w:rPr>
          <w:sz w:val="20"/>
          <w:szCs w:val="20"/>
          <w:color w:val="auto"/>
        </w:rPr>
      </w:pPr>
      <w:r>
        <w:rPr>
          <w:rFonts w:ascii="Arial" w:cs="Arial" w:eastAsia="Arial" w:hAnsi="Arial"/>
          <w:sz w:val="16"/>
          <w:szCs w:val="16"/>
          <w:color w:val="auto"/>
        </w:rPr>
        <w:t>In connection with the Quarterly Report of Spyre Therapeutics, Inc. (the “Company”) on Form 10-Q for the quarter ended March 31, 2026, as filed with the Securities and Exchange Commission on the date hereof (the “Report”), each of the undersigned officers of the Company hereby certifies, pursuant to 18 U.S.C. Section 1350, as adopted pursuant to Section 906 of the Sarbanes-Oxley Act of 2002, that to the best of his knowledge:</w:t>
      </w:r>
    </w:p>
    <w:p>
      <w:pPr>
        <w:spacing w:after="0" w:line="63" w:lineRule="exact"/>
        <w:rPr>
          <w:sz w:val="20"/>
          <w:szCs w:val="20"/>
          <w:color w:val="auto"/>
        </w:rPr>
      </w:pPr>
    </w:p>
    <w:p>
      <w:pPr>
        <w:ind w:left="567" w:hanging="567"/>
        <w:spacing w:after="0"/>
        <w:tabs>
          <w:tab w:leader="none" w:pos="56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96" w:lineRule="exact"/>
        <w:rPr>
          <w:rFonts w:ascii="Arial" w:cs="Arial" w:eastAsia="Arial" w:hAnsi="Arial"/>
          <w:sz w:val="16"/>
          <w:szCs w:val="16"/>
          <w:color w:val="auto"/>
        </w:rPr>
      </w:pPr>
    </w:p>
    <w:p>
      <w:pPr>
        <w:ind w:left="567" w:hanging="567"/>
        <w:spacing w:after="0"/>
        <w:tabs>
          <w:tab w:leader="none" w:pos="56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7"/>
        <w:spacing w:after="0"/>
        <w:tabs>
          <w:tab w:leader="none" w:pos="4926" w:val="left"/>
        </w:tabs>
        <w:rPr>
          <w:sz w:val="20"/>
          <w:szCs w:val="20"/>
          <w:color w:val="auto"/>
        </w:rPr>
      </w:pPr>
      <w:r>
        <w:rPr>
          <w:rFonts w:ascii="Arial" w:cs="Arial" w:eastAsia="Arial" w:hAnsi="Arial"/>
          <w:sz w:val="16"/>
          <w:szCs w:val="16"/>
          <w:color w:val="auto"/>
        </w:rPr>
        <w:t>Date: May 5, 2026</w:t>
      </w:r>
      <w:r>
        <w:rPr>
          <w:sz w:val="20"/>
          <w:szCs w:val="20"/>
          <w:color w:val="auto"/>
        </w:rPr>
        <w:tab/>
      </w:r>
      <w:r>
        <w:rPr>
          <w:rFonts w:ascii="Arial" w:cs="Arial" w:eastAsia="Arial" w:hAnsi="Arial"/>
          <w:sz w:val="14"/>
          <w:szCs w:val="14"/>
          <w:color w:val="auto"/>
        </w:rPr>
        <w:t>/s/ Cameron Turtle,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18415</wp:posOffset>
            </wp:positionV>
            <wp:extent cx="393128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3931285" cy="7620"/>
                    </a:xfrm>
                    <a:prstGeom prst="rect">
                      <a:avLst/>
                    </a:prstGeom>
                    <a:noFill/>
                  </pic:spPr>
                </pic:pic>
              </a:graphicData>
            </a:graphic>
          </wp:anchor>
        </w:drawing>
      </w:r>
    </w:p>
    <w:p>
      <w:pPr>
        <w:spacing w:after="0" w:line="30" w:lineRule="exact"/>
        <w:rPr>
          <w:sz w:val="20"/>
          <w:szCs w:val="20"/>
          <w:color w:val="auto"/>
        </w:rPr>
      </w:pPr>
    </w:p>
    <w:p>
      <w:pPr>
        <w:ind w:left="4947"/>
        <w:spacing w:after="0"/>
        <w:rPr>
          <w:sz w:val="20"/>
          <w:szCs w:val="20"/>
          <w:color w:val="auto"/>
        </w:rPr>
      </w:pPr>
      <w:r>
        <w:rPr>
          <w:rFonts w:ascii="Arial" w:cs="Arial" w:eastAsia="Arial" w:hAnsi="Arial"/>
          <w:sz w:val="16"/>
          <w:szCs w:val="16"/>
          <w:color w:val="auto"/>
        </w:rPr>
        <w:t>Cameron Turtle, D.Phil</w:t>
      </w:r>
    </w:p>
    <w:p>
      <w:pPr>
        <w:spacing w:after="0" w:line="38" w:lineRule="exact"/>
        <w:rPr>
          <w:sz w:val="20"/>
          <w:szCs w:val="20"/>
          <w:color w:val="auto"/>
        </w:rPr>
      </w:pPr>
    </w:p>
    <w:p>
      <w:pPr>
        <w:ind w:left="4947"/>
        <w:spacing w:after="0"/>
        <w:rPr>
          <w:sz w:val="20"/>
          <w:szCs w:val="20"/>
          <w:color w:val="auto"/>
        </w:rPr>
      </w:pPr>
      <w:r>
        <w:rPr>
          <w:rFonts w:ascii="Arial" w:cs="Arial" w:eastAsia="Arial" w:hAnsi="Arial"/>
          <w:sz w:val="16"/>
          <w:szCs w:val="16"/>
          <w:i w:val="1"/>
          <w:iCs w:val="1"/>
          <w:color w:val="auto"/>
        </w:rPr>
        <w:t>Chief Executive Officer</w:t>
      </w:r>
    </w:p>
    <w:p>
      <w:pPr>
        <w:spacing w:after="0" w:line="38" w:lineRule="exact"/>
        <w:rPr>
          <w:sz w:val="20"/>
          <w:szCs w:val="20"/>
          <w:color w:val="auto"/>
        </w:rPr>
      </w:pPr>
    </w:p>
    <w:p>
      <w:pPr>
        <w:ind w:left="4947"/>
        <w:spacing w:after="0"/>
        <w:rPr>
          <w:sz w:val="20"/>
          <w:szCs w:val="20"/>
          <w:color w:val="auto"/>
        </w:rPr>
      </w:pPr>
      <w:r>
        <w:rPr>
          <w:rFonts w:ascii="Arial" w:cs="Arial" w:eastAsia="Arial" w:hAnsi="Arial"/>
          <w:sz w:val="16"/>
          <w:szCs w:val="16"/>
          <w:i w:val="1"/>
          <w:iCs w:val="1"/>
          <w:color w:val="auto"/>
        </w:rPr>
        <w:t>(Principal Executive Officer)</w:t>
      </w:r>
    </w:p>
    <w:p>
      <w:pPr>
        <w:spacing w:after="0" w:line="283" w:lineRule="exact"/>
        <w:rPr>
          <w:sz w:val="20"/>
          <w:szCs w:val="20"/>
          <w:color w:val="auto"/>
        </w:rPr>
      </w:pPr>
    </w:p>
    <w:p>
      <w:pPr>
        <w:ind w:left="4947"/>
        <w:spacing w:after="0"/>
        <w:rPr>
          <w:sz w:val="20"/>
          <w:szCs w:val="20"/>
          <w:color w:val="auto"/>
        </w:rPr>
      </w:pPr>
      <w:r>
        <w:rPr>
          <w:rFonts w:ascii="Arial" w:cs="Arial" w:eastAsia="Arial" w:hAnsi="Arial"/>
          <w:sz w:val="16"/>
          <w:szCs w:val="16"/>
          <w:color w:val="auto"/>
        </w:rPr>
        <w:t>/s/ Scott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18415</wp:posOffset>
            </wp:positionV>
            <wp:extent cx="393128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3931285" cy="7620"/>
                    </a:xfrm>
                    <a:prstGeom prst="rect">
                      <a:avLst/>
                    </a:prstGeom>
                    <a:noFill/>
                  </pic:spPr>
                </pic:pic>
              </a:graphicData>
            </a:graphic>
          </wp:anchor>
        </w:drawing>
      </w:r>
    </w:p>
    <w:p>
      <w:pPr>
        <w:spacing w:after="0" w:line="30" w:lineRule="exact"/>
        <w:rPr>
          <w:sz w:val="20"/>
          <w:szCs w:val="20"/>
          <w:color w:val="auto"/>
        </w:rPr>
      </w:pPr>
    </w:p>
    <w:p>
      <w:pPr>
        <w:ind w:left="4947"/>
        <w:spacing w:after="0"/>
        <w:rPr>
          <w:sz w:val="20"/>
          <w:szCs w:val="20"/>
          <w:color w:val="auto"/>
        </w:rPr>
      </w:pPr>
      <w:r>
        <w:rPr>
          <w:rFonts w:ascii="Arial" w:cs="Arial" w:eastAsia="Arial" w:hAnsi="Arial"/>
          <w:sz w:val="16"/>
          <w:szCs w:val="16"/>
          <w:color w:val="auto"/>
        </w:rPr>
        <w:t>Scott Burrows</w:t>
      </w:r>
    </w:p>
    <w:p>
      <w:pPr>
        <w:spacing w:after="0" w:line="38" w:lineRule="exact"/>
        <w:rPr>
          <w:sz w:val="20"/>
          <w:szCs w:val="20"/>
          <w:color w:val="auto"/>
        </w:rPr>
      </w:pPr>
    </w:p>
    <w:p>
      <w:pPr>
        <w:ind w:left="4947"/>
        <w:spacing w:after="0"/>
        <w:rPr>
          <w:sz w:val="20"/>
          <w:szCs w:val="20"/>
          <w:color w:val="auto"/>
        </w:rPr>
      </w:pPr>
      <w:r>
        <w:rPr>
          <w:rFonts w:ascii="Arial" w:cs="Arial" w:eastAsia="Arial" w:hAnsi="Arial"/>
          <w:sz w:val="16"/>
          <w:szCs w:val="16"/>
          <w:i w:val="1"/>
          <w:iCs w:val="1"/>
          <w:color w:val="auto"/>
        </w:rPr>
        <w:t>Chief Financial Officer</w:t>
      </w:r>
    </w:p>
    <w:p>
      <w:pPr>
        <w:spacing w:after="0" w:line="38" w:lineRule="exact"/>
        <w:rPr>
          <w:sz w:val="20"/>
          <w:szCs w:val="20"/>
          <w:color w:val="auto"/>
        </w:rPr>
      </w:pPr>
    </w:p>
    <w:p>
      <w:pPr>
        <w:ind w:left="4947"/>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00" w:lineRule="exact"/>
        <w:rPr>
          <w:sz w:val="20"/>
          <w:szCs w:val="20"/>
          <w:color w:val="auto"/>
        </w:rPr>
      </w:pPr>
    </w:p>
    <w:p>
      <w:pPr>
        <w:spacing w:after="0" w:line="387" w:lineRule="exact"/>
        <w:rPr>
          <w:sz w:val="20"/>
          <w:szCs w:val="20"/>
          <w:color w:val="auto"/>
        </w:rPr>
      </w:pPr>
    </w:p>
    <w:p>
      <w:pPr>
        <w:ind w:left="7" w:right="160"/>
        <w:spacing w:after="0" w:line="257" w:lineRule="auto"/>
        <w:rPr>
          <w:sz w:val="20"/>
          <w:szCs w:val="20"/>
          <w:color w:val="auto"/>
        </w:rPr>
      </w:pPr>
      <w:r>
        <w:rPr>
          <w:rFonts w:ascii="Arial" w:cs="Arial" w:eastAsia="Arial" w:hAnsi="Arial"/>
          <w:sz w:val="16"/>
          <w:szCs w:val="16"/>
          <w:color w:val="auto"/>
        </w:rPr>
        <w:t>The foregoing certification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ind w:left="7" w:right="360"/>
        <w:spacing w:after="0" w:line="255" w:lineRule="auto"/>
        <w:rPr>
          <w:sz w:val="20"/>
          <w:szCs w:val="20"/>
          <w:color w:val="auto"/>
        </w:rPr>
      </w:pPr>
      <w:r>
        <w:rPr>
          <w:rFonts w:ascii="Arial" w:cs="Arial" w:eastAsia="Arial" w:hAnsi="Arial"/>
          <w:sz w:val="16"/>
          <w:szCs w:val="16"/>
          <w:color w:val="auto"/>
        </w:rPr>
        <w:t>Note: 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267"/>
      </w:cols>
      <w:pgMar w:left="313" w:top="10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14" Type="http://schemas.openxmlformats.org/officeDocument/2006/relationships/hyperlink" Target="https://www.sec.gov/Archives/edgar/data/1636282/000119312523302158/d518298dex21.htm" TargetMode="External"/><Relationship Id="rId115" Type="http://schemas.openxmlformats.org/officeDocument/2006/relationships/hyperlink" Target="https://www.sec.gov/Archives/edgar/data/1636282/000119312524138893/d839821dex32.htm" TargetMode="External"/><Relationship Id="rId116" Type="http://schemas.openxmlformats.org/officeDocument/2006/relationships/hyperlink" Target="https://www.sec.gov/Archives/edgar/data/1636282/000119312524023071/d518298dex32.htm" TargetMode="External"/><Relationship Id="rId117" Type="http://schemas.openxmlformats.org/officeDocument/2006/relationships/hyperlink" Target="https://www.sec.gov/Archives/edgar/data/1636282/000119312523302158/d518298dex33.htm" TargetMode="External"/><Relationship Id="rId118" Type="http://schemas.openxmlformats.org/officeDocument/2006/relationships/hyperlink" Target="https://www.sec.gov/Archives/edgar/data/1636282/000119312523302158/d518298dex34.htm" TargetMode="External"/><Relationship Id="rId119" Type="http://schemas.openxmlformats.org/officeDocument/2006/relationships/hyperlink" Target="https://www.sec.gov/Archives/edgar/data/1636282/000119312524069693/d78426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2026-05-05T07:05:00Z</dcterms:created>
  <dcterms:modified xsi:type="dcterms:W3CDTF">2026-05-05T07:05:00Z</dcterms:modified>
</cp:coreProperties>
</file>