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26, 2026.</w:t>
      </w:r>
    </w:p>
    <w:p>
      <w:pPr>
        <w:spacing w:after="0" w:line="22" w:lineRule="exact"/>
        <w:rPr>
          <w:sz w:val="24"/>
          <w:szCs w:val="24"/>
          <w:color w:val="auto"/>
        </w:rPr>
      </w:pPr>
    </w:p>
    <w:p>
      <w:pPr>
        <w:ind w:left="970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647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Spyre Therapeutics,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p>
      <w:pPr>
        <w:spacing w:after="0" w:line="21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46-4312787</w:t>
      </w:r>
    </w:p>
    <w:p>
      <w:pPr>
        <w:spacing w:after="0" w:line="33" w:lineRule="exact"/>
        <w:rPr>
          <w:sz w:val="24"/>
          <w:szCs w:val="24"/>
          <w:color w:val="auto"/>
        </w:rPr>
      </w:pPr>
    </w:p>
    <w:p>
      <w:pPr>
        <w:sectPr>
          <w:pgSz w:w="11900" w:h="16838" w:orient="portrait"/>
          <w:cols w:equalWidth="0" w:num="2">
            <w:col w:w="7420" w:space="720"/>
            <w:col w:w="3140"/>
          </w:cols>
          <w:pgMar w:left="300" w:top="515"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Number)</w:t>
      </w:r>
    </w:p>
    <w:p>
      <w:pPr>
        <w:spacing w:after="0" w:line="211" w:lineRule="exact"/>
        <w:rPr>
          <w:sz w:val="24"/>
          <w:szCs w:val="24"/>
          <w:color w:val="auto"/>
        </w:rPr>
      </w:pPr>
    </w:p>
    <w:p>
      <w:pPr>
        <w:sectPr>
          <w:pgSz w:w="11900" w:h="16838" w:orient="portrait"/>
          <w:cols w:equalWidth="0" w:num="2">
            <w:col w:w="6800" w:space="720"/>
            <w:col w:w="3760"/>
          </w:cols>
          <w:pgMar w:left="300" w:top="515" w:right="319" w:bottom="1440" w:gutter="0" w:footer="0" w:header="0"/>
          <w:type w:val="continuous"/>
        </w:sectPr>
      </w:pPr>
    </w:p>
    <w:p>
      <w:pPr>
        <w:spacing w:after="0" w:line="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1"/>
          <w:szCs w:val="11"/>
          <w:b w:val="1"/>
          <w:bCs w:val="1"/>
          <w:color w:val="auto"/>
        </w:rPr>
        <w:t>221 Crescent Street</w:t>
      </w:r>
    </w:p>
    <w:p>
      <w:pPr>
        <w:spacing w:after="0" w:line="1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Building 23, Suite 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Waltham, MA 02453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(617) 651-5940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0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1"/>
          <w:szCs w:val="11"/>
          <w:b w:val="1"/>
          <w:bCs w:val="1"/>
          <w:color w:val="auto"/>
        </w:rPr>
        <w:t>Heidy King-Jones</w:t>
      </w:r>
    </w:p>
    <w:p>
      <w:pPr>
        <w:spacing w:after="0" w:line="1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Chief Legal Officer and Corporate Secretary</w:t>
      </w:r>
    </w:p>
    <w:p>
      <w:pPr>
        <w:spacing w:after="0" w:line="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Spyre Therapeutics, Inc.</w:t>
      </w:r>
    </w:p>
    <w:p>
      <w:pPr>
        <w:spacing w:after="0" w:line="8"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1"/>
          <w:szCs w:val="11"/>
          <w:b w:val="1"/>
          <w:bCs w:val="1"/>
          <w:color w:val="auto"/>
        </w:rPr>
        <w:t>221 Crescent Street</w:t>
      </w:r>
    </w:p>
    <w:p>
      <w:pPr>
        <w:spacing w:after="0" w:line="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Building 23, Suite 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Waltham, MA 02453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(617) 651-5940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1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1"/>
          <w:szCs w:val="11"/>
          <w:b w:val="1"/>
          <w:bCs w:val="1"/>
          <w:color w:val="auto"/>
        </w:rPr>
        <w:t>Thomas Danielski</w:t>
      </w:r>
    </w:p>
    <w:p>
      <w:pPr>
        <w:spacing w:after="0" w:line="8"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1"/>
          <w:szCs w:val="11"/>
          <w:b w:val="1"/>
          <w:bCs w:val="1"/>
          <w:color w:val="auto"/>
        </w:rPr>
        <w:t>Ropes &amp; Gray LLP</w:t>
      </w:r>
    </w:p>
    <w:p>
      <w:pPr>
        <w:spacing w:after="0" w:line="8"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1"/>
          <w:szCs w:val="11"/>
          <w:b w:val="1"/>
          <w:bCs w:val="1"/>
          <w:color w:val="auto"/>
        </w:rPr>
        <w:t>Prudential Tower</w:t>
      </w:r>
    </w:p>
    <w:p>
      <w:pPr>
        <w:spacing w:after="0" w:line="8"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1"/>
          <w:szCs w:val="11"/>
          <w:b w:val="1"/>
          <w:bCs w:val="1"/>
          <w:color w:val="auto"/>
        </w:rPr>
        <w:t>800 Boylston St.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Boston, MA 02199</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 From time to time after this registration statement becomes effective.</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Wingdings" w:cs="Wingdings" w:eastAsia="Wingdings" w:hAnsi="Wingdings"/>
          <w:sz w:val="11"/>
          <w:szCs w:val="11"/>
          <w:b w:val="1"/>
          <w:bCs w:val="1"/>
          <w:color w:val="auto"/>
        </w:rPr>
        <w:t>o</w:t>
      </w:r>
    </w:p>
    <w:p>
      <w:pPr>
        <w:spacing w:after="0" w:line="16" w:lineRule="exact"/>
        <w:rPr>
          <w:sz w:val="24"/>
          <w:szCs w:val="24"/>
          <w:color w:val="auto"/>
        </w:rPr>
      </w:pPr>
    </w:p>
    <w:p>
      <w:pPr>
        <w:ind w:right="560"/>
        <w:spacing w:after="0" w:line="264" w:lineRule="auto"/>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Wingdings" w:cs="Wingdings" w:eastAsia="Wingdings" w:hAnsi="Wingdings"/>
          <w:sz w:val="11"/>
          <w:szCs w:val="11"/>
          <w:b w:val="1"/>
          <w:bCs w:val="1"/>
          <w:color w:val="auto"/>
        </w:rPr>
        <w:t>x</w:t>
      </w:r>
    </w:p>
    <w:p>
      <w:pPr>
        <w:spacing w:after="0" w:line="264" w:lineRule="auto"/>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1"/>
          <w:szCs w:val="11"/>
          <w:b w:val="1"/>
          <w:bCs w:val="1"/>
          <w:color w:val="auto"/>
        </w:rPr>
        <w:t>o</w:t>
      </w:r>
    </w:p>
    <w:p>
      <w:pPr>
        <w:spacing w:after="0"/>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1"/>
          <w:szCs w:val="11"/>
          <w:b w:val="1"/>
          <w:bCs w:val="1"/>
          <w:color w:val="auto"/>
        </w:rPr>
        <w:t>o</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cs="Wingdings" w:eastAsia="Wingdings" w:hAnsi="Wingdings"/>
          <w:sz w:val="11"/>
          <w:szCs w:val="11"/>
          <w:b w:val="1"/>
          <w:bCs w:val="1"/>
          <w:color w:val="auto"/>
        </w:rPr>
        <w:t>x</w:t>
      </w:r>
    </w:p>
    <w:p>
      <w:pPr>
        <w:spacing w:after="0" w:line="16"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cs="Wingdings" w:eastAsia="Wingdings" w:hAnsi="Wingdings"/>
          <w:sz w:val="11"/>
          <w:szCs w:val="11"/>
          <w:b w:val="1"/>
          <w:bCs w:val="1"/>
          <w:color w:val="auto"/>
        </w:rPr>
        <w:t>o</w:t>
      </w:r>
    </w:p>
    <w:p>
      <w:pPr>
        <w:spacing w:after="0" w:line="101" w:lineRule="exact"/>
        <w:rPr>
          <w:sz w:val="24"/>
          <w:szCs w:val="24"/>
          <w:color w:val="auto"/>
        </w:rPr>
      </w:pPr>
    </w:p>
    <w:p>
      <w:pPr>
        <w:ind w:right="60"/>
        <w:spacing w:after="0" w:line="25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6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800" w:type="dxa"/>
            <w:vAlign w:val="bottom"/>
          </w:tcPr>
          <w:p>
            <w:pPr>
              <w:ind w:left="3220"/>
              <w:spacing w:after="0"/>
              <w:rPr>
                <w:sz w:val="20"/>
                <w:szCs w:val="20"/>
                <w:color w:val="auto"/>
              </w:rPr>
            </w:pPr>
            <w:r>
              <w:rPr>
                <w:rFonts w:ascii="Times New Roman" w:cs="Times New Roman" w:eastAsia="Times New Roman" w:hAnsi="Times New Roman"/>
                <w:sz w:val="11"/>
                <w:szCs w:val="11"/>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8" w:lineRule="exact"/>
        <w:rPr>
          <w:sz w:val="24"/>
          <w:szCs w:val="24"/>
          <w:color w:val="auto"/>
        </w:rPr>
      </w:pPr>
    </w:p>
    <w:p>
      <w:pPr>
        <w:ind w:right="160"/>
        <w:spacing w:after="0" w:line="303"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1"/>
          <w:szCs w:val="11"/>
          <w:b w:val="1"/>
          <w:bCs w:val="1"/>
          <w:color w:val="auto"/>
        </w:rPr>
        <w:t>o</w:t>
      </w:r>
    </w:p>
    <w:p>
      <w:pPr>
        <w:spacing w:after="0" w:line="3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1"/>
          <w:szCs w:val="11"/>
          <w:color w:val="auto"/>
        </w:rPr>
        <w:t>Pursuant to Rule 415(a)(6) under the Securities Act, the securities being registered hereunder include $36,550,000 aggregate principal amount of unsold securities (the “Unsold Securities”) previously covered by our registration statement on Form S-3 (File No. 333-293600), which was filed with the Securities and Exchange Commission on February 19, 2026 and became effective on March 4, 2026 (the “Prior Registration Statement”). We paid a filing fee of $5,047.55 (calculated at the filing fee rate in effect at the time of the filing of the Prior Registration Statement) relating to the Unsold Securities under the Prior Registration Statement. Pursuant to Rule 415(a)(6) under the Securities Act, (i) the registration fee applicable to the Unsold Securities is being carried forward to this registration statement and will continue to be applied to the Unsold Securities, and (ii) the offering of Unsold Securities under the Prior Registration Statement will be deemed terminated as of the date of effectiveness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registration statement contains the following documents:</w:t>
      </w:r>
    </w:p>
    <w:p>
      <w:pPr>
        <w:spacing w:after="0" w:line="128" w:lineRule="exact"/>
        <w:rPr>
          <w:sz w:val="20"/>
          <w:szCs w:val="20"/>
          <w:color w:val="auto"/>
        </w:rPr>
      </w:pPr>
    </w:p>
    <w:p>
      <w:pPr>
        <w:ind w:left="500" w:hanging="250"/>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by us of an indeterminate amount of the securities identified below from time to time in one or more offerings; and</w:t>
      </w:r>
    </w:p>
    <w:p>
      <w:pPr>
        <w:spacing w:after="0" w:line="128"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supplement covering the offering, issuance and sale by us of up to a maximum aggregate offering price of $500,000,000 of our common stock that may be issued and sold under a sales agreement, dated June 26, 2026, with TD Securities (USA) LLC, or TD Cowen (the “Sales Agreement”).</w:t>
      </w:r>
    </w:p>
    <w:p>
      <w:pPr>
        <w:spacing w:after="0" w:line="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other than the shares of common stock under the Sales Agreement will be specified in a prospectus supplement to the base prospectus. The Sales Agreement prospectus supplement immediately follows the base prospectus. The specific terms of the securities to be issued and sold under the Sales Agreement are specified in the Sales Agreement prospectus supplement.</w:t>
      </w:r>
    </w:p>
    <w:p>
      <w:pPr>
        <w:sectPr>
          <w:pgSz w:w="11900" w:h="16838" w:orient="portrait"/>
          <w:cols w:equalWidth="0" w:num="1">
            <w:col w:w="11280"/>
          </w:cols>
          <w:pgMar w:left="300" w:top="123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92075</wp:posOffset>
            </wp:positionV>
            <wp:extent cx="1572895" cy="648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2895"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From time to time, we may issue, in one or more series or classes, an indeterminate number of shares of our common stock, preferred stock, debt securities, warrants and/or units, at prices and on terms that we will determine at the time of the offering.</w:t>
      </w:r>
    </w:p>
    <w:p>
      <w:pPr>
        <w:spacing w:after="0" w:line="8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spacing w:after="0" w:line="8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You should read this prospectus, the applicable prospectus supplement and any related free writing prospectus carefully, as well as any documents incorporated by reference, before you invest in any of the securities being offered.</w:t>
      </w:r>
    </w:p>
    <w:p>
      <w:pPr>
        <w:spacing w:after="0" w:line="8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Our shares of common stock are listed on the Nasdaq Global Select Market under the symbol “SYRE.” The last reported sale price of our common stock on the Nasdaq Global Select Market on June 25, 2026 was $88.67 per share. We recommend that you obtain current market quotations for our common stock prior to making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2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color w:val="auto"/>
        </w:rPr>
        <w:t xml:space="preserve">” contained in this prospectus beginning on page </w:t>
      </w:r>
      <w:r>
        <w:rPr>
          <w:rFonts w:ascii="Times New Roman" w:cs="Times New Roman" w:eastAsia="Times New Roman" w:hAnsi="Times New Roman"/>
          <w:sz w:val="14"/>
          <w:szCs w:val="14"/>
          <w:u w:val="single" w:color="auto"/>
          <w:color w:val="0000FF"/>
        </w:rPr>
        <w:t>5</w:t>
      </w:r>
      <w:r>
        <w:rPr>
          <w:rFonts w:ascii="Times New Roman" w:cs="Times New Roman" w:eastAsia="Times New Roman" w:hAnsi="Times New Roman"/>
          <w:sz w:val="14"/>
          <w:szCs w:val="14"/>
          <w:color w:val="auto"/>
        </w:rPr>
        <w:t xml:space="preserve"> and any applicable prospectus supplement, and under similar headings in the other documents that are incorporated by reference into this prospectus.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Any representation to the contrary is a criminal offense.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60" w:type="dxa"/>
            <w:vAlign w:val="bottom"/>
            <w:gridSpan w:val="3"/>
          </w:tcPr>
          <w:p>
            <w:pPr>
              <w:jc w:val="right"/>
              <w:ind w:right="483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89"/>
        </w:trPr>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6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470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0000FF"/>
              </w:rPr>
              <w:t>ABOUT THIS PROSPECTUS</w:t>
            </w:r>
          </w:p>
        </w:tc>
        <w:tc>
          <w:tcPr>
            <w:tcW w:w="5700" w:type="dxa"/>
            <w:vAlign w:val="bottom"/>
          </w:tcPr>
          <w:p>
            <w:pPr>
              <w:spacing w:after="0"/>
              <w:rPr>
                <w:sz w:val="12"/>
                <w:szCs w:val="12"/>
                <w:color w:val="auto"/>
              </w:rPr>
            </w:pPr>
          </w:p>
        </w:tc>
        <w:tc>
          <w:tcPr>
            <w:tcW w:w="8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4"/>
                <w:szCs w:val="14"/>
                <w:color w:val="0000FF"/>
                <w:w w:val="96"/>
              </w:rPr>
              <w:t>CAUTIONARY NOTE CONCERNING FORWARD-LOOKING STATEMENTS</w:t>
            </w:r>
          </w:p>
        </w:tc>
        <w:tc>
          <w:tcPr>
            <w:tcW w:w="180" w:type="dxa"/>
            <w:vAlign w:val="bottom"/>
          </w:tcPr>
          <w:p>
            <w:pPr>
              <w:spacing w:after="0"/>
              <w:rPr>
                <w:sz w:val="13"/>
                <w:szCs w:val="13"/>
                <w:color w:val="auto"/>
              </w:rPr>
            </w:pPr>
          </w:p>
        </w:tc>
        <w:tc>
          <w:tcPr>
            <w:tcW w:w="64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w:t>
            </w:r>
          </w:p>
        </w:tc>
      </w:tr>
      <w:tr>
        <w:trPr>
          <w:trHeight w:val="155"/>
        </w:trPr>
        <w:tc>
          <w:tcPr>
            <w:tcW w:w="20" w:type="dxa"/>
            <w:vAlign w:val="bottom"/>
          </w:tcPr>
          <w:p>
            <w:pPr>
              <w:spacing w:after="0"/>
              <w:rPr>
                <w:sz w:val="13"/>
                <w:szCs w:val="13"/>
                <w:color w:val="auto"/>
              </w:rPr>
            </w:pPr>
          </w:p>
        </w:tc>
        <w:tc>
          <w:tcPr>
            <w:tcW w:w="980" w:type="dxa"/>
            <w:vAlign w:val="bottom"/>
            <w:tcBorders>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4"/>
                <w:szCs w:val="14"/>
                <w:color w:val="0000FF"/>
                <w:w w:val="95"/>
              </w:rPr>
              <w:t>THE COMPANY</w:t>
            </w:r>
          </w:p>
        </w:tc>
        <w:tc>
          <w:tcPr>
            <w:tcW w:w="3720" w:type="dxa"/>
            <w:vAlign w:val="bottom"/>
            <w:gridSpan w:val="10"/>
          </w:tcPr>
          <w:p>
            <w:pPr>
              <w:spacing w:after="0"/>
              <w:rPr>
                <w:sz w:val="13"/>
                <w:szCs w:val="13"/>
                <w:color w:val="auto"/>
              </w:rPr>
            </w:pPr>
          </w:p>
        </w:tc>
        <w:tc>
          <w:tcPr>
            <w:tcW w:w="64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w:t>
            </w:r>
          </w:p>
        </w:tc>
      </w:tr>
      <w:tr>
        <w:trPr>
          <w:trHeight w:val="155"/>
        </w:trPr>
        <w:tc>
          <w:tcPr>
            <w:tcW w:w="2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w w:val="95"/>
              </w:rPr>
              <w:t>RISK FACTORS</w:t>
            </w:r>
          </w:p>
        </w:tc>
        <w:tc>
          <w:tcPr>
            <w:tcW w:w="3740" w:type="dxa"/>
            <w:vAlign w:val="bottom"/>
            <w:gridSpan w:val="11"/>
          </w:tcPr>
          <w:p>
            <w:pPr>
              <w:spacing w:after="0"/>
              <w:rPr>
                <w:sz w:val="13"/>
                <w:szCs w:val="13"/>
                <w:color w:val="auto"/>
              </w:rPr>
            </w:pPr>
          </w:p>
        </w:tc>
        <w:tc>
          <w:tcPr>
            <w:tcW w:w="64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w:t>
            </w:r>
          </w:p>
        </w:tc>
      </w:tr>
      <w:tr>
        <w:trPr>
          <w:trHeight w:val="155"/>
        </w:trPr>
        <w:tc>
          <w:tcPr>
            <w:tcW w:w="20" w:type="dxa"/>
            <w:vAlign w:val="bottom"/>
          </w:tcPr>
          <w:p>
            <w:pPr>
              <w:spacing w:after="0"/>
              <w:rPr>
                <w:sz w:val="13"/>
                <w:szCs w:val="13"/>
                <w:color w:val="auto"/>
              </w:rPr>
            </w:pPr>
          </w:p>
        </w:tc>
        <w:tc>
          <w:tcPr>
            <w:tcW w:w="470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USE OF PROCEEDS</w:t>
            </w: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SECURITIES WE MAY OFFER</w:t>
            </w: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920" w:type="dxa"/>
            <w:vAlign w:val="bottom"/>
            <w:tcBorders>
              <w:bottom w:val="single" w:sz="8" w:color="0000FF"/>
            </w:tcBorders>
            <w:gridSpan w:val="9"/>
          </w:tcPr>
          <w:p>
            <w:pPr>
              <w:spacing w:after="0" w:line="155" w:lineRule="exact"/>
              <w:rPr>
                <w:sz w:val="20"/>
                <w:szCs w:val="20"/>
                <w:color w:val="auto"/>
              </w:rPr>
            </w:pPr>
            <w:r>
              <w:rPr>
                <w:rFonts w:ascii="Times New Roman" w:cs="Times New Roman" w:eastAsia="Times New Roman" w:hAnsi="Times New Roman"/>
                <w:sz w:val="14"/>
                <w:szCs w:val="14"/>
                <w:color w:val="0000FF"/>
                <w:w w:val="97"/>
              </w:rPr>
              <w:t>DESCRIPTION OF SECURITIES</w:t>
            </w:r>
          </w:p>
        </w:tc>
        <w:tc>
          <w:tcPr>
            <w:tcW w:w="2780" w:type="dxa"/>
            <w:vAlign w:val="bottom"/>
            <w:gridSpan w:val="4"/>
          </w:tcPr>
          <w:p>
            <w:pPr>
              <w:spacing w:after="0"/>
              <w:rPr>
                <w:sz w:val="13"/>
                <w:szCs w:val="13"/>
                <w:color w:val="auto"/>
              </w:rPr>
            </w:pPr>
          </w:p>
        </w:tc>
        <w:tc>
          <w:tcPr>
            <w:tcW w:w="64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8</w:t>
            </w:r>
          </w:p>
        </w:tc>
      </w:tr>
      <w:tr>
        <w:trPr>
          <w:trHeight w:val="155"/>
        </w:trPr>
        <w:tc>
          <w:tcPr>
            <w:tcW w:w="20" w:type="dxa"/>
            <w:vAlign w:val="bottom"/>
          </w:tcPr>
          <w:p>
            <w:pPr>
              <w:spacing w:after="0"/>
              <w:rPr>
                <w:sz w:val="13"/>
                <w:szCs w:val="13"/>
                <w:color w:val="auto"/>
              </w:rPr>
            </w:pPr>
          </w:p>
        </w:tc>
        <w:tc>
          <w:tcPr>
            <w:tcW w:w="470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PLAN OF DISTRIBUTION</w:t>
            </w: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19</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color w:val="0000FF"/>
              </w:rPr>
              <w:t>LEGAL MATTERS</w:t>
            </w:r>
          </w:p>
        </w:tc>
        <w:tc>
          <w:tcPr>
            <w:tcW w:w="3140" w:type="dxa"/>
            <w:vAlign w:val="bottom"/>
            <w:gridSpan w:val="7"/>
          </w:tcPr>
          <w:p>
            <w:pPr>
              <w:spacing w:after="0"/>
              <w:rPr>
                <w:sz w:val="13"/>
                <w:szCs w:val="13"/>
                <w:color w:val="auto"/>
              </w:rPr>
            </w:pP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EXPERTS</w:t>
            </w:r>
          </w:p>
        </w:tc>
        <w:tc>
          <w:tcPr>
            <w:tcW w:w="3600" w:type="dxa"/>
            <w:vAlign w:val="bottom"/>
            <w:gridSpan w:val="9"/>
          </w:tcPr>
          <w:p>
            <w:pPr>
              <w:spacing w:after="0"/>
              <w:rPr>
                <w:sz w:val="13"/>
                <w:szCs w:val="13"/>
                <w:color w:val="auto"/>
              </w:rPr>
            </w:pP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20" w:type="dxa"/>
            <w:vAlign w:val="bottom"/>
            <w:gridSpan w:val="10"/>
          </w:tcPr>
          <w:p>
            <w:pPr>
              <w:spacing w:after="0" w:line="155"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80" w:type="dxa"/>
            <w:vAlign w:val="bottom"/>
            <w:gridSpan w:val="3"/>
          </w:tcPr>
          <w:p>
            <w:pPr>
              <w:spacing w:after="0"/>
              <w:rPr>
                <w:sz w:val="13"/>
                <w:szCs w:val="13"/>
                <w:color w:val="auto"/>
              </w:rPr>
            </w:pP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20" w:type="dxa"/>
            <w:vAlign w:val="bottom"/>
          </w:tcPr>
          <w:p>
            <w:pPr>
              <w:spacing w:after="0" w:line="20" w:lineRule="exact"/>
              <w:rPr>
                <w:sz w:val="1"/>
                <w:szCs w:val="1"/>
                <w:color w:val="auto"/>
              </w:rPr>
            </w:pPr>
          </w:p>
        </w:tc>
        <w:tc>
          <w:tcPr>
            <w:tcW w:w="2920" w:type="dxa"/>
            <w:vAlign w:val="bottom"/>
            <w:gridSpan w:val="10"/>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gridSpan w:val="11"/>
          </w:tcPr>
          <w:p>
            <w:pPr>
              <w:spacing w:after="0" w:line="155" w:lineRule="exact"/>
              <w:rPr>
                <w:sz w:val="20"/>
                <w:szCs w:val="20"/>
                <w:color w:val="auto"/>
              </w:rPr>
            </w:pPr>
            <w:r>
              <w:rPr>
                <w:rFonts w:ascii="Times New Roman" w:cs="Times New Roman" w:eastAsia="Times New Roman" w:hAnsi="Times New Roman"/>
                <w:sz w:val="14"/>
                <w:szCs w:val="14"/>
                <w:color w:val="0000FF"/>
                <w:w w:val="96"/>
              </w:rPr>
              <w:t>INCORPORATION OF CERTAIN INFORMATION BY REFERENCE</w:t>
            </w:r>
          </w:p>
        </w:tc>
        <w:tc>
          <w:tcPr>
            <w:tcW w:w="740" w:type="dxa"/>
            <w:vAlign w:val="bottom"/>
            <w:gridSpan w:val="2"/>
          </w:tcPr>
          <w:p>
            <w:pPr>
              <w:spacing w:after="0"/>
              <w:rPr>
                <w:sz w:val="13"/>
                <w:szCs w:val="13"/>
                <w:color w:val="auto"/>
              </w:rPr>
            </w:pPr>
          </w:p>
        </w:tc>
        <w:tc>
          <w:tcPr>
            <w:tcW w:w="65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0000FF"/>
              </w:rPr>
              <w:t>22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1238" w:right="3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This prospectus is a part of an automatic shelf registration statement on Form S-3ASR that we filed with the Securities and Exchange Commission (the “SEC” or the “Commission”) as a “well-known seasoned issuer,” as defined in Rule 405 under the Securities Act of 1933, as amended (the “Securities Act”), utilizing a “shelf” registration process. Under this shelf registration process, we may sell any combination of the securities described in this prospectus in one or more offerings. This prospectus provides you with a general description of the securities we may offer.</w:t>
      </w:r>
    </w:p>
    <w:p>
      <w:pPr>
        <w:spacing w:after="0" w:line="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3"/>
          <w:szCs w:val="13"/>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of Certain Information by Reference.”</w:t>
      </w:r>
    </w:p>
    <w:p>
      <w:pPr>
        <w:spacing w:after="0" w:line="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98" w:lineRule="exact"/>
        <w:rPr>
          <w:sz w:val="20"/>
          <w:szCs w:val="20"/>
          <w:color w:val="auto"/>
        </w:rPr>
      </w:pPr>
    </w:p>
    <w:p>
      <w:pPr>
        <w:ind w:right="640"/>
        <w:spacing w:after="0" w:line="272" w:lineRule="auto"/>
        <w:rPr>
          <w:sz w:val="20"/>
          <w:szCs w:val="20"/>
          <w:color w:val="auto"/>
        </w:rPr>
      </w:pPr>
      <w:r>
        <w:rPr>
          <w:rFonts w:ascii="Times New Roman" w:cs="Times New Roman" w:eastAsia="Times New Roman" w:hAnsi="Times New Roman"/>
          <w:sz w:val="14"/>
          <w:szCs w:val="14"/>
          <w:color w:val="auto"/>
        </w:rPr>
        <w:t>In this prospectus, unless the context otherwise requires, the terms “Spyre,” “Aeglea BioTherapeutics, Inc.,” the “Company,” “we,” “us,” and “our” refer to Spyre Therapeutics, Inc., a Delaware corporation, and its consolidated subsidiaries taken as a whole.</w:t>
      </w:r>
    </w:p>
    <w:p>
      <w:pPr>
        <w:spacing w:after="0" w:line="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“Spyre” and all product candidate names are our common law trademarks.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w:t>
      </w:r>
    </w:p>
    <w:p>
      <w:pPr>
        <w:spacing w:after="0" w:line="98"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All references to “our product candidates,” “our programs” and “our pipeline” in this prospectus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w:t>
      </w:r>
    </w:p>
    <w:p>
      <w:pPr>
        <w:spacing w:after="0" w:line="98"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Please be advised that on September 8, 2023, we effected a reverse stock split of our common stock at a ratio of 1-for-25 (the “Reverse Split”). Except as indicated otherwise, all share numbers related to our common stock disclosed in this prospectus have been adjusted on a post-Reverse Split basis. In addition, on November 28, 2023, we changed our name from “Aeglea BioTherapeutics, Inc.” to “Spyre Therapeutics,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0"/>
          </w:cols>
          <w:pgMar w:left="300" w:top="123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All statements contained in this prospectus, other than statements of historical fact, including, without limitation, statements regarding any future payouts under our contingent value rights issued in connection with the acquisition of Spyre Therapeutics, Inc. (“Pre-Merger Spyre”)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and combinations thereof, including the potential for a Q3M-Q6M dosing profile and the potential for such dosing profile to be the leading product profile in IBD and RD; our non-clinical and clinical development activities, including our plans for and timing of cohort initiation and data readouts for the ongoing SKYWAY Phase 2 basket trial and SKYLINE Phase 2 platform trial, enrollment of clinical trials,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heading “Risk Factors” in this prospectus and in the documents incorporated by reference in this prospectus and the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105"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prospectus. While we believe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238" w:right="33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4"/>
          <w:szCs w:val="14"/>
          <w:color w:val="auto"/>
        </w:rPr>
        <w:t>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and registration statement also contain or incorporate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00" w:top="1242"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committed to developing next-generation therapies that elevate the standard in immunology by delivering more complete disease control, greater durability, and a simpler treatment experience for patients. Our pipeline includes investigational extended half-life antibodies targeting α4β7, TL1A, and IL-23 in development as monotherapies and pair-wise combinations.</w:t>
      </w:r>
    </w:p>
    <w:p>
      <w:pPr>
        <w:spacing w:after="0" w:line="9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For more information about our business, please see our most recent Annual Report on Form 10-K, as supplemented and updated by subsequent Quarterly Reports on Form 10-Q and Current Reports on Form 8-K that we have filed or will file with the SEC, and in other documents that are incorporated by reference into this prospectus.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were formed as a Limited Liability Company (“LLC”) in Delaware on December 16, 2013 under the name Aeglea BioTherapeutics Holdings, LLC and were converted from a Delaware LLC to a Delaware corporation on March 10, 2015. On June 22, 2023, we completed the acquisition of Pre-Merger Spyre, and on November 27, 2023, we completed our corporate rebranding, changing our name to Spyre Therapeutics, Inc.</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221 Crescent Street, Building 23, Suite 105, Waltham, MA 02453 and our telephone number is (617) 651-5940. Our website is </w:t>
      </w:r>
      <w:r>
        <w:rPr>
          <w:rFonts w:ascii="Times New Roman" w:cs="Times New Roman" w:eastAsia="Times New Roman" w:hAnsi="Times New Roman"/>
          <w:sz w:val="14"/>
          <w:szCs w:val="14"/>
          <w:i w:val="1"/>
          <w:iCs w:val="1"/>
          <w:color w:val="auto"/>
        </w:rPr>
        <w:t>www.spyre.com</w:t>
      </w:r>
      <w:r>
        <w:rPr>
          <w:rFonts w:ascii="Times New Roman" w:cs="Times New Roman" w:eastAsia="Times New Roman" w:hAnsi="Times New Roman"/>
          <w:sz w:val="14"/>
          <w:szCs w:val="14"/>
          <w:color w:val="auto"/>
        </w:rPr>
        <w:t>. The information on, or that can be accessed through, our website is not part of this prospectus and is not incorporated by reference herein.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38"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about our SEC filings, please see “Where You Can Find More Information” and “Incorporation of Certain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1238" w:right="33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to continue to advance our programs in IBD and RD, including to fund preclinical studies, clinical trials and manufacturing in support of our antibody programs.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in-licensed or acquired technologies and products. Any remaining proceeds will be used for other ongoing research and development, working capital and other general corporate purposes.</w:t>
      </w:r>
    </w:p>
    <w:p>
      <w:pPr>
        <w:spacing w:after="0" w:line="105"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3"/>
          <w:szCs w:val="13"/>
          <w:color w:val="auto"/>
        </w:rPr>
        <w:t>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w:t>
      </w:r>
    </w:p>
    <w:p>
      <w:pPr>
        <w:spacing w:after="0" w:line="67"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3"/>
          <w:szCs w:val="13"/>
          <w:color w:val="auto"/>
        </w:rPr>
        <w:t>Pending the use of the net proceeds, we may invest the proceeds in interest-bearing, investment-grade securities, certificates of deposit, money market funds or government securities. When we offer and sell the securities to which this prospectus relates, the prospectus supplement related to such offering will set forth our intended use of the proceeds, if any, received from the sale of such securities.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00"/>
          </w:cols>
          <w:pgMar w:left="300" w:top="1238" w:right="399" w:bottom="1440"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SECURITIES WE MAY OFFER</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000"/>
          </w:cols>
          <w:pgMar w:left="300" w:top="1238" w:right="5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3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The following is a summary of the material terms of our capital stock, as well as other material terms of our second amended and restated certificate of incorporation (as amended from time to time, our “Certificate of Incorporation”) and our amended and restated bylaws (as amended from time to time, our “Bylaws”) and certain provisions of Delaware law. This summary does not purport to be complete and is qualified in its entirety by the provisions of our Certificate of Incorporation and our Bylaws. For more information on how you can obtain copies of our Certificate of Incorporation and our Bylaws, see the heading “Where You Can Find More Information.”</w:t>
      </w:r>
    </w:p>
    <w:p>
      <w:pPr>
        <w:spacing w:after="0" w:line="1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authorized capital stock consists of 400,000,000 shares of common stock, $0.0001 par value per share, and 10,000,000 shares of preferred stock, $0.0001 par value per share, of which 1,086,341 shares have been designated as Series A Non-Voting Convertible Preferred Stock, $0.0001 par value per share (“Series A Preferred Stock”), and 271,625 shares have been designated as Series B Non-Voting Convertible Preferred Stock, $0.0001 par value per share (“Series B Preferred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24, 2026, there were 87,936,477 shares of our common stock, 346,045 shares of Series A Preferred Stock and no shares of Series B Preferred Stock outstanding.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Certificate of Incorporation authorizes the issuance of up to 400,000,000 shares of common stock. All outstanding shares of common stock are validly issued, fully paid and nonassessable.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conversion, redemption or sinking fund provisions.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13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terms of our Certificate of Incorporation, our board of directors is authorized, subject to limitations prescribed by Delaware law, to issue up to 10,000,000 shares of preferred stock in one or more series, to establish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238" w:right="319" w:bottom="1440" w:gutter="0" w:footer="0" w:header="0"/>
        </w:sectPr>
      </w:pPr>
    </w:p>
    <w:bookmarkStart w:id="12" w:name="page13"/>
    <w:bookmarkEnd w:id="12"/>
    <w:p>
      <w:pPr>
        <w:ind w:right="20"/>
        <w:spacing w:after="0" w:line="251" w:lineRule="auto"/>
        <w:rPr>
          <w:sz w:val="20"/>
          <w:szCs w:val="20"/>
          <w:color w:val="auto"/>
        </w:rPr>
      </w:pPr>
      <w:r>
        <w:rPr>
          <w:rFonts w:ascii="Times New Roman" w:cs="Times New Roman" w:eastAsia="Times New Roman" w:hAnsi="Times New Roman"/>
          <w:sz w:val="14"/>
          <w:szCs w:val="14"/>
          <w:color w:val="auto"/>
        </w:rPr>
        <w:t>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32"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3"/>
          <w:szCs w:val="13"/>
          <w:color w:val="auto"/>
        </w:rPr>
        <w:t>We are subject to the provisions of Section 203 of the Delaware General Corporation Law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67" w:lineRule="exact"/>
        <w:rPr>
          <w:sz w:val="20"/>
          <w:szCs w:val="20"/>
          <w:color w:val="auto"/>
        </w:rPr>
      </w:pPr>
    </w:p>
    <w:p>
      <w:pPr>
        <w:ind w:left="500" w:right="280" w:hanging="250"/>
        <w:spacing w:after="0" w:line="272"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of the transaction, the board of directors of the corporation approved either the business combination or the transaction that resulted in the stockholder becoming an interested stockholder;</w:t>
      </w:r>
    </w:p>
    <w:p>
      <w:pPr>
        <w:spacing w:after="0" w:line="89" w:lineRule="exact"/>
        <w:rPr>
          <w:rFonts w:ascii="Times New Roman" w:cs="Times New Roman" w:eastAsia="Times New Roman" w:hAnsi="Times New Roman"/>
          <w:sz w:val="14"/>
          <w:szCs w:val="14"/>
          <w:color w:val="auto"/>
        </w:rPr>
      </w:pPr>
    </w:p>
    <w:p>
      <w:pPr>
        <w:ind w:left="500" w:right="120" w:hanging="250"/>
        <w:spacing w:after="0" w:line="275" w:lineRule="auto"/>
        <w:tabs>
          <w:tab w:leader="none" w:pos="497"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w:t>
      </w:r>
    </w:p>
    <w:p>
      <w:pPr>
        <w:spacing w:after="0" w:line="1" w:lineRule="exact"/>
        <w:rPr>
          <w:rFonts w:ascii="Times New Roman" w:cs="Times New Roman" w:eastAsia="Times New Roman" w:hAnsi="Times New Roman"/>
          <w:sz w:val="13"/>
          <w:szCs w:val="13"/>
          <w:color w:val="auto"/>
        </w:rPr>
      </w:pPr>
    </w:p>
    <w:p>
      <w:pPr>
        <w:ind w:left="500" w:right="22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02" w:lineRule="exact"/>
        <w:rPr>
          <w:rFonts w:ascii="Times New Roman" w:cs="Times New Roman" w:eastAsia="Times New Roman" w:hAnsi="Times New Roman"/>
          <w:sz w:val="13"/>
          <w:szCs w:val="13"/>
          <w:color w:val="auto"/>
        </w:rPr>
      </w:pPr>
    </w:p>
    <w:p>
      <w:pPr>
        <w:ind w:left="500" w:hanging="250"/>
        <w:spacing w:after="0" w:line="272"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128" w:lineRule="exact"/>
        <w:rPr>
          <w:sz w:val="20"/>
          <w:szCs w:val="20"/>
          <w:color w:val="auto"/>
        </w:rPr>
      </w:pPr>
    </w:p>
    <w:p>
      <w:pPr>
        <w:ind w:left="500" w:hanging="25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involving the interested stockholder of 10% or more of the assets of the corporation;</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128" w:lineRule="exact"/>
        <w:rPr>
          <w:rFonts w:ascii="Times New Roman" w:cs="Times New Roman" w:eastAsia="Times New Roman" w:hAnsi="Times New Roman"/>
          <w:sz w:val="14"/>
          <w:szCs w:val="14"/>
          <w:color w:val="auto"/>
        </w:rPr>
      </w:pPr>
    </w:p>
    <w:p>
      <w:pPr>
        <w:ind w:left="500" w:right="540" w:hanging="250"/>
        <w:spacing w:after="0" w:line="272" w:lineRule="auto"/>
        <w:tabs>
          <w:tab w:leader="none" w:pos="4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of any class or series of the corporation beneficially owned by the interested stockholder;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60"/>
          </w:cols>
          <w:pgMar w:left="300" w:top="1242" w:right="339" w:bottom="1440" w:gutter="0" w:footer="0" w:header="0"/>
        </w:sectPr>
      </w:pPr>
    </w:p>
    <w:bookmarkStart w:id="13" w:name="page14"/>
    <w:bookmarkEnd w:id="13"/>
    <w:p>
      <w:pPr>
        <w:ind w:left="500" w:hanging="250"/>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8"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Certificate of Incorporation and Bylaw Provisions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Certificate of Incorporation and our Bylaws include a number of provisions that could deter hostile takeovers or delay or prevent changes in control of our company, including the following:</w:t>
      </w:r>
    </w:p>
    <w:p>
      <w:pPr>
        <w:spacing w:after="0" w:line="128" w:lineRule="exact"/>
        <w:rPr>
          <w:sz w:val="20"/>
          <w:szCs w:val="20"/>
          <w:color w:val="auto"/>
        </w:rPr>
      </w:pPr>
    </w:p>
    <w:p>
      <w:pPr>
        <w:ind w:left="500" w:right="60" w:hanging="250"/>
        <w:spacing w:after="0" w:line="280" w:lineRule="auto"/>
        <w:tabs>
          <w:tab w:leader="none" w:pos="49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Board of Directors vacancies</w:t>
      </w:r>
      <w:r>
        <w:rPr>
          <w:rFonts w:ascii="Times New Roman" w:cs="Times New Roman" w:eastAsia="Times New Roman" w:hAnsi="Times New Roman"/>
          <w:sz w:val="13"/>
          <w:szCs w:val="13"/>
          <w:color w:val="auto"/>
        </w:rPr>
        <w:t>. Our Certificate of Incorporation and Bylaws authorize our board of directors to fill vacant directorships, including newly created seats unless the board of directors determines that any such vacancies shall be filled by the stockholders.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6" w:lineRule="exact"/>
        <w:rPr>
          <w:rFonts w:ascii="Times New Roman" w:cs="Times New Roman" w:eastAsia="Times New Roman" w:hAnsi="Times New Roman"/>
          <w:sz w:val="13"/>
          <w:szCs w:val="13"/>
          <w:color w:val="auto"/>
        </w:rPr>
      </w:pPr>
    </w:p>
    <w:p>
      <w:pPr>
        <w:ind w:left="500" w:right="120" w:hanging="250"/>
        <w:spacing w:after="0" w:line="259"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Classified board</w:t>
      </w:r>
      <w:r>
        <w:rPr>
          <w:rFonts w:ascii="Times New Roman" w:cs="Times New Roman" w:eastAsia="Times New Roman" w:hAnsi="Times New Roman"/>
          <w:sz w:val="14"/>
          <w:szCs w:val="14"/>
          <w:color w:val="auto"/>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98" w:lineRule="exact"/>
        <w:rPr>
          <w:rFonts w:ascii="Times New Roman" w:cs="Times New Roman" w:eastAsia="Times New Roman" w:hAnsi="Times New Roman"/>
          <w:sz w:val="14"/>
          <w:szCs w:val="14"/>
          <w:color w:val="auto"/>
        </w:rPr>
      </w:pPr>
    </w:p>
    <w:p>
      <w:pPr>
        <w:ind w:left="500" w:hanging="250"/>
        <w:spacing w:after="0" w:line="251"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action; special meetings of stockholders</w:t>
      </w:r>
      <w:r>
        <w:rPr>
          <w:rFonts w:ascii="Times New Roman" w:cs="Times New Roman" w:eastAsia="Times New Roman" w:hAnsi="Times New Roman"/>
          <w:sz w:val="14"/>
          <w:szCs w:val="14"/>
          <w:color w:val="auto"/>
        </w:rPr>
        <w:t>. Our Certificate of Incorporation and Bylaws provide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Certificate of Incorporation and Bylaws provide that special meetings of our stockholders may be called only by a majority of our entire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04" w:lineRule="exact"/>
        <w:rPr>
          <w:rFonts w:ascii="Times New Roman" w:cs="Times New Roman" w:eastAsia="Times New Roman" w:hAnsi="Times New Roman"/>
          <w:sz w:val="14"/>
          <w:szCs w:val="14"/>
          <w:color w:val="auto"/>
        </w:rPr>
      </w:pPr>
    </w:p>
    <w:p>
      <w:pPr>
        <w:ind w:left="500" w:hanging="250"/>
        <w:spacing w:after="0" w:line="252"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 notice requirements for stockholder proposals and director nominations</w:t>
      </w:r>
      <w:r>
        <w:rPr>
          <w:rFonts w:ascii="Times New Roman" w:cs="Times New Roman" w:eastAsia="Times New Roman" w:hAnsi="Times New Roman"/>
          <w:sz w:val="14"/>
          <w:szCs w:val="14"/>
          <w:color w:val="auto"/>
        </w:rPr>
        <w:t>. 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04" w:lineRule="exact"/>
        <w:rPr>
          <w:rFonts w:ascii="Times New Roman" w:cs="Times New Roman" w:eastAsia="Times New Roman" w:hAnsi="Times New Roman"/>
          <w:sz w:val="14"/>
          <w:szCs w:val="14"/>
          <w:color w:val="auto"/>
        </w:rPr>
      </w:pPr>
    </w:p>
    <w:p>
      <w:pPr>
        <w:ind w:left="500" w:right="180" w:hanging="250"/>
        <w:spacing w:after="0" w:line="272"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cumulative voting</w:t>
      </w:r>
      <w:r>
        <w:rPr>
          <w:rFonts w:ascii="Times New Roman" w:cs="Times New Roman" w:eastAsia="Times New Roman" w:hAnsi="Times New Roman"/>
          <w:sz w:val="14"/>
          <w:szCs w:val="14"/>
          <w:color w:val="auto"/>
        </w:rPr>
        <w:t>. The DGCL provides that stockholders are not entitled to the right to cumulate votes in the election of directors unless a corporation’s certificate of incorporation provides otherwise. Our Certificate of Incorporation and Bylaws do not provide for cumulative voting.</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Directors removed only for cause</w:t>
      </w:r>
      <w:r>
        <w:rPr>
          <w:rFonts w:ascii="Times New Roman" w:cs="Times New Roman" w:eastAsia="Times New Roman" w:hAnsi="Times New Roman"/>
          <w:sz w:val="14"/>
          <w:szCs w:val="14"/>
          <w:color w:val="auto"/>
        </w:rPr>
        <w:t>. Our Certificate of Incorporation provides that stockholders may remove directors only for cause.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 of charter provisions</w:t>
      </w:r>
      <w:r>
        <w:rPr>
          <w:rFonts w:ascii="Times New Roman" w:cs="Times New Roman" w:eastAsia="Times New Roman" w:hAnsi="Times New Roman"/>
          <w:sz w:val="13"/>
          <w:szCs w:val="13"/>
          <w:color w:val="auto"/>
        </w:rPr>
        <w:t>. Any amendment of the above provisions in our Certificate of Incorporation requires approval by holders of at least two-thirds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42" w:right="31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4"/>
          <w:szCs w:val="14"/>
          <w:color w:val="auto"/>
        </w:rPr>
        <w:t>provided that if two-thirds of our entire board of directors approves such an amendment, then only the approval of a majority of holders is required.</w:t>
      </w:r>
    </w:p>
    <w:p>
      <w:pPr>
        <w:spacing w:after="0" w:line="128" w:lineRule="exact"/>
        <w:rPr>
          <w:sz w:val="20"/>
          <w:szCs w:val="20"/>
          <w:color w:val="auto"/>
        </w:rPr>
      </w:pPr>
    </w:p>
    <w:p>
      <w:pPr>
        <w:jc w:val="both"/>
        <w:ind w:left="500" w:right="240" w:hanging="250"/>
        <w:spacing w:after="0" w:line="259" w:lineRule="auto"/>
        <w:tabs>
          <w:tab w:leader="none" w:pos="49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preferred stock</w:t>
      </w:r>
      <w:r>
        <w:rPr>
          <w:rFonts w:ascii="Times New Roman" w:cs="Times New Roman" w:eastAsia="Times New Roman" w:hAnsi="Times New Roman"/>
          <w:sz w:val="14"/>
          <w:szCs w:val="14"/>
          <w:color w:val="auto"/>
        </w:rPr>
        <w:t>. Our board of directors has the authority, without further action by the stockholders, to issue up to 10,000,000 shares of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spacing w:after="0" w:line="98" w:lineRule="exact"/>
        <w:rPr>
          <w:rFonts w:ascii="Times New Roman" w:cs="Times New Roman" w:eastAsia="Times New Roman" w:hAnsi="Times New Roman"/>
          <w:sz w:val="14"/>
          <w:szCs w:val="14"/>
          <w:color w:val="auto"/>
        </w:rPr>
      </w:pPr>
    </w:p>
    <w:p>
      <w:pPr>
        <w:ind w:left="500" w:hanging="250"/>
        <w:spacing w:after="0" w:line="252" w:lineRule="auto"/>
        <w:tabs>
          <w:tab w:leader="none" w:pos="49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Choice of forum</w:t>
      </w:r>
      <w:r>
        <w:rPr>
          <w:rFonts w:ascii="Times New Roman" w:cs="Times New Roman" w:eastAsia="Times New Roman" w:hAnsi="Times New Roman"/>
          <w:sz w:val="14"/>
          <w:szCs w:val="14"/>
          <w:color w:val="auto"/>
        </w:rPr>
        <w:t>. 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In addition, our Bylaws also provide that the federal district courts of the United States is the exclusive forum for the resolution of any complaint asserting a cause of action arising under the Securities Act. These choice of forum provisions will not apply to claims brought to enforce a duty or liability created by the Exchange Act.</w:t>
      </w:r>
    </w:p>
    <w:p>
      <w:pPr>
        <w:spacing w:after="0" w:line="104" w:lineRule="exact"/>
        <w:rPr>
          <w:rFonts w:ascii="Times New Roman" w:cs="Times New Roman" w:eastAsia="Times New Roman" w:hAnsi="Times New Roman"/>
          <w:sz w:val="14"/>
          <w:szCs w:val="14"/>
          <w:color w:val="auto"/>
        </w:rPr>
      </w:pPr>
    </w:p>
    <w:p>
      <w:pPr>
        <w:ind w:left="500" w:right="180" w:hanging="250"/>
        <w:spacing w:after="0" w:line="252" w:lineRule="auto"/>
        <w:tabs>
          <w:tab w:leader="none" w:pos="49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Series A Preferred Stock veto right</w:t>
      </w:r>
      <w:r>
        <w:rPr>
          <w:rFonts w:ascii="Times New Roman" w:cs="Times New Roman" w:eastAsia="Times New Roman" w:hAnsi="Times New Roman"/>
          <w:sz w:val="14"/>
          <w:szCs w:val="14"/>
          <w:color w:val="auto"/>
        </w:rPr>
        <w:t>. Pursuant to our Certificate of Designation of Preferences, Rights and Limitations of Series A Non-Voting Convertible Preferred Stock (the “Series A Certificate of Designation”), we may not, without the affirmative vote of the holders of a majority of the then outstanding shares of our Series A Preferred Stock, while at least 30% of the originally issued Series A Preferred Stock remains issued and outstanding, consummate any Fundamental Transaction (as defined in the Series A Certificate of Designation) or any merger, consolidation, stock sale or other business combination in which our stockholders immediately before such transaction do not hold at least a majority of our capital stock immediately after such transaction.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transfer agent and registrar for our common stock and preferred stock is Equiniti Trust Company, LLC. The transfer agent’s address is 6201 15th Avenue, Brooklyn, New York 11219, and its telephone number is (800) 937-5449.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“SYRE.”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3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0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If we issue debt securities at a discount from their principal amount, then, for purposes of calculating the aggregate initial offering price of the offered debt securities issued under this prospectus, we will include only the initial offering price of the debt securities and not the principal amount of the debt securities.</w:t>
      </w:r>
    </w:p>
    <w:p>
      <w:pPr>
        <w:spacing w:after="0" w:line="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have summarized below the material provisions of the indenture, or indicated which material provisions will be described in the related prospectus supplement. The prospectus supplement relating to any particular debt securities offered will describe the specific terms of the debt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42" w:right="319" w:bottom="1440" w:gutter="0" w:footer="0" w:header="0"/>
        </w:sectPr>
      </w:pPr>
    </w:p>
    <w:bookmarkStart w:id="15" w:name="page16"/>
    <w:bookmarkEnd w:id="15"/>
    <w:p>
      <w:pPr>
        <w:ind w:right="160"/>
        <w:spacing w:after="0" w:line="254" w:lineRule="auto"/>
        <w:rPr>
          <w:sz w:val="20"/>
          <w:szCs w:val="20"/>
          <w:color w:val="auto"/>
        </w:rPr>
      </w:pPr>
      <w:r>
        <w:rPr>
          <w:rFonts w:ascii="Times New Roman" w:cs="Times New Roman" w:eastAsia="Times New Roman" w:hAnsi="Times New Roman"/>
          <w:sz w:val="14"/>
          <w:szCs w:val="14"/>
          <w:color w:val="auto"/>
        </w:rPr>
        <w:t>that you may find useful, you should read the documents relating to the debt securities that are described in this prospectus or in any applicable prospectus supplement. Please read “Where You Can Find More Information” in this prospectus to find out how you can obtain a copy of those documents. References below to an “indenture” are references to the indenture, as supplemented, under which a particular series of debt securities is issued. As used under this heading, the term “debt securities” includes the debt securities being offered by this prospectus and all other debt securities issued by us under the indenture.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w:t>
      </w:r>
    </w:p>
    <w:p>
      <w:pPr>
        <w:spacing w:after="0" w:line="128" w:lineRule="exact"/>
        <w:rPr>
          <w:sz w:val="20"/>
          <w:szCs w:val="20"/>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limit the amount of debt securities that we may issue;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allows us to issue debt securities in one or more series;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require us to issue all of the debt securities of a series at the same time; and</w:t>
      </w:r>
    </w:p>
    <w:p>
      <w:pPr>
        <w:spacing w:after="0" w:line="128" w:lineRule="exact"/>
        <w:rPr>
          <w:rFonts w:ascii="Times New Roman" w:cs="Times New Roman" w:eastAsia="Times New Roman" w:hAnsi="Times New Roman"/>
          <w:sz w:val="14"/>
          <w:szCs w:val="14"/>
          <w:color w:val="auto"/>
        </w:rPr>
      </w:pPr>
    </w:p>
    <w:p>
      <w:pPr>
        <w:ind w:right="3520" w:firstLine="250"/>
        <w:spacing w:after="0" w:line="430" w:lineRule="auto"/>
        <w:tabs>
          <w:tab w:leader="none" w:pos="4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allows us to reopen a series to issue additional debt securities without the consent of the holders of the debt securities of such series. The prospectus supplement for each offering of debt securities will provide the following terms, where applicable:</w:t>
      </w:r>
    </w:p>
    <w:p>
      <w:pPr>
        <w:spacing w:after="0" w:line="1"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whether they are senior, senior subordinated or subordinated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 being offered and any limit on their aggregate principal amount, and, if the series is to be issued at a discount from its face amount, the method of computing the accretion of such discount;</w:t>
      </w:r>
    </w:p>
    <w:p>
      <w:pPr>
        <w:spacing w:after="0" w:line="89" w:lineRule="exact"/>
        <w:rPr>
          <w:rFonts w:ascii="Times New Roman" w:cs="Times New Roman" w:eastAsia="Times New Roman" w:hAnsi="Times New Roman"/>
          <w:sz w:val="14"/>
          <w:szCs w:val="14"/>
          <w:color w:val="auto"/>
        </w:rPr>
      </w:pPr>
    </w:p>
    <w:p>
      <w:pPr>
        <w:ind w:left="500" w:hanging="250"/>
        <w:spacing w:after="0" w:line="259" w:lineRule="auto"/>
        <w:tabs>
          <w:tab w:leader="none" w:pos="4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8" w:lineRule="exact"/>
        <w:rPr>
          <w:rFonts w:ascii="Times New Roman" w:cs="Times New Roman" w:eastAsia="Times New Roman" w:hAnsi="Times New Roman"/>
          <w:sz w:val="14"/>
          <w:szCs w:val="14"/>
          <w:color w:val="auto"/>
        </w:rPr>
      </w:pPr>
    </w:p>
    <w:p>
      <w:pPr>
        <w:ind w:left="500" w:right="20" w:hanging="250"/>
        <w:spacing w:after="0" w:line="259" w:lineRule="auto"/>
        <w:tabs>
          <w:tab w:leader="none" w:pos="4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spacing w:after="0" w:line="9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or the method for determining the date or dates, on which the principal of the debt securities will be payable;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fixed or variable interest rate or rates of the debt securities, or the method by which the interest rate or rates is determined;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or the method for determining the date or dates, from which interest will accrue;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dates for interest payment dates, or the method by which we will determine those dates;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persons to whom interest will be payable;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will be calculated if other than that of a 360-day year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42" w:right="319" w:bottom="1440" w:gutter="0" w:footer="0" w:header="0"/>
        </w:sectPr>
      </w:pPr>
    </w:p>
    <w:bookmarkStart w:id="16" w:name="page17"/>
    <w:bookmarkEnd w:id="16"/>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collateral securing the performance of our obligations under the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premium, if any, and interest on, the debt securities will be payable;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debt securities may be surrendered for registration of transfer or conversion or exchange;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notices or demands to or upon us in respect of the debt securities and the applicable indenture may be served;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regarding our right to redeem or purchase debt securities or the right of holders to require us to redeem or purchase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 or obligation we have to redeem, repay or purchase the debt securities pursuant to any sinking fund or analogous provision;</w:t>
      </w:r>
    </w:p>
    <w:p>
      <w:pPr>
        <w:spacing w:after="0" w:line="128" w:lineRule="exact"/>
        <w:rPr>
          <w:rFonts w:ascii="Times New Roman" w:cs="Times New Roman" w:eastAsia="Times New Roman" w:hAnsi="Times New Roman"/>
          <w:sz w:val="14"/>
          <w:szCs w:val="14"/>
          <w:color w:val="auto"/>
        </w:rPr>
      </w:pPr>
    </w:p>
    <w:p>
      <w:pPr>
        <w:ind w:left="500" w:right="180" w:hanging="250"/>
        <w:spacing w:after="0" w:line="252"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spacing w:after="0" w:line="104"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of, premium, if any, or interest on, the debt securities may be determined according to an index, formula or other method and how such amounts will be determined;</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in registered form, bearer form or both, and the terms of these forms;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a global security and, if applicable, the identity of the depositary for such global security;</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electronic issuance of the debt securities or issuance of the debt securities in uncertificated form;</w:t>
      </w:r>
    </w:p>
    <w:p>
      <w:pPr>
        <w:spacing w:after="0" w:line="128" w:lineRule="exact"/>
        <w:rPr>
          <w:rFonts w:ascii="Times New Roman" w:cs="Times New Roman" w:eastAsia="Times New Roman" w:hAnsi="Times New Roman"/>
          <w:sz w:val="14"/>
          <w:szCs w:val="14"/>
          <w:color w:val="auto"/>
        </w:rPr>
      </w:pPr>
    </w:p>
    <w:p>
      <w:pPr>
        <w:ind w:left="500" w:right="140" w:hanging="250"/>
        <w:spacing w:after="0" w:line="272"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the debt securities of such series may be defeased or discharged, if different from the provisions set forth in the indenture for the series to which the supplemental indenture or authorizing resolution relates;</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granting special rights to holders of securities upon the occurrence of such events as specified in the applicable prospectus supplement;</w:t>
      </w:r>
    </w:p>
    <w:p>
      <w:pPr>
        <w:spacing w:after="0" w:line="128" w:lineRule="exact"/>
        <w:rPr>
          <w:rFonts w:ascii="Times New Roman" w:cs="Times New Roman" w:eastAsia="Times New Roman" w:hAnsi="Times New Roman"/>
          <w:sz w:val="14"/>
          <w:szCs w:val="14"/>
          <w:color w:val="auto"/>
        </w:rPr>
      </w:pPr>
    </w:p>
    <w:p>
      <w:pPr>
        <w:ind w:left="500" w:right="520" w:hanging="250"/>
        <w:spacing w:after="0" w:line="272"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from, modifications of, or additions to our events of default or covenants or other provisions set forth in the indenture for the series to which the supplemental indenture or authorizing resolution relates; and</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debt securities, which may be different from the terms set forth in this prospectus.</w:t>
      </w:r>
    </w:p>
    <w:p>
      <w:pPr>
        <w:spacing w:after="0" w:line="12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180"/>
          </w:cols>
          <w:pgMar w:left="300" w:top="1242" w:right="419" w:bottom="1440" w:gutter="0" w:footer="0" w:header="0"/>
        </w:sectPr>
      </w:pPr>
    </w:p>
    <w:bookmarkStart w:id="17" w:name="page18"/>
    <w:bookmarkEnd w:id="17"/>
    <w:p>
      <w:pPr>
        <w:ind w:right="180"/>
        <w:spacing w:after="0" w:line="259" w:lineRule="auto"/>
        <w:rPr>
          <w:sz w:val="20"/>
          <w:szCs w:val="20"/>
          <w:color w:val="auto"/>
        </w:rPr>
      </w:pPr>
      <w:r>
        <w:rPr>
          <w:rFonts w:ascii="Times New Roman" w:cs="Times New Roman" w:eastAsia="Times New Roman" w:hAnsi="Times New Roman"/>
          <w:sz w:val="14"/>
          <w:szCs w:val="14"/>
          <w:color w:val="auto"/>
        </w:rPr>
        <w:t>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98"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4"/>
          <w:szCs w:val="14"/>
          <w:color w:val="auto"/>
        </w:rPr>
        <w:t>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applicable prospectus supplement states otherwise, when we refer to “events of default” as defined in the indentures with respect to any series of debt securities, we mean:</w:t>
      </w:r>
    </w:p>
    <w:p>
      <w:pPr>
        <w:spacing w:after="0" w:line="128" w:lineRule="exact"/>
        <w:rPr>
          <w:sz w:val="20"/>
          <w:szCs w:val="20"/>
          <w:color w:val="auto"/>
        </w:rPr>
      </w:pPr>
    </w:p>
    <w:p>
      <w:pPr>
        <w:ind w:left="500" w:hanging="25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interest on any debt security of such series when the same becomes due and payable and the continuance of any such failure for a period of 30 days;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the principal or premium of any debt security of such series when the same becomes due and payable at maturity, upon acceleration, redemption or otherwise;</w:t>
      </w:r>
    </w:p>
    <w:p>
      <w:pPr>
        <w:spacing w:after="0" w:line="128" w:lineRule="exact"/>
        <w:rPr>
          <w:rFonts w:ascii="Times New Roman" w:cs="Times New Roman" w:eastAsia="Times New Roman" w:hAnsi="Times New Roman"/>
          <w:sz w:val="14"/>
          <w:szCs w:val="14"/>
          <w:color w:val="auto"/>
        </w:rPr>
      </w:pPr>
    </w:p>
    <w:p>
      <w:pPr>
        <w:ind w:left="500" w:hanging="250"/>
        <w:spacing w:after="0" w:line="252"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spacing w:after="0" w:line="104"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occur with respect to us or any restricted subsidiary of ours that is a significant subsidiary (as defined in the indenture).</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w:t>
      </w:r>
    </w:p>
    <w:p>
      <w:pPr>
        <w:spacing w:after="0" w:line="103"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4"/>
          <w:szCs w:val="14"/>
          <w:color w:val="auto"/>
        </w:rPr>
        <w:t>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w:t>
      </w:r>
    </w:p>
    <w:p>
      <w:pPr>
        <w:spacing w:after="0" w:line="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w:t>
      </w:r>
    </w:p>
    <w:p>
      <w:pPr>
        <w:spacing w:after="0" w:line="98"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24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Supplement and Waiver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Without notice to or the consent of any holder, we and the trustee may amend or supplement the indenture or the debt securities of a series:</w:t>
      </w:r>
    </w:p>
    <w:p>
      <w:pPr>
        <w:spacing w:after="0" w:line="128" w:lineRule="exact"/>
        <w:rPr>
          <w:sz w:val="20"/>
          <w:szCs w:val="20"/>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of the indenture regarding the consolidation, merger, sale, lease, conveyance or other disposition of all or substantially all of our assets;</w:t>
      </w:r>
    </w:p>
    <w:p>
      <w:pPr>
        <w:spacing w:after="0" w:line="128"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create a series and establish its terms;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release a guarantor in respect of any series which, in accordance with the terms of the indenture applicable to such series, ceases to be liable in respect of its guarantee;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 guarantor subsidiary in respect of any series of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any series of debt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for the benefit of the holders or surrender any right or power conferred upon us;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appoint a successor trustee with respect to the securities;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of 1939, as amended (the “Trust Indenture Act”);</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holders; or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provisions of the indenture to the final offering document in respect of any series of debt securities.</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spacing w:after="0" w:line="98" w:lineRule="exact"/>
        <w:rPr>
          <w:sz w:val="20"/>
          <w:szCs w:val="20"/>
          <w:color w:val="auto"/>
        </w:rPr>
      </w:pPr>
    </w:p>
    <w:p>
      <w:pPr>
        <w:ind w:left="500" w:hanging="25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of such series whose holders must consent to an amendment, supplement or waiver;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defaulted interest;</w:t>
      </w:r>
    </w:p>
    <w:p>
      <w:pPr>
        <w:spacing w:after="0" w:line="128"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extend the fixed maturity of any debt security or alter the provisions with respect to redemptions or mandatory offers to repurchase debt securities of a series in a manner adverse to holders;</w:t>
      </w:r>
    </w:p>
    <w:p>
      <w:pPr>
        <w:spacing w:after="0" w:line="89" w:lineRule="exact"/>
        <w:rPr>
          <w:rFonts w:ascii="Times New Roman" w:cs="Times New Roman" w:eastAsia="Times New Roman" w:hAnsi="Times New Roman"/>
          <w:sz w:val="14"/>
          <w:szCs w:val="14"/>
          <w:color w:val="auto"/>
        </w:rPr>
      </w:pPr>
    </w:p>
    <w:p>
      <w:pPr>
        <w:ind w:left="500" w:right="520" w:hanging="250"/>
        <w:spacing w:after="0" w:line="272" w:lineRule="auto"/>
        <w:tabs>
          <w:tab w:leader="none" w:pos="4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adversely affects any right of a holder to convert or exchange any debt security into or for shares of our common stock or other securities, cash or other property in accordance with the terms of such security;</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ranking or priority of the debt securities of the relevant series;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guarantor of any series from any of its obligations under its guarantee or the indenture otherwise than 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20"/>
          </w:cols>
          <w:pgMar w:left="300" w:top="1238" w:right="379" w:bottom="1440" w:gutter="0" w:footer="0" w:header="0"/>
        </w:sectPr>
      </w:pPr>
    </w:p>
    <w:bookmarkStart w:id="19" w:name="page20"/>
    <w:bookmarkEnd w:id="19"/>
    <w:p>
      <w:pPr>
        <w:ind w:left="500" w:right="140" w:hanging="250"/>
        <w:spacing w:after="0" w:line="259"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spacing w:after="0" w:line="9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continuing default or event of default in the payment of principal of or interest on the debt securities; or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at a place or in money other than that stated in the debt security, or impair the right of any holder of a debt security to bring suit as permitted by the indenture.</w:t>
      </w:r>
    </w:p>
    <w:p>
      <w:pPr>
        <w:spacing w:after="0" w:line="12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Defeasance</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w:t>
      </w:r>
    </w:p>
    <w:p>
      <w:pPr>
        <w:spacing w:after="0" w:line="89" w:lineRule="exact"/>
        <w:rPr>
          <w:sz w:val="20"/>
          <w:szCs w:val="20"/>
          <w:color w:val="auto"/>
        </w:rPr>
      </w:pPr>
    </w:p>
    <w:p>
      <w:pPr>
        <w:ind w:left="500" w:right="100" w:hanging="250"/>
        <w:spacing w:after="0" w:line="272" w:lineRule="auto"/>
        <w:tabs>
          <w:tab w:leader="none" w:pos="4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in trust with the trustee, under an irrevocable trust agreement, money or government obligations in an amount sufficient to pay principal of and interest, if any, on the debt securities of such series to their maturity or redemption; and</w:t>
      </w:r>
    </w:p>
    <w:p>
      <w:pPr>
        <w:spacing w:after="0" w:line="89" w:lineRule="exact"/>
        <w:rPr>
          <w:rFonts w:ascii="Times New Roman" w:cs="Times New Roman" w:eastAsia="Times New Roman" w:hAnsi="Times New Roman"/>
          <w:sz w:val="14"/>
          <w:szCs w:val="14"/>
          <w:color w:val="auto"/>
        </w:rPr>
      </w:pPr>
    </w:p>
    <w:p>
      <w:pPr>
        <w:ind w:left="500" w:right="220" w:hanging="250"/>
        <w:spacing w:after="0" w:line="272" w:lineRule="auto"/>
        <w:tabs>
          <w:tab w:leader="none" w:pos="4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spacing w:after="0" w:line="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w:t>
      </w:r>
    </w:p>
    <w:p>
      <w:pPr>
        <w:spacing w:after="0" w:line="89" w:lineRule="exact"/>
        <w:rPr>
          <w:sz w:val="20"/>
          <w:szCs w:val="20"/>
          <w:color w:val="auto"/>
        </w:rPr>
      </w:pPr>
    </w:p>
    <w:p>
      <w:pPr>
        <w:ind w:left="500" w:right="240" w:hanging="250"/>
        <w:spacing w:after="0" w:line="272"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in trust with the trustee, under an irrevocable trust agreement, money or government obligations in an amount sufficient to pay principal and interest, if any, on the debt securities of such series to their maturity or redemption; and</w:t>
      </w:r>
    </w:p>
    <w:p>
      <w:pPr>
        <w:spacing w:after="0" w:line="89" w:lineRule="exact"/>
        <w:rPr>
          <w:rFonts w:ascii="Times New Roman" w:cs="Times New Roman" w:eastAsia="Times New Roman" w:hAnsi="Times New Roman"/>
          <w:sz w:val="14"/>
          <w:szCs w:val="14"/>
          <w:color w:val="auto"/>
        </w:rPr>
      </w:pPr>
    </w:p>
    <w:p>
      <w:pPr>
        <w:ind w:left="500" w:right="40" w:hanging="250"/>
        <w:spacing w:after="0" w:line="254"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spacing w:after="0" w:line="10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60"/>
          </w:cols>
          <w:pgMar w:left="300" w:top="124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and Exchange</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Concerning the Trustee</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w:t>
      </w:r>
    </w:p>
    <w:p>
      <w:pPr>
        <w:spacing w:after="0" w:line="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that might be incurred by it in compliance with such request or direction.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Recourse Against Others</w:t>
      </w:r>
    </w:p>
    <w:p>
      <w:pPr>
        <w:spacing w:after="0" w:line="13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The indenture will provide that there is no recourse under any obligation, covenant or agreement in the applicable indenture or with respect to any debt security against any of our or our successor’s past, present or future stockholders, employees, officers or directors.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laws of the State of New York will govern the indenture and the debt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3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w:t>
      </w:r>
    </w:p>
    <w:p>
      <w:pPr>
        <w:spacing w:after="0" w:line="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3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9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238" w:right="319" w:bottom="1440" w:gutter="0" w:footer="0" w:header="0"/>
        </w:sectPr>
      </w:pPr>
    </w:p>
    <w:bookmarkStart w:id="21" w:name="page22"/>
    <w:bookmarkEnd w:id="21"/>
    <w:p>
      <w:pPr>
        <w:spacing w:after="0" w:line="272" w:lineRule="auto"/>
        <w:rPr>
          <w:sz w:val="20"/>
          <w:szCs w:val="20"/>
          <w:color w:val="auto"/>
        </w:rPr>
      </w:pPr>
      <w:r>
        <w:rPr>
          <w:rFonts w:ascii="Times New Roman" w:cs="Times New Roman" w:eastAsia="Times New Roman" w:hAnsi="Times New Roman"/>
          <w:sz w:val="14"/>
          <w:szCs w:val="14"/>
          <w:color w:val="auto"/>
        </w:rPr>
        <w:t>registration statement of which this prospectus is a part, or will incorporate by reference from another report that we file with the SEC, the form of each unit agreement relating to units offered under this prospectus.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128" w:lineRule="exact"/>
        <w:rPr>
          <w:sz w:val="20"/>
          <w:szCs w:val="20"/>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units;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units; and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120"/>
          </w:cols>
          <w:pgMar w:left="300" w:top="1242" w:right="4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500" w:hanging="25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28"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89" w:lineRule="exact"/>
        <w:rPr>
          <w:sz w:val="20"/>
          <w:szCs w:val="20"/>
          <w:color w:val="auto"/>
        </w:rPr>
      </w:pPr>
    </w:p>
    <w:p>
      <w:pPr>
        <w:ind w:left="500" w:right="80" w:hanging="250"/>
        <w:spacing w:after="0" w:line="272" w:lineRule="auto"/>
        <w:tabs>
          <w:tab w:leader="none" w:pos="4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Select Market or any other securities exchange or quotation or trading service on which such securities may be listed, quoted or traded at the time of sale; and/or</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otherwise than on the Nasdaq Global Select Market or such other securities exchanges or quotation or trading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at the market offerings, if any, may be conducted by underwriters acting as principal or agent.</w:t>
      </w:r>
    </w:p>
    <w:p>
      <w:pPr>
        <w:spacing w:after="0" w:line="128"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89" w:lineRule="exact"/>
        <w:rPr>
          <w:sz w:val="20"/>
          <w:szCs w:val="20"/>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if any;</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options under which underwriters may purchase additional securities from us;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underwriters named in the prospectus supplement are underwriters of the securities offered by the prospectus supplement.</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238" w:right="319" w:bottom="1440" w:gutter="0" w:footer="0" w:header="0"/>
        </w:sectPr>
      </w:pPr>
    </w:p>
    <w:bookmarkStart w:id="23" w:name="page24"/>
    <w:bookmarkEnd w:id="23"/>
    <w:p>
      <w:pPr>
        <w:ind w:right="40"/>
        <w:spacing w:after="0" w:line="272"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0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3"/>
          <w:szCs w:val="13"/>
          <w:color w:val="auto"/>
        </w:rPr>
        <w:t>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60"/>
          </w:cols>
          <w:pgMar w:left="300" w:top="124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Certain legal matters, including the legality of the securities offered, will be passed upon for us by Ropes &amp; Gray LLP, Boston, Massachusetts. Additional legal matters may be passed upon for us or any underwriters, dealers or agents, by counsel that we will name in the applicable prospectus supplement.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w:t>
      </w:r>
    </w:p>
    <w:p>
      <w:pPr>
        <w:spacing w:after="0" w:line="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 xml:space="preserve">Our filings are available to the public on the Internet, through a database maintained by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We also maintain a website at </w:t>
      </w:r>
      <w:r>
        <w:rPr>
          <w:rFonts w:ascii="Times New Roman" w:cs="Times New Roman" w:eastAsia="Times New Roman" w:hAnsi="Times New Roman"/>
          <w:sz w:val="14"/>
          <w:szCs w:val="14"/>
          <w:i w:val="1"/>
          <w:iCs w:val="1"/>
          <w:color w:val="auto"/>
        </w:rPr>
        <w:t>www.spyre.com</w:t>
      </w:r>
      <w:r>
        <w:rPr>
          <w:rFonts w:ascii="Times New Roman" w:cs="Times New Roman" w:eastAsia="Times New Roman" w:hAnsi="Times New Roman"/>
          <w:sz w:val="14"/>
          <w:szCs w:val="14"/>
          <w:color w:val="auto"/>
        </w:rPr>
        <w:t>.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38"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3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w:t>
      </w:r>
    </w:p>
    <w:p>
      <w:pPr>
        <w:spacing w:after="0" w:line="98" w:lineRule="exact"/>
        <w:rPr>
          <w:sz w:val="20"/>
          <w:szCs w:val="20"/>
          <w:color w:val="auto"/>
        </w:rPr>
      </w:pPr>
    </w:p>
    <w:p>
      <w:pPr>
        <w:ind w:left="500" w:hanging="250"/>
        <w:spacing w:after="0" w:line="272" w:lineRule="auto"/>
        <w:tabs>
          <w:tab w:leader="none" w:pos="49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year ended December 31, 2025, filed with the SEC on </w:t>
      </w:r>
      <w:hyperlink r:id="rId20">
        <w:r>
          <w:rPr>
            <w:rFonts w:ascii="Times New Roman" w:cs="Times New Roman" w:eastAsia="Times New Roman" w:hAnsi="Times New Roman"/>
            <w:sz w:val="14"/>
            <w:szCs w:val="14"/>
            <w:u w:val="single" w:color="auto"/>
            <w:color w:val="0000FF"/>
          </w:rPr>
          <w:t>February 19,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any portions of our Definitive Proxy Statement on Schedule 14A, filed with the SEC on </w:t>
      </w:r>
      <w:hyperlink r:id="rId21">
        <w:r>
          <w:rPr>
            <w:rFonts w:ascii="Times New Roman" w:cs="Times New Roman" w:eastAsia="Times New Roman" w:hAnsi="Times New Roman"/>
            <w:sz w:val="14"/>
            <w:szCs w:val="14"/>
            <w:u w:val="single" w:color="auto"/>
            <w:color w:val="0000FF"/>
          </w:rPr>
          <w:t>April 10, 2026</w:t>
        </w:r>
      </w:hyperlink>
      <w:r>
        <w:rPr>
          <w:rFonts w:ascii="Times New Roman" w:cs="Times New Roman" w:eastAsia="Times New Roman" w:hAnsi="Times New Roman"/>
          <w:sz w:val="14"/>
          <w:szCs w:val="14"/>
          <w:color w:val="auto"/>
        </w:rPr>
        <w:t>, that are incorporated by reference into our Annual Report on Form 10-K for the year ended December 31, 2025);</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 ended March 31, 2026, filed with the SEC on </w:t>
      </w:r>
      <w:hyperlink r:id="rId22">
        <w:r>
          <w:rPr>
            <w:rFonts w:ascii="Times New Roman" w:cs="Times New Roman" w:eastAsia="Times New Roman" w:hAnsi="Times New Roman"/>
            <w:sz w:val="14"/>
            <w:szCs w:val="14"/>
            <w:u w:val="single" w:color="auto"/>
            <w:color w:val="0000FF"/>
          </w:rPr>
          <w:t>May 5, 2026</w:t>
        </w:r>
      </w:hyperlink>
      <w:r>
        <w:rPr>
          <w:rFonts w:ascii="Times New Roman" w:cs="Times New Roman" w:eastAsia="Times New Roman" w:hAnsi="Times New Roman"/>
          <w:sz w:val="14"/>
          <w:szCs w:val="14"/>
          <w:color w:val="auto"/>
        </w:rPr>
        <w:t>;</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23">
        <w:r>
          <w:rPr>
            <w:rFonts w:ascii="Times New Roman" w:cs="Times New Roman" w:eastAsia="Times New Roman" w:hAnsi="Times New Roman"/>
            <w:sz w:val="14"/>
            <w:szCs w:val="14"/>
            <w:u w:val="single" w:color="auto"/>
            <w:color w:val="0000FF"/>
          </w:rPr>
          <w:t>April 13, 2026</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FF"/>
          </w:rPr>
          <w:t>April 13, 2026</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FF"/>
          </w:rPr>
          <w:t>April 16, 2026</w:t>
        </w:r>
      </w:hyperlink>
      <w:r>
        <w:rPr>
          <w:rFonts w:ascii="Times New Roman" w:cs="Times New Roman" w:eastAsia="Times New Roman" w:hAnsi="Times New Roman"/>
          <w:sz w:val="14"/>
          <w:szCs w:val="14"/>
          <w:color w:val="auto"/>
        </w:rPr>
        <w:t xml:space="preserve">, </w:t>
      </w:r>
      <w:hyperlink r:id="rId26">
        <w:r>
          <w:rPr>
            <w:rFonts w:ascii="Times New Roman" w:cs="Times New Roman" w:eastAsia="Times New Roman" w:hAnsi="Times New Roman"/>
            <w:sz w:val="14"/>
            <w:szCs w:val="14"/>
            <w:u w:val="single" w:color="auto"/>
            <w:color w:val="0000FF"/>
          </w:rPr>
          <w:t>May 29, 2026</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FF"/>
          </w:rPr>
          <w:t>June 1, 2026</w:t>
        </w:r>
      </w:hyperlink>
      <w:r>
        <w:rPr>
          <w:rFonts w:ascii="Times New Roman" w:cs="Times New Roman" w:eastAsia="Times New Roman" w:hAnsi="Times New Roman"/>
          <w:sz w:val="14"/>
          <w:szCs w:val="14"/>
          <w:color w:val="auto"/>
        </w:rPr>
        <w:t xml:space="preserve">, and </w:t>
      </w:r>
      <w:hyperlink r:id="rId28">
        <w:r>
          <w:rPr>
            <w:rFonts w:ascii="Times New Roman" w:cs="Times New Roman" w:eastAsia="Times New Roman" w:hAnsi="Times New Roman"/>
            <w:sz w:val="14"/>
            <w:szCs w:val="14"/>
            <w:u w:val="single" w:color="auto"/>
            <w:color w:val="0000FF"/>
          </w:rPr>
          <w:t>June 15, 2026</w:t>
        </w:r>
      </w:hyperlink>
      <w:r>
        <w:rPr>
          <w:rFonts w:ascii="Times New Roman" w:cs="Times New Roman" w:eastAsia="Times New Roman" w:hAnsi="Times New Roman"/>
          <w:sz w:val="14"/>
          <w:szCs w:val="14"/>
          <w:color w:val="auto"/>
        </w:rPr>
        <w:t>; and</w:t>
      </w:r>
    </w:p>
    <w:p>
      <w:pPr>
        <w:spacing w:after="0" w:line="128" w:lineRule="exact"/>
        <w:rPr>
          <w:rFonts w:ascii="Times New Roman" w:cs="Times New Roman" w:eastAsia="Times New Roman" w:hAnsi="Times New Roman"/>
          <w:sz w:val="14"/>
          <w:szCs w:val="14"/>
          <w:color w:val="auto"/>
        </w:rPr>
      </w:pPr>
    </w:p>
    <w:p>
      <w:pPr>
        <w:ind w:left="500" w:right="280" w:hanging="250"/>
        <w:spacing w:after="0" w:line="272" w:lineRule="auto"/>
        <w:tabs>
          <w:tab w:leader="none" w:pos="49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29">
        <w:r>
          <w:rPr>
            <w:rFonts w:ascii="Times New Roman" w:cs="Times New Roman" w:eastAsia="Times New Roman" w:hAnsi="Times New Roman"/>
            <w:sz w:val="14"/>
            <w:szCs w:val="14"/>
            <w:u w:val="single" w:color="auto"/>
            <w:color w:val="0000FF"/>
          </w:rPr>
          <w:t>Form 8-A</w:t>
        </w:r>
      </w:hyperlink>
      <w:r>
        <w:rPr>
          <w:rFonts w:ascii="Times New Roman" w:cs="Times New Roman" w:eastAsia="Times New Roman" w:hAnsi="Times New Roman"/>
          <w:sz w:val="14"/>
          <w:szCs w:val="14"/>
          <w:color w:val="auto"/>
        </w:rPr>
        <w:t>, filed with the SEC on March 28, 2016, including any amendments or reports filed for the purpose of updating such description.</w:t>
      </w:r>
    </w:p>
    <w:p>
      <w:pPr>
        <w:spacing w:after="0" w:line="89" w:lineRule="exact"/>
        <w:rPr>
          <w:rFonts w:ascii="Times New Roman" w:cs="Times New Roman" w:eastAsia="Times New Roman" w:hAnsi="Times New Roman"/>
          <w:sz w:val="14"/>
          <w:szCs w:val="14"/>
          <w:color w:val="auto"/>
        </w:rPr>
      </w:pPr>
    </w:p>
    <w:p>
      <w:pPr>
        <w:jc w:val="both"/>
        <w:ind w:right="480"/>
        <w:spacing w:after="0" w:line="259" w:lineRule="auto"/>
        <w:rPr>
          <w:sz w:val="20"/>
          <w:szCs w:val="20"/>
          <w:color w:val="auto"/>
        </w:rPr>
      </w:pPr>
      <w:r>
        <w:rPr>
          <w:rFonts w:ascii="Times New Roman" w:cs="Times New Roman" w:eastAsia="Times New Roman" w:hAnsi="Times New Roman"/>
          <w:sz w:val="14"/>
          <w:szCs w:val="14"/>
          <w:color w:val="auto"/>
        </w:rPr>
        <w:t>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98" w:lineRule="exact"/>
        <w:rPr>
          <w:rFonts w:ascii="Times New Roman" w:cs="Times New Roman" w:eastAsia="Times New Roman" w:hAnsi="Times New Roman"/>
          <w:sz w:val="14"/>
          <w:szCs w:val="14"/>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This prospectus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w:t>
      </w:r>
    </w:p>
    <w:p>
      <w:pPr>
        <w:spacing w:after="0" w:line="103" w:lineRule="exact"/>
        <w:rPr>
          <w:rFonts w:ascii="Times New Roman" w:cs="Times New Roman" w:eastAsia="Times New Roman" w:hAnsi="Times New Roman"/>
          <w:sz w:val="14"/>
          <w:szCs w:val="14"/>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You may request a copy of these filings (other than exhibits to such documents unless such exhibits are specifically incorporated by reference herein), at no cost, by contacting us, either orally or in writing, at the following:</w:t>
      </w:r>
    </w:p>
    <w:p>
      <w:pPr>
        <w:spacing w:after="0" w:line="8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Spyre Therapeutics, Inc.</w:t>
      </w:r>
    </w:p>
    <w:p>
      <w:pPr>
        <w:spacing w:after="0" w:line="18"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221 Crescent Street</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Building 23, Suite 105</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Waltham, Massachusetts 02453</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(617) 651-5940</w:t>
      </w:r>
    </w:p>
    <w:p>
      <w:pPr>
        <w:spacing w:after="0" w:line="111" w:lineRule="exact"/>
        <w:rPr>
          <w:rFonts w:ascii="Times New Roman" w:cs="Times New Roman" w:eastAsia="Times New Roman" w:hAnsi="Times New Roman"/>
          <w:sz w:val="14"/>
          <w:szCs w:val="14"/>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 xml:space="preserve">Information about us is also available at our website at </w:t>
      </w:r>
      <w:r>
        <w:rPr>
          <w:rFonts w:ascii="Times New Roman" w:cs="Times New Roman" w:eastAsia="Times New Roman" w:hAnsi="Times New Roman"/>
          <w:sz w:val="14"/>
          <w:szCs w:val="14"/>
          <w:i w:val="1"/>
          <w:iCs w:val="1"/>
          <w:color w:val="auto"/>
        </w:rPr>
        <w:t>http://www.spyre.com</w:t>
      </w:r>
      <w:r>
        <w:rPr>
          <w:rFonts w:ascii="Times New Roman" w:cs="Times New Roman" w:eastAsia="Times New Roman" w:hAnsi="Times New Roman"/>
          <w:sz w:val="14"/>
          <w:szCs w:val="14"/>
          <w:color w:val="auto"/>
        </w:rPr>
        <w:t>. You may access these materials free of charge as soon as reasonably practicable after they are electronically filed with, or furnished to, the SEC. However, the information on our website is not a part of this prospectus and is not incorporated by reference into this prospectus.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238" w:right="319" w:bottom="1440" w:gutter="0" w:footer="0" w:header="0"/>
        </w:sectPr>
      </w:pPr>
    </w:p>
    <w:bookmarkStart w:id="26" w:name="page27"/>
    <w:bookmarkEnd w:id="26"/>
    <w:p>
      <w:pPr>
        <w:ind w:left="20"/>
        <w:spacing w:after="0"/>
        <w:tabs>
          <w:tab w:leader="none" w:pos="9140" w:val="left"/>
        </w:tabs>
        <w:rPr>
          <w:sz w:val="20"/>
          <w:szCs w:val="20"/>
          <w:color w:val="auto"/>
        </w:rPr>
      </w:pPr>
      <w:r>
        <w:rPr>
          <w:rFonts w:ascii="Times New Roman" w:cs="Times New Roman" w:eastAsia="Times New Roman" w:hAnsi="Times New Roman"/>
          <w:sz w:val="14"/>
          <w:szCs w:val="14"/>
          <w:b w:val="1"/>
          <w:bCs w:val="1"/>
          <w:color w:val="auto"/>
        </w:rPr>
        <w:t>PROSPECTUS SUPPLEMENT</w:t>
      </w:r>
      <w:r>
        <w:rPr>
          <w:sz w:val="20"/>
          <w:szCs w:val="20"/>
          <w:color w:val="auto"/>
        </w:rPr>
        <w:tab/>
      </w:r>
      <w:r>
        <w:rPr>
          <w:rFonts w:ascii="Times New Roman" w:cs="Times New Roman" w:eastAsia="Times New Roman" w:hAnsi="Times New Roman"/>
          <w:sz w:val="13"/>
          <w:szCs w:val="13"/>
          <w:b w:val="1"/>
          <w:bCs w:val="1"/>
          <w:color w:val="auto"/>
        </w:rPr>
        <w:t>(To Prospectus dated June 26,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9525</wp:posOffset>
            </wp:positionV>
            <wp:extent cx="1572895" cy="648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572895"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6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have entered into a Sales Agreement (the “Sales Agreement”) with TD Securities (USA) LLC, or TD Cowen, dated June 26, 2026, relating to the sale of shares of our common stock, $0.0001 par value per share, offered by this prospectus supplement and the accompanying prospectus. In accordance with the terms of the Sales Agreement, we may offer and sell shares of our common stock having an aggregate offering price of up to $500,000,000 from time to time through or to TD Cowen acting as our agent.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“SYRE.” On June 25, 2026, the last reported sale price of our common stock was $88.67 per share.</w:t>
      </w:r>
    </w:p>
    <w:p>
      <w:pPr>
        <w:spacing w:after="0" w:line="12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3"/>
          <w:szCs w:val="13"/>
          <w:color w:val="auto"/>
        </w:rPr>
        <w:t>Sales of our common stock, if any, under this prospectus supplement and the accompanying prospectus will be made in negotiated transactions, including block trades or block sales, or by any method permitted by law deemed to be an “at the market offering” as defined in Rule 415(a)(4) promulgated under the Securities Act of 1933, as amended (the “Securities Act”). TD Cowen is not required to sell any specific amount of securities but will act as our sales agent using commercially reasonable efforts to sell on our behalf all of the common stock requested to be sold by us, consistent with its normal trading and sales practices, on mutually agreed terms between TD Cowen and us, as applicable. There is no arrangement for funds to be received in any escrow, trust or similar arrangement.</w:t>
      </w:r>
    </w:p>
    <w:p>
      <w:pPr>
        <w:spacing w:after="0" w:line="8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4"/>
          <w:szCs w:val="14"/>
          <w:color w:val="auto"/>
        </w:rPr>
        <w:t>The compensation to TD Cowen for sales of common stock sold pursuant to the Sales Agreement will be an amount up to 3.0% of the gross proceeds of any shares of common stock sold by TD Cowen under the Sales Agreement. In connection with the sale of our common stock on our behalf, TD Cowen will be deemed to be an “underwriter” within the meaning of the Securities Act, and the compensation paid to TD Cowen will be deemed to be underwriting commissions or discounts. Please see “</w:t>
      </w:r>
      <w:r>
        <w:rPr>
          <w:rFonts w:ascii="Times New Roman" w:cs="Times New Roman" w:eastAsia="Times New Roman" w:hAnsi="Times New Roman"/>
          <w:sz w:val="14"/>
          <w:szCs w:val="14"/>
          <w:u w:val="single" w:color="auto"/>
          <w:color w:val="0000FF"/>
        </w:rPr>
        <w:t>Plan of Distribution</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FF"/>
        </w:rPr>
        <w:t>S-13</w:t>
      </w:r>
      <w:r>
        <w:rPr>
          <w:rFonts w:ascii="Times New Roman" w:cs="Times New Roman" w:eastAsia="Times New Roman" w:hAnsi="Times New Roman"/>
          <w:sz w:val="14"/>
          <w:szCs w:val="14"/>
          <w:color w:val="auto"/>
        </w:rPr>
        <w:t xml:space="preserve"> for more information regarding compensation to be paid to TD Cowen pursuant to the Sales Agreement. We have also agreed to provide indemnification and contribution to TD Cowen with respect to certain liabilities, including liabilities under the Securities Act, or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Our business and an investment in our common stock involve significant risks. These risks are described under the heading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FF"/>
        </w:rPr>
        <w:t>S-8</w:t>
      </w:r>
      <w:r>
        <w:rPr>
          <w:rFonts w:ascii="Times New Roman" w:cs="Times New Roman" w:eastAsia="Times New Roman" w:hAnsi="Times New Roman"/>
          <w:sz w:val="14"/>
          <w:szCs w:val="14"/>
          <w:b w:val="1"/>
          <w:bCs w:val="1"/>
          <w:color w:val="auto"/>
        </w:rPr>
        <w:t xml:space="preserve"> of this prospectus supplement and in the documents incorporated by reference into this prospectus supplement. 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TD Cowen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 dated June 26, 2026</w:t>
      </w:r>
    </w:p>
    <w:p>
      <w:pPr>
        <w:sectPr>
          <w:pgSz w:w="11900" w:h="16838" w:orient="portrait"/>
          <w:cols w:equalWidth="0" w:num="1">
            <w:col w:w="11280"/>
          </w:cols>
          <w:pgMar w:left="300" w:top="773"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60" w:type="dxa"/>
            <w:vAlign w:val="bottom"/>
            <w:gridSpan w:val="3"/>
          </w:tcPr>
          <w:p>
            <w:pPr>
              <w:jc w:val="right"/>
              <w:ind w:right="483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89"/>
        </w:trPr>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5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6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470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0000FF"/>
              </w:rPr>
              <w:t>ABOUT THIS PROSPECTUS SUPPLEMENT</w:t>
            </w:r>
          </w:p>
        </w:tc>
        <w:tc>
          <w:tcPr>
            <w:tcW w:w="5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0000FF"/>
                <w:w w:val="92"/>
              </w:rPr>
              <w:t>S-1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4"/>
                <w:szCs w:val="14"/>
                <w:color w:val="0000FF"/>
                <w:w w:val="96"/>
              </w:rPr>
              <w:t>CAUTIONARY NOTE CONCERNING FORWARD-LOOKING STATEMENTS</w:t>
            </w:r>
          </w:p>
        </w:tc>
        <w:tc>
          <w:tcPr>
            <w:tcW w:w="18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92"/>
              </w:rPr>
              <w:t>S-3</w:t>
            </w:r>
          </w:p>
        </w:tc>
      </w:tr>
      <w:tr>
        <w:trPr>
          <w:trHeight w:val="155"/>
        </w:trPr>
        <w:tc>
          <w:tcPr>
            <w:tcW w:w="20" w:type="dxa"/>
            <w:vAlign w:val="bottom"/>
          </w:tcPr>
          <w:p>
            <w:pPr>
              <w:spacing w:after="0"/>
              <w:rPr>
                <w:sz w:val="13"/>
                <w:szCs w:val="13"/>
                <w:color w:val="auto"/>
              </w:rPr>
            </w:pPr>
          </w:p>
        </w:tc>
        <w:tc>
          <w:tcPr>
            <w:tcW w:w="2520" w:type="dxa"/>
            <w:vAlign w:val="bottom"/>
            <w:tcBorders>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4"/>
                <w:szCs w:val="14"/>
                <w:color w:val="0000FF"/>
                <w:w w:val="97"/>
              </w:rPr>
              <w:t>PROSPECTUS SUPPLEMENT SUMMARY</w:t>
            </w:r>
          </w:p>
        </w:tc>
        <w:tc>
          <w:tcPr>
            <w:tcW w:w="2180" w:type="dxa"/>
            <w:vAlign w:val="bottom"/>
            <w:gridSpan w:val="5"/>
          </w:tcPr>
          <w:p>
            <w:pPr>
              <w:spacing w:after="0"/>
              <w:rPr>
                <w:sz w:val="13"/>
                <w:szCs w:val="13"/>
                <w:color w:val="auto"/>
              </w:rPr>
            </w:pPr>
          </w:p>
        </w:tc>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92"/>
              </w:rPr>
              <w:t>S-5</w:t>
            </w:r>
          </w:p>
        </w:tc>
      </w:tr>
      <w:tr>
        <w:trPr>
          <w:trHeight w:val="155"/>
        </w:trPr>
        <w:tc>
          <w:tcPr>
            <w:tcW w:w="20" w:type="dxa"/>
            <w:vAlign w:val="bottom"/>
          </w:tcPr>
          <w:p>
            <w:pPr>
              <w:spacing w:after="0"/>
              <w:rPr>
                <w:sz w:val="13"/>
                <w:szCs w:val="13"/>
                <w:color w:val="auto"/>
              </w:rPr>
            </w:pPr>
          </w:p>
        </w:tc>
        <w:tc>
          <w:tcPr>
            <w:tcW w:w="980" w:type="dxa"/>
            <w:vAlign w:val="bottom"/>
            <w:tcBorders>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w w:val="96"/>
              </w:rPr>
              <w:t>THE OFFERING</w:t>
            </w:r>
          </w:p>
        </w:tc>
        <w:tc>
          <w:tcPr>
            <w:tcW w:w="3720" w:type="dxa"/>
            <w:vAlign w:val="bottom"/>
            <w:gridSpan w:val="9"/>
          </w:tcPr>
          <w:p>
            <w:pPr>
              <w:spacing w:after="0"/>
              <w:rPr>
                <w:sz w:val="13"/>
                <w:szCs w:val="13"/>
                <w:color w:val="auto"/>
              </w:rPr>
            </w:pPr>
          </w:p>
        </w:tc>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92"/>
              </w:rPr>
              <w:t>S-6</w:t>
            </w:r>
          </w:p>
        </w:tc>
      </w:tr>
      <w:tr>
        <w:trPr>
          <w:trHeight w:val="155"/>
        </w:trPr>
        <w:tc>
          <w:tcPr>
            <w:tcW w:w="20" w:type="dxa"/>
            <w:vAlign w:val="bottom"/>
          </w:tcPr>
          <w:p>
            <w:pPr>
              <w:spacing w:after="0"/>
              <w:rPr>
                <w:sz w:val="13"/>
                <w:szCs w:val="13"/>
                <w:color w:val="auto"/>
              </w:rPr>
            </w:pPr>
          </w:p>
        </w:tc>
        <w:tc>
          <w:tcPr>
            <w:tcW w:w="960" w:type="dxa"/>
            <w:vAlign w:val="bottom"/>
            <w:tcBorders>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4"/>
                <w:szCs w:val="14"/>
                <w:color w:val="0000FF"/>
                <w:w w:val="95"/>
              </w:rPr>
              <w:t>RISK FACTORS</w:t>
            </w:r>
          </w:p>
        </w:tc>
        <w:tc>
          <w:tcPr>
            <w:tcW w:w="3740" w:type="dxa"/>
            <w:vAlign w:val="bottom"/>
            <w:gridSpan w:val="10"/>
          </w:tcPr>
          <w:p>
            <w:pPr>
              <w:spacing w:after="0"/>
              <w:rPr>
                <w:sz w:val="13"/>
                <w:szCs w:val="13"/>
                <w:color w:val="auto"/>
              </w:rPr>
            </w:pPr>
          </w:p>
        </w:tc>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92"/>
              </w:rPr>
              <w:t>S-8</w:t>
            </w:r>
          </w:p>
        </w:tc>
      </w:tr>
      <w:tr>
        <w:trPr>
          <w:trHeight w:val="155"/>
        </w:trPr>
        <w:tc>
          <w:tcPr>
            <w:tcW w:w="20" w:type="dxa"/>
            <w:vAlign w:val="bottom"/>
          </w:tcPr>
          <w:p>
            <w:pPr>
              <w:spacing w:after="0"/>
              <w:rPr>
                <w:sz w:val="13"/>
                <w:szCs w:val="13"/>
                <w:color w:val="auto"/>
              </w:rPr>
            </w:pPr>
          </w:p>
        </w:tc>
        <w:tc>
          <w:tcPr>
            <w:tcW w:w="470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USE OF PROCEEDS</w:t>
            </w: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S-10</w:t>
            </w:r>
          </w:p>
        </w:tc>
      </w:tr>
      <w:tr>
        <w:trPr>
          <w:trHeight w:val="155"/>
        </w:trPr>
        <w:tc>
          <w:tcPr>
            <w:tcW w:w="2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w w:val="95"/>
              </w:rPr>
              <w:t>DILUTION</w:t>
            </w:r>
          </w:p>
        </w:tc>
        <w:tc>
          <w:tcPr>
            <w:tcW w:w="540" w:type="dxa"/>
            <w:vAlign w:val="bottom"/>
            <w:tcBorders>
              <w:top w:val="single" w:sz="8" w:color="0000FF"/>
            </w:tcBorders>
            <w:gridSpan w:val="4"/>
          </w:tcPr>
          <w:p>
            <w:pPr>
              <w:spacing w:after="0"/>
              <w:rPr>
                <w:sz w:val="13"/>
                <w:szCs w:val="13"/>
                <w:color w:val="auto"/>
              </w:rPr>
            </w:pPr>
          </w:p>
        </w:tc>
        <w:tc>
          <w:tcPr>
            <w:tcW w:w="3500" w:type="dxa"/>
            <w:vAlign w:val="bottom"/>
            <w:gridSpan w:val="7"/>
          </w:tcPr>
          <w:p>
            <w:pPr>
              <w:spacing w:after="0"/>
              <w:rPr>
                <w:sz w:val="13"/>
                <w:szCs w:val="13"/>
                <w:color w:val="auto"/>
              </w:rPr>
            </w:pPr>
          </w:p>
        </w:tc>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3"/>
                <w:szCs w:val="13"/>
                <w:color w:val="0000FF"/>
                <w:w w:val="73"/>
              </w:rPr>
              <w:t>S-11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gridSpan w:val="13"/>
          </w:tcPr>
          <w:p>
            <w:pPr>
              <w:spacing w:after="0" w:line="155" w:lineRule="exact"/>
              <w:rPr>
                <w:sz w:val="20"/>
                <w:szCs w:val="20"/>
                <w:color w:val="auto"/>
              </w:rPr>
            </w:pPr>
            <w:r>
              <w:rPr>
                <w:rFonts w:ascii="Times New Roman" w:cs="Times New Roman" w:eastAsia="Times New Roman" w:hAnsi="Times New Roman"/>
                <w:sz w:val="14"/>
                <w:szCs w:val="14"/>
                <w:color w:val="0000FF"/>
              </w:rPr>
              <w:t>PLAN OF DISTRIBUTION</w:t>
            </w: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S-13</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gridSpan w:val="7"/>
          </w:tcPr>
          <w:p>
            <w:pPr>
              <w:spacing w:after="0" w:line="155" w:lineRule="exact"/>
              <w:rPr>
                <w:sz w:val="20"/>
                <w:szCs w:val="20"/>
                <w:color w:val="auto"/>
              </w:rPr>
            </w:pPr>
            <w:r>
              <w:rPr>
                <w:rFonts w:ascii="Times New Roman" w:cs="Times New Roman" w:eastAsia="Times New Roman" w:hAnsi="Times New Roman"/>
                <w:sz w:val="14"/>
                <w:szCs w:val="14"/>
                <w:color w:val="0000FF"/>
              </w:rPr>
              <w:t>LEGAL MATTERS</w:t>
            </w:r>
          </w:p>
        </w:tc>
        <w:tc>
          <w:tcPr>
            <w:tcW w:w="3140" w:type="dxa"/>
            <w:vAlign w:val="bottom"/>
            <w:gridSpan w:val="6"/>
          </w:tcPr>
          <w:p>
            <w:pPr>
              <w:spacing w:after="0"/>
              <w:rPr>
                <w:sz w:val="13"/>
                <w:szCs w:val="13"/>
                <w:color w:val="auto"/>
              </w:rPr>
            </w:pP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color w:val="0000FF"/>
              </w:rPr>
              <w:t>EXPERTS</w:t>
            </w:r>
          </w:p>
        </w:tc>
        <w:tc>
          <w:tcPr>
            <w:tcW w:w="3600" w:type="dxa"/>
            <w:vAlign w:val="bottom"/>
            <w:gridSpan w:val="8"/>
          </w:tcPr>
          <w:p>
            <w:pPr>
              <w:spacing w:after="0"/>
              <w:rPr>
                <w:sz w:val="13"/>
                <w:szCs w:val="13"/>
                <w:color w:val="auto"/>
              </w:rPr>
            </w:pP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20" w:type="dxa"/>
            <w:vAlign w:val="bottom"/>
            <w:gridSpan w:val="10"/>
          </w:tcPr>
          <w:p>
            <w:pPr>
              <w:spacing w:after="0" w:line="155"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80" w:type="dxa"/>
            <w:vAlign w:val="bottom"/>
            <w:gridSpan w:val="3"/>
          </w:tcPr>
          <w:p>
            <w:pPr>
              <w:spacing w:after="0"/>
              <w:rPr>
                <w:sz w:val="13"/>
                <w:szCs w:val="13"/>
                <w:color w:val="auto"/>
              </w:rPr>
            </w:pP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S-15</w:t>
            </w:r>
          </w:p>
        </w:tc>
      </w:tr>
      <w:tr>
        <w:trPr>
          <w:trHeight w:val="20"/>
        </w:trPr>
        <w:tc>
          <w:tcPr>
            <w:tcW w:w="20" w:type="dxa"/>
            <w:vAlign w:val="bottom"/>
          </w:tcPr>
          <w:p>
            <w:pPr>
              <w:spacing w:after="0" w:line="20" w:lineRule="exact"/>
              <w:rPr>
                <w:sz w:val="1"/>
                <w:szCs w:val="1"/>
                <w:color w:val="auto"/>
              </w:rPr>
            </w:pPr>
          </w:p>
        </w:tc>
        <w:tc>
          <w:tcPr>
            <w:tcW w:w="2920" w:type="dxa"/>
            <w:vAlign w:val="bottom"/>
            <w:gridSpan w:val="10"/>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gridSpan w:val="11"/>
          </w:tcPr>
          <w:p>
            <w:pPr>
              <w:spacing w:after="0" w:line="155" w:lineRule="exact"/>
              <w:rPr>
                <w:sz w:val="20"/>
                <w:szCs w:val="20"/>
                <w:color w:val="auto"/>
              </w:rPr>
            </w:pPr>
            <w:r>
              <w:rPr>
                <w:rFonts w:ascii="Times New Roman" w:cs="Times New Roman" w:eastAsia="Times New Roman" w:hAnsi="Times New Roman"/>
                <w:sz w:val="14"/>
                <w:szCs w:val="14"/>
                <w:color w:val="0000FF"/>
                <w:w w:val="96"/>
              </w:rPr>
              <w:t>INCORPORATION OF CERTAIN INFORMATION BY REFERENCE</w:t>
            </w:r>
          </w:p>
        </w:tc>
        <w:tc>
          <w:tcPr>
            <w:tcW w:w="74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S-16</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1280"/>
          </w:cols>
          <w:pgMar w:left="300" w:top="1238"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3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4"/>
          <w:szCs w:val="14"/>
          <w:color w:val="auto"/>
        </w:rPr>
        <w:t>This prospectus supplement is part of an automatic shelf registration statement on Form S-3ASR that we filed with the Securities and Exchange Commission (the “SEC”), as a “well-known seasoned issuer,” as defined in Rule 405 under the Securities Act, utilizing a “shelf” registration process. Before buying any of the shares of common stock that we are offering, we urge you to carefully read this prospectus supplement, together with the information incorporated by reference as described under the headings “Where You Can Find More Information” and “Incorporation of Certain Information by Reference” in this prospectus supplement and the accompanying prospectus, and any free writing prospectus that we have authorized for use in connection with this offering. These documents contain important information that you should consider when making your investment decision. In general, when we refer only to the prospectus, we are referring to both the prospectus supplement and the accompanying prospectus combined.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This prospectus supplement describes the terms of this offering of shares of common stock from time to time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0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We are responsible for the information contained and incorporated by reference in this prospectus supplement, the accompanying prospectus and in any free writing prospectus that we have authorized for use in connection with this offering. We have not, and TD Cowen has not, authorized anyone to give you any other information, and neither we nor TD Cowen take any responsibility for any other information that others may give you. We are not, and TD Cowen is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0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do not constitute an offer to sell or the solicitation of an offer to buy any securities other than the shares of common stock to which it relates, nor do this prospectus supplement and the accompanying prospectus constitute an offer to sell or the solicitation of an offer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1280"/>
          </w:cols>
          <w:pgMar w:left="300" w:top="123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buy securities in any jurisdiction to any person to whom it is unlawful to make such offer or solicitation in such jurisdiction.</w:t>
      </w:r>
    </w:p>
    <w:p>
      <w:pPr>
        <w:spacing w:after="0" w:line="1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Unless otherwise indicated, information contained in or incorporated by reference into this prospectus supplement and the accompanying prospectus concerning our industry and the markets in which we operate, including market position and market opportunity, is based on information from our management’s estimates, as well as from industry publications and research, surveys and studies conducted by third parties. Management estimates are derived from publicly available information, our knowledge of our industry and assumptions based on such information and knowledge, which we believe to be reasonable. However, assumptions and estimates of our future performance, and the future performance of our industry, are subject to numerous known and unknown risks and uncertainties, including those described under the heading “</w:t>
      </w:r>
      <w:r>
        <w:rPr>
          <w:rFonts w:ascii="Times New Roman" w:cs="Times New Roman" w:eastAsia="Times New Roman" w:hAnsi="Times New Roman"/>
          <w:sz w:val="13"/>
          <w:szCs w:val="13"/>
          <w:u w:val="single" w:color="auto"/>
          <w:color w:val="0000FF"/>
        </w:rPr>
        <w:t>Risk Factors</w:t>
      </w:r>
      <w:r>
        <w:rPr>
          <w:rFonts w:ascii="Times New Roman" w:cs="Times New Roman" w:eastAsia="Times New Roman" w:hAnsi="Times New Roman"/>
          <w:sz w:val="13"/>
          <w:szCs w:val="13"/>
          <w:color w:val="auto"/>
        </w:rPr>
        <w:t xml:space="preserve">” beginning on page </w:t>
      </w:r>
      <w:r>
        <w:rPr>
          <w:rFonts w:ascii="Times New Roman" w:cs="Times New Roman" w:eastAsia="Times New Roman" w:hAnsi="Times New Roman"/>
          <w:sz w:val="13"/>
          <w:szCs w:val="13"/>
          <w:u w:val="single" w:color="auto"/>
          <w:color w:val="0000FF"/>
        </w:rPr>
        <w:t>S-8</w:t>
      </w:r>
      <w:r>
        <w:rPr>
          <w:rFonts w:ascii="Times New Roman" w:cs="Times New Roman" w:eastAsia="Times New Roman" w:hAnsi="Times New Roman"/>
          <w:sz w:val="13"/>
          <w:szCs w:val="13"/>
          <w:color w:val="auto"/>
        </w:rPr>
        <w:t xml:space="preserve"> of this prospectus supplement and in the risk factors incorporated by reference into this prospectus supplement and the accompanying prospectus. These and other important factors could result in our estimates and assumptions being materially different from future results. You should read the information contained in, or incorporated by reference into, this prospectus supplement and the accompanying prospectus completely and with the understanding that future results may be materially different and worse from what we expect. See the information included under the heading “Cautionary Note Concerning Forward-Looking Statements.” In this prospectus supplement, unless the context otherwise requires, the terms “Spyre,” “Aeglea BioTherapeutics, Inc.,” “Aeglea,” the “Company,” “we,” “us,” and “our” refer to Spyre Therapeutics, Inc., a Delaware corporation, and its consolidated subsidiaries taken as a whole.</w:t>
      </w:r>
    </w:p>
    <w:p>
      <w:pPr>
        <w:spacing w:after="0" w:line="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“Spyre” and all product candidate names are our common law trademarks. This prospectus supplement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supplement may appear without the ® or ™ symbols.</w:t>
      </w:r>
    </w:p>
    <w:p>
      <w:pPr>
        <w:spacing w:after="0" w:line="9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4"/>
          <w:szCs w:val="14"/>
          <w:color w:val="auto"/>
        </w:rPr>
        <w:t>All references to “our product candidates,” “our programs” and “our pipeline” in this prospectus supplement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w:t>
      </w:r>
    </w:p>
    <w:p>
      <w:pPr>
        <w:spacing w:after="0" w:line="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Please be advised that on September 8, 2023, we effected a reverse stock split of our common stock at a ratio of 1-for-25 (the “Reverse Split”). Except as indicated otherwise, all share numbers related to our common stock disclosed in this prospectus supplement have been adjusted on a post-Reverse Split basis. In addition, on November 28, 2023, we changed our name from “Aeglea BioTherapeutics, Inc.” to “Spyre Therapeutics,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1220"/>
          </w:cols>
          <w:pgMar w:left="300" w:top="1242" w:right="3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CONCERNING FORWARD-LOOKING STATEMENTS</w:t>
      </w:r>
    </w:p>
    <w:p>
      <w:pPr>
        <w:spacing w:after="0" w:line="132"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and Section 21E of the Exchange.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9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All statements contained in this prospectus supplement, other than statements of historical fact, including, without limitation, statements regarding any future payouts under our contingent value rights issued in connection with the acquisition of Spyre Therapeutics, Inc. (“Pre-Merger Spyre”)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or a subcutaneous injection; the planned dosing regimen for SPY001, SPY002, SPY072 and SPY003, and combinations thereof, including the potential for a Q3M-Q6M dosing profile and the potential for such dosing profile to be the leading product profile in IBD and RD; our non-clinical and clinical development activities, including our plans for and timing of cohort initiation and data readouts for the ongoing SKYWAY Phase 2 basket trial and SKYLINE Phase 2 platform trial, enrollment of clinical trials,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Russia and Ukraine,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26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heading “Risk Factors” in the prospectus and this prospectus supplement and in the documents incorporated by reference in the prospectus and this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1280"/>
          </w:cols>
          <w:pgMar w:left="300" w:top="1238" w:right="319" w:bottom="1440" w:gutter="0" w:footer="0" w:header="0"/>
        </w:sectPr>
      </w:pPr>
    </w:p>
    <w:bookmarkStart w:id="31" w:name="page32"/>
    <w:bookmarkEnd w:id="31"/>
    <w:p>
      <w:pPr>
        <w:spacing w:after="0" w:line="24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supplement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w:t>
      </w:r>
    </w:p>
    <w:p>
      <w:pPr>
        <w:spacing w:after="0" w:line="1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1240"/>
          </w:cols>
          <w:pgMar w:left="300" w:top="1242" w:right="3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793750</wp:posOffset>
            </wp:positionV>
            <wp:extent cx="7171055" cy="3696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1055" cy="369633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i w:val="1"/>
          <w:iCs w:val="1"/>
          <w:color w:val="auto"/>
        </w:rPr>
        <w:t>The items in the following summary are described in more detail later in this prospectus supplement and the accompanying prospectus. This summary provides an overview of selected information and does not contain all of the information you should consider before buying our common stock. Therefore, you should read the entire prospectus supplement and the accompanying prospectus carefully, including the information in our filings with the SEC incorporated by reference herein, before deciding to invest in our common stock. Investors should carefully consider the information set forth under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i w:val="1"/>
          <w:iCs w:val="1"/>
          <w:color w:val="auto"/>
        </w:rPr>
        <w:t xml:space="preserve">” beginning on page </w:t>
      </w:r>
      <w:r>
        <w:rPr>
          <w:rFonts w:ascii="Times New Roman" w:cs="Times New Roman" w:eastAsia="Times New Roman" w:hAnsi="Times New Roman"/>
          <w:sz w:val="14"/>
          <w:szCs w:val="14"/>
          <w:i w:val="1"/>
          <w:iCs w:val="1"/>
          <w:u w:val="single" w:color="auto"/>
          <w:color w:val="0000FF"/>
        </w:rPr>
        <w:t>S-8</w:t>
      </w:r>
      <w:r>
        <w:rPr>
          <w:rFonts w:ascii="Times New Roman" w:cs="Times New Roman" w:eastAsia="Times New Roman" w:hAnsi="Times New Roman"/>
          <w:sz w:val="14"/>
          <w:szCs w:val="14"/>
          <w:i w:val="1"/>
          <w:iCs w:val="1"/>
          <w:color w:val="auto"/>
        </w:rPr>
        <w:t xml:space="preserve"> of this prospectus supplement and page </w:t>
      </w:r>
      <w:r>
        <w:rPr>
          <w:rFonts w:ascii="Times New Roman" w:cs="Times New Roman" w:eastAsia="Times New Roman" w:hAnsi="Times New Roman"/>
          <w:sz w:val="14"/>
          <w:szCs w:val="14"/>
          <w:i w:val="1"/>
          <w:iCs w:val="1"/>
          <w:u w:val="single" w:color="auto"/>
          <w:color w:val="0000FF"/>
        </w:rPr>
        <w:t>5</w:t>
      </w:r>
      <w:r>
        <w:rPr>
          <w:rFonts w:ascii="Times New Roman" w:cs="Times New Roman" w:eastAsia="Times New Roman" w:hAnsi="Times New Roman"/>
          <w:sz w:val="14"/>
          <w:szCs w:val="14"/>
          <w:i w:val="1"/>
          <w:iCs w:val="1"/>
          <w:color w:val="auto"/>
        </w:rPr>
        <w:t xml:space="preserve"> of the accompanying prospectus and those risks identified in our most recent Annual Report on Form 10-K and any subsequent Quarterly Reports on Form 10-Q. In this prospectus supplement, unless the context otherwise requires, references to “Spyre,” “Aeglea,” “Aeglea BioTherapeutics, Inc.,” the “Company,” “we,” “us,” and “our” refer to Spyre Therapeutics, Inc., a Delaware corporation, and its consolidated subsidiaries.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committed to developing next-generation therapies that elevate the standard in immunology by delivering more complete disease control, greater durability, and a simpler treatment experience for patients. Our pipeline includes investigational extended half-life antibodies targeting α4β7, TL1A, and IL-23 in development as monotherapies and pair-wise combinations.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132"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4"/>
          <w:szCs w:val="14"/>
          <w:color w:val="auto"/>
        </w:rPr>
        <w:t>We were formed as a Limited Liability Company (“LLC”) in Delaware on December 16, 2013 under the name Aeglea BioTherapeutics Holdings, LLC and were converted from a Delaware LLC to a Delaware corporation on March 10, 2015. On June 22, 2023, we completed the Asset Acquisition, and on November 27, 2023, we completed our corporate rebranding, changing our name to Spyre Therapeutics, Inc.</w:t>
      </w:r>
    </w:p>
    <w:p>
      <w:pPr>
        <w:spacing w:after="0" w:line="9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221 Crescent Street, Building 23, Suite 105, Waltham, MA 02453 and our telephone number is (617) 651-5940. Our website is </w:t>
      </w:r>
      <w:r>
        <w:rPr>
          <w:rFonts w:ascii="Times New Roman" w:cs="Times New Roman" w:eastAsia="Times New Roman" w:hAnsi="Times New Roman"/>
          <w:sz w:val="14"/>
          <w:szCs w:val="14"/>
          <w:i w:val="1"/>
          <w:iCs w:val="1"/>
          <w:color w:val="auto"/>
        </w:rPr>
        <w:t>www.spyre.com</w:t>
      </w:r>
      <w:r>
        <w:rPr>
          <w:rFonts w:ascii="Times New Roman" w:cs="Times New Roman" w:eastAsia="Times New Roman" w:hAnsi="Times New Roman"/>
          <w:sz w:val="14"/>
          <w:szCs w:val="14"/>
          <w:color w:val="auto"/>
        </w:rPr>
        <w:t>. The information on, or that can be accessed through, our website is not part of this prospectus and is not incorporated by reference herein. We have included our website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address in this prospectus solely as an inactive textual reference.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Since September 6, 2024, we sold an aggregate of approximately 1.5 million shares of our common stock, resulting in approximately $45.0 million in net proceeds at a weighted average sales price of approximately $30.23 pursuant to our Sales Agreement, dated September 6, 2024, between us and TD Cowen (the “2024 Sales Agreement”), leaving $154.1 million remaining under the 2024 Sales Agreement. We and TD Cowen terminated the 2024 Sales Agreement by mutual agreement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260"/>
          </w:cols>
          <w:pgMar w:left="820" w:top="1440" w:right="8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793750</wp:posOffset>
            </wp:positionV>
            <wp:extent cx="7171055" cy="4614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1055" cy="46145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61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32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offered by us pursuant to this prospectus supplement</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Shares of our common stock having an aggregate offering price of up to $500,000,000.</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to be outstanding immediately after this offering</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Up to 84,478,743 shares of our common stock (or 98,987,223 shares on an as-converted-basis, giving</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6120" w:type="dxa"/>
            <w:vAlign w:val="bottom"/>
            <w:gridSpan w:val="5"/>
          </w:tcPr>
          <w:p>
            <w:pPr>
              <w:ind w:left="340"/>
              <w:spacing w:after="0" w:line="137" w:lineRule="exact"/>
              <w:rPr>
                <w:sz w:val="20"/>
                <w:szCs w:val="20"/>
                <w:color w:val="auto"/>
              </w:rPr>
            </w:pPr>
            <w:r>
              <w:rPr>
                <w:rFonts w:ascii="Times New Roman" w:cs="Times New Roman" w:eastAsia="Times New Roman" w:hAnsi="Times New Roman"/>
                <w:sz w:val="14"/>
                <w:szCs w:val="14"/>
                <w:color w:val="auto"/>
                <w:w w:val="99"/>
              </w:rPr>
              <w:t>effect to the conversion of all of our outstanding shares of preferred stock into shares of common stock</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1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4"/>
                <w:szCs w:val="14"/>
                <w:color w:val="auto"/>
              </w:rPr>
              <w:t>without regard to any beneficial ownership limitations), assuming sales of 5,638,885 shares of our</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6120" w:type="dxa"/>
            <w:vAlign w:val="bottom"/>
            <w:gridSpan w:val="5"/>
          </w:tcPr>
          <w:p>
            <w:pPr>
              <w:ind w:left="340"/>
              <w:spacing w:after="0" w:line="142" w:lineRule="exact"/>
              <w:rPr>
                <w:sz w:val="20"/>
                <w:szCs w:val="20"/>
                <w:color w:val="auto"/>
              </w:rPr>
            </w:pPr>
            <w:r>
              <w:rPr>
                <w:rFonts w:ascii="Times New Roman" w:cs="Times New Roman" w:eastAsia="Times New Roman" w:hAnsi="Times New Roman"/>
                <w:sz w:val="14"/>
                <w:szCs w:val="14"/>
                <w:color w:val="auto"/>
                <w:w w:val="98"/>
              </w:rPr>
              <w:t>common stock in this offering at a public offering price of $88.67 per share, which was the last reported</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6120" w:type="dxa"/>
            <w:vAlign w:val="bottom"/>
            <w:gridSpan w:val="5"/>
          </w:tcPr>
          <w:p>
            <w:pPr>
              <w:ind w:left="340"/>
              <w:spacing w:after="0" w:line="137" w:lineRule="exact"/>
              <w:rPr>
                <w:sz w:val="20"/>
                <w:szCs w:val="20"/>
                <w:color w:val="auto"/>
              </w:rPr>
            </w:pPr>
            <w:r>
              <w:rPr>
                <w:rFonts w:ascii="Times New Roman" w:cs="Times New Roman" w:eastAsia="Times New Roman" w:hAnsi="Times New Roman"/>
                <w:sz w:val="14"/>
                <w:szCs w:val="14"/>
                <w:color w:val="auto"/>
              </w:rPr>
              <w:t>sale price per share of our common stock on the Nasdaq Global Select Market on June 25, 2026. The</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1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4"/>
                <w:szCs w:val="14"/>
                <w:color w:val="auto"/>
              </w:rPr>
              <w:t>actual number of shares of our common stock issued will vary depending on the sales price under this</w:t>
            </w: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offering.</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Plan of distribution</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“At the market offering” that may be made from time to time through TD Cowen acting as our sales</w:t>
            </w: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agent. See “Plan of Distribution” for additional information.</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We intend to use the net proceeds of the offering to continue to advance our programs in IBD and RD,</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6120" w:type="dxa"/>
            <w:vAlign w:val="bottom"/>
            <w:gridSpan w:val="5"/>
          </w:tcPr>
          <w:p>
            <w:pPr>
              <w:ind w:left="340"/>
              <w:spacing w:after="0" w:line="137" w:lineRule="exact"/>
              <w:rPr>
                <w:sz w:val="20"/>
                <w:szCs w:val="20"/>
                <w:color w:val="auto"/>
              </w:rPr>
            </w:pPr>
            <w:r>
              <w:rPr>
                <w:rFonts w:ascii="Times New Roman" w:cs="Times New Roman" w:eastAsia="Times New Roman" w:hAnsi="Times New Roman"/>
                <w:sz w:val="14"/>
                <w:szCs w:val="14"/>
                <w:color w:val="auto"/>
              </w:rPr>
              <w:t>including to fund preclinical studies, clinical trials and manufacturing in support of our antibody</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1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4"/>
                <w:szCs w:val="14"/>
                <w:color w:val="auto"/>
                <w:w w:val="98"/>
              </w:rPr>
              <w:t>programs. We also intend to use a portion of the net proceeds to further develop and support our general</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6120" w:type="dxa"/>
            <w:vAlign w:val="bottom"/>
            <w:gridSpan w:val="5"/>
          </w:tcPr>
          <w:p>
            <w:pPr>
              <w:ind w:left="340"/>
              <w:spacing w:after="0" w:line="142" w:lineRule="exact"/>
              <w:rPr>
                <w:sz w:val="20"/>
                <w:szCs w:val="20"/>
                <w:color w:val="auto"/>
              </w:rPr>
            </w:pPr>
            <w:r>
              <w:rPr>
                <w:rFonts w:ascii="Times New Roman" w:cs="Times New Roman" w:eastAsia="Times New Roman" w:hAnsi="Times New Roman"/>
                <w:sz w:val="14"/>
                <w:szCs w:val="14"/>
                <w:color w:val="auto"/>
              </w:rPr>
              <w:t>infrastructure. Finally, we may use a portion of the net proceeds to in-license, acquire, or invest in</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6120" w:type="dxa"/>
            <w:vAlign w:val="bottom"/>
            <w:gridSpan w:val="5"/>
          </w:tcPr>
          <w:p>
            <w:pPr>
              <w:ind w:left="340"/>
              <w:spacing w:after="0" w:line="137" w:lineRule="exact"/>
              <w:rPr>
                <w:sz w:val="20"/>
                <w:szCs w:val="20"/>
                <w:color w:val="auto"/>
              </w:rPr>
            </w:pPr>
            <w:r>
              <w:rPr>
                <w:rFonts w:ascii="Times New Roman" w:cs="Times New Roman" w:eastAsia="Times New Roman" w:hAnsi="Times New Roman"/>
                <w:sz w:val="14"/>
                <w:szCs w:val="14"/>
                <w:color w:val="auto"/>
              </w:rPr>
              <w:t>additional businesses, technologies, products, or assets, and to fund the development of such new in-</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1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4"/>
                <w:szCs w:val="14"/>
                <w:color w:val="auto"/>
                <w:w w:val="99"/>
              </w:rPr>
              <w:t>licensed or acquired technologies and products. Any remaining proceeds will be used for other ongoing</w:t>
            </w: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612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w w:val="98"/>
              </w:rPr>
              <w:t>research and development, working capital and other general corporate purposes. See “</w:t>
            </w:r>
            <w:r>
              <w:rPr>
                <w:rFonts w:ascii="Times New Roman" w:cs="Times New Roman" w:eastAsia="Times New Roman" w:hAnsi="Times New Roman"/>
                <w:sz w:val="14"/>
                <w:szCs w:val="14"/>
                <w:color w:val="0000FF"/>
                <w:w w:val="98"/>
              </w:rPr>
              <w:t>Use of Proceeds</w:t>
            </w: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5140" w:type="dxa"/>
            <w:vAlign w:val="bottom"/>
            <w:gridSpan w:val="2"/>
          </w:tcPr>
          <w:p>
            <w:pPr>
              <w:ind w:left="340"/>
              <w:spacing w:after="0" w:line="159" w:lineRule="exact"/>
              <w:rPr>
                <w:sz w:val="20"/>
                <w:szCs w:val="20"/>
                <w:color w:val="auto"/>
              </w:rPr>
            </w:pPr>
            <w:r>
              <w:rPr>
                <w:rFonts w:ascii="Times New Roman" w:cs="Times New Roman" w:eastAsia="Times New Roman" w:hAnsi="Times New Roman"/>
                <w:sz w:val="14"/>
                <w:szCs w:val="14"/>
                <w:color w:val="auto"/>
              </w:rPr>
              <w:t>for additional information.</w:t>
            </w:r>
          </w:p>
        </w:tc>
        <w:tc>
          <w:tcPr>
            <w:tcW w:w="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You should read and consider the information set forth under the heading “</w:t>
            </w:r>
            <w:r>
              <w:rPr>
                <w:rFonts w:ascii="Times New Roman" w:cs="Times New Roman" w:eastAsia="Times New Roman" w:hAnsi="Times New Roman"/>
                <w:sz w:val="14"/>
                <w:szCs w:val="14"/>
                <w:color w:val="0000FF"/>
              </w:rPr>
              <w:t>Risk Factors</w:t>
            </w:r>
            <w:r>
              <w:rPr>
                <w:rFonts w:ascii="Times New Roman" w:cs="Times New Roman" w:eastAsia="Times New Roman" w:hAnsi="Times New Roman"/>
                <w:sz w:val="14"/>
                <w:szCs w:val="14"/>
                <w:color w:val="auto"/>
              </w:rPr>
              <w:t>” in this</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46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4"/>
                <w:szCs w:val="14"/>
                <w:color w:val="auto"/>
                <w:w w:val="98"/>
              </w:rPr>
              <w:t>prospectus supplement and in the accompanying prospectus, together with</w:t>
            </w:r>
          </w:p>
        </w:tc>
        <w:tc>
          <w:tcPr>
            <w:tcW w:w="70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120" w:type="dxa"/>
            <w:vAlign w:val="bottom"/>
          </w:tcPr>
          <w:p>
            <w:pPr>
              <w:spacing w:after="0"/>
              <w:rPr>
                <w:sz w:val="9"/>
                <w:szCs w:val="9"/>
                <w:color w:val="auto"/>
              </w:rPr>
            </w:pPr>
          </w:p>
        </w:tc>
        <w:tc>
          <w:tcPr>
            <w:tcW w:w="4460" w:type="dxa"/>
            <w:vAlign w:val="bottom"/>
            <w:vMerge w:val="continue"/>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Times New Roman" w:cs="Times New Roman" w:eastAsia="Times New Roman" w:hAnsi="Times New Roman"/>
                <w:sz w:val="13"/>
                <w:szCs w:val="13"/>
                <w:color w:val="auto"/>
              </w:rPr>
              <w:t>the risk factors and</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120" w:type="dxa"/>
            <w:vAlign w:val="bottom"/>
            <w:gridSpan w:val="5"/>
          </w:tcPr>
          <w:p>
            <w:pPr>
              <w:ind w:left="340"/>
              <w:spacing w:after="0" w:line="135" w:lineRule="exact"/>
              <w:rPr>
                <w:sz w:val="20"/>
                <w:szCs w:val="20"/>
                <w:color w:val="auto"/>
              </w:rPr>
            </w:pPr>
            <w:r>
              <w:rPr>
                <w:rFonts w:ascii="Times New Roman" w:cs="Times New Roman" w:eastAsia="Times New Roman" w:hAnsi="Times New Roman"/>
                <w:sz w:val="14"/>
                <w:szCs w:val="14"/>
                <w:color w:val="auto"/>
              </w:rPr>
              <w:t>cautionary statements described in our most recent Annual Report on Form 10-K and any subsequent</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6120" w:type="dxa"/>
            <w:vAlign w:val="bottom"/>
            <w:gridSpan w:val="5"/>
          </w:tcPr>
          <w:p>
            <w:pPr>
              <w:ind w:left="340"/>
              <w:spacing w:after="0" w:line="142" w:lineRule="exact"/>
              <w:rPr>
                <w:sz w:val="20"/>
                <w:szCs w:val="20"/>
                <w:color w:val="auto"/>
              </w:rPr>
            </w:pPr>
            <w:r>
              <w:rPr>
                <w:rFonts w:ascii="Times New Roman" w:cs="Times New Roman" w:eastAsia="Times New Roman" w:hAnsi="Times New Roman"/>
                <w:sz w:val="14"/>
                <w:szCs w:val="14"/>
                <w:color w:val="auto"/>
                <w:w w:val="98"/>
              </w:rPr>
              <w:t>Quarterly Reports on Form 10-Q, incorporated by reference herein, before deciding to invest in shares of</w:t>
            </w: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our common stock.</w:t>
            </w: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Nasdaq Global Select Market Symbol</w:t>
            </w:r>
          </w:p>
        </w:tc>
        <w:tc>
          <w:tcPr>
            <w:tcW w:w="61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“SYRE”</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immediately after this offering as shown above is based on 93,348,338 shares of common stock outstanding as of March 31, 2026, after giving effect to the conversion of all of our outstanding shares of preferred stock into 14,508,480 shares of common stock without regard to any beneficial ownership limitations, but otherwise excludes:</w:t>
      </w:r>
    </w:p>
    <w:p>
      <w:pPr>
        <w:spacing w:after="0" w:line="98" w:lineRule="exact"/>
        <w:rPr>
          <w:sz w:val="20"/>
          <w:szCs w:val="20"/>
          <w:color w:val="auto"/>
        </w:rPr>
      </w:pPr>
    </w:p>
    <w:p>
      <w:pPr>
        <w:ind w:left="480" w:hanging="24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13,547,359 shares of common stock issuable upon the exercise of outstanding stock options having a weighted-average exercise price of $19.02 per share;</w:t>
      </w:r>
    </w:p>
    <w:p>
      <w:pPr>
        <w:spacing w:after="0" w:line="128" w:lineRule="exact"/>
        <w:rPr>
          <w:rFonts w:ascii="Times New Roman" w:cs="Times New Roman" w:eastAsia="Times New Roman" w:hAnsi="Times New Roman"/>
          <w:sz w:val="14"/>
          <w:szCs w:val="14"/>
          <w:color w:val="auto"/>
        </w:rPr>
      </w:pPr>
    </w:p>
    <w:p>
      <w:pPr>
        <w:ind w:left="480" w:hanging="24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197,032 shares of common stock issuable upon the vesting of restricted stock units outstanding;</w:t>
      </w:r>
    </w:p>
    <w:p>
      <w:pPr>
        <w:spacing w:after="0" w:line="128" w:lineRule="exact"/>
        <w:rPr>
          <w:rFonts w:ascii="Times New Roman" w:cs="Times New Roman" w:eastAsia="Times New Roman" w:hAnsi="Times New Roman"/>
          <w:sz w:val="14"/>
          <w:szCs w:val="14"/>
          <w:color w:val="auto"/>
        </w:rPr>
      </w:pPr>
    </w:p>
    <w:p>
      <w:pPr>
        <w:ind w:left="480" w:right="460" w:hanging="240"/>
        <w:spacing w:after="0" w:line="272" w:lineRule="auto"/>
        <w:tabs>
          <w:tab w:leader="none" w:pos="47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15,316,247 shares of common stock reserved for issuance pursuant to future equity awards under our 2016 Equity Incentive Plan (the “2016 Plan”), as well as any future increases in the number of shares of our common stock reserved for future issuance under the 2016 Plan;</w:t>
      </w:r>
    </w:p>
    <w:p>
      <w:pPr>
        <w:spacing w:after="0" w:line="89" w:lineRule="exact"/>
        <w:rPr>
          <w:rFonts w:ascii="Times New Roman" w:cs="Times New Roman" w:eastAsia="Times New Roman" w:hAnsi="Times New Roman"/>
          <w:sz w:val="14"/>
          <w:szCs w:val="14"/>
          <w:color w:val="auto"/>
        </w:rPr>
      </w:pPr>
    </w:p>
    <w:p>
      <w:pPr>
        <w:ind w:left="480" w:right="380" w:hanging="240"/>
        <w:spacing w:after="0" w:line="272" w:lineRule="auto"/>
        <w:tabs>
          <w:tab w:leader="none" w:pos="47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7,317,800 shares of common stock reserved for issuance pursuant to future equity awards under our 2018 Equity Inducement Plan (the “2018 Plan”), as well as any future increases in the number of shares of our common stock reserved for future issuance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240"/>
          </w:cols>
          <w:pgMar w:left="820" w:top="1440" w:right="839" w:bottom="1440" w:gutter="0" w:footer="0" w:header="0"/>
        </w:sectPr>
      </w:pPr>
    </w:p>
    <w:bookmarkStart w:id="34" w:name="page35"/>
    <w:bookmarkEnd w:id="34"/>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793750</wp:posOffset>
            </wp:positionV>
            <wp:extent cx="7171055" cy="173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1055" cy="1730375"/>
                    </a:xfrm>
                    <a:prstGeom prst="rect">
                      <a:avLst/>
                    </a:prstGeom>
                    <a:noFill/>
                  </pic:spPr>
                </pic:pic>
              </a:graphicData>
            </a:graphic>
          </wp:anchor>
        </w:drawing>
      </w:r>
    </w:p>
    <w:p>
      <w:pPr>
        <w:ind w:left="480" w:hanging="240"/>
        <w:spacing w:after="0" w:line="272" w:lineRule="auto"/>
        <w:tabs>
          <w:tab w:leader="none" w:pos="47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972,775 shares of common stock reserved for future issuance under our 2016 Employee Stock Purchase Plan (the “2016 ESPP”), as well as any future increases in the number of shares of our common stock reserved for future issuance under the 2016 ESPP; and</w:t>
      </w:r>
    </w:p>
    <w:p>
      <w:pPr>
        <w:spacing w:after="0" w:line="89" w:lineRule="exact"/>
        <w:rPr>
          <w:rFonts w:ascii="Times New Roman" w:cs="Times New Roman" w:eastAsia="Times New Roman" w:hAnsi="Times New Roman"/>
          <w:sz w:val="14"/>
          <w:szCs w:val="14"/>
          <w:color w:val="auto"/>
        </w:rPr>
      </w:pPr>
    </w:p>
    <w:p>
      <w:pPr>
        <w:ind w:left="480" w:hanging="240"/>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1,532,591 shares of common stock issuable upon the exercise of outstanding warrants having a weighted-average exercise price of $22.49 per share.</w:t>
      </w:r>
    </w:p>
    <w:p>
      <w:pPr>
        <w:spacing w:after="0" w:line="1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As of March 31, 2026, 346,045 shares of Series A Non-Voting Convertible Preferred Stock and 16,667 shares of Series B Non-Voting Convertible Preferred Stock (each convertible on a 40:1 basis) were issued and outstanding.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indicated otherwise, all share numbers related to our Common Stock disclosed in this prospectus have been adjusted on a post-Reverse Split basis.</w:t>
      </w:r>
    </w:p>
    <w:p>
      <w:pPr>
        <w:spacing w:after="0" w:line="12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Unless otherwise indicated, all information in this prospectus supplement assumes no exercise of outstanding stock options and warrants or vesting of restricted stock units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240"/>
          </w:cols>
          <w:pgMar w:left="820" w:top="1440" w:right="8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including the risks and uncertainties discussed under “Risk Factors” in our most recent Annual Report on Form 10-K and any subsequent Quarterly Reports on Form 10-Q,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fall.</w:t>
      </w:r>
    </w:p>
    <w:p>
      <w:pPr>
        <w:spacing w:after="0" w:line="13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If we or our existing stockholders sell, or indicate an intention to sell, substantial amounts of our common stock in the public market, the market price of our common stock could decline. Based upon the number of shares of common stock outstanding as of March 31, 2026 and assuming sales of 5,638,885 shares of our common stock in this offering at a public offering price of $88.67 per share, which was the last reported sale price per share of our common stock on the Nasdaq Global Select Market on June 25, 2026, as a result of this offering we would have outstanding a total of approximately 84,478,743 shares of common stock, all of which would be freely tradable (subject to the restrictions in Rule 144 for shares of common stock held by our affiliates). Any shares sold in this offering will be freely tradable, without restriction, in the public market.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as to the use of proceeds from this offering and may not use the proceeds effectively.</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to us from this offering, including to use them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interest-bearing, investment-grade securities, certificates of deposit or government securities. These investments may not yield a favorable return to our stockholders.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our common stock in this offering, you may incur immediate and substantial dilution.</w:t>
      </w:r>
    </w:p>
    <w:p>
      <w:pPr>
        <w:spacing w:after="0" w:line="13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3"/>
          <w:szCs w:val="13"/>
          <w:color w:val="auto"/>
        </w:rPr>
        <w:t>Some or all of the public offering price per share in this offering may exceed the as-adjusted net tangible book value per share of our outstanding common stock. After giving effect to an assumed sale of shares of common stock in the aggregate amount of $500.0 million at an assumed public offering price of $88.67 per share, which was the last reported sale price per share of our common stock on the Nasdaq Global Select Market on June 25, 2026, and after deducting the commissions and estimated offering expenses payable by us and further giving effect to the conversion of all of our outstanding shares of preferred stock into shares of common stock without regard to any beneficial ownership limitations, you would incur immediate and substantial dilution in the amount of $76.95 per share.</w:t>
      </w:r>
    </w:p>
    <w:p>
      <w:pPr>
        <w:spacing w:after="0" w:line="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This dilution is due to the substantially lower price paid by our investors who purchased shares prior to this offering as compared to the price offered to the public in this offering, and the exercise of stock options granted to our employees. In addition, the vesting of the restricted stock units, the exercise of any outstanding options to purchase shares of our common stock or warrants and issuances of our equity in future equity offerings would result in additional dilution. As a result of the dilution to investors purchasing shares in this offering, investors may receive significantly less than the purchase price paid in this offering, if anything, in the event of our liquidation. See “Dilution”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1260"/>
          </w:cols>
          <w:pgMar w:left="300" w:top="123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aggregate proceeds resulting from sales made under the Sales Agreement.</w:t>
      </w:r>
    </w:p>
    <w:p>
      <w:pPr>
        <w:spacing w:after="0" w:line="13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an issuance notice to TD Cowen at any time throughout the term of the Sales Agreement. The number of shares that are sold through TD Cowen after delivering an issuance notice, if any, will fluctuate based on a number of factors, including the market price of shares of our common stock during the sales period, the limits we set with TD Cowen in any applicable issuance notice and the demand for shares of our common stock during the sales period. Because the price per share of each share of common stock sold pursuant to the Sales Agreement will fluctuate during this offering, it is not currently possible to predict the number of shares of common stock that will be sold or the aggregate proceeds we will raise in connection with those sales under the Sales Agreement, and we may not sell any shares of common stock.</w:t>
      </w:r>
    </w:p>
    <w:p>
      <w:pPr>
        <w:spacing w:after="0" w:line="10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13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1260"/>
          </w:cols>
          <w:pgMar w:left="300" w:top="1238"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sales proceeds of up to $500,000,000 from time to time. Because there is no minimum offering amount required to be sold in connection with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intend to use the net proceeds of the offering to continue to advance our programs in IBD and RD, including to fund preclinical studies, clinical trials and manufacturing in support of our antibody programs.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in-licensed or acquired technologies and products. Any remaining proceeds will be used for other ongoing research and development, working capital and other general corporate purposes.</w:t>
      </w:r>
    </w:p>
    <w:p>
      <w:pPr>
        <w:spacing w:after="0" w:line="103"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4"/>
          <w:szCs w:val="14"/>
          <w:color w:val="auto"/>
        </w:rPr>
        <w:t>Pending the use of the proceeds to us from this offering, we intend to invest these proceeds in interest-bearing, investment-grade securities, certificates of deposit, money market funds or government securities.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1240"/>
          </w:cols>
          <w:pgMar w:left="300" w:top="1238"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3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Dilution represents the difference between the amount per share of common stock paid by purchasers of shares of common stock in this offering and the as-adjusted net tangible book value per share of our common stock immediately after this offering. The data in this section are derived from our balance sheet as of March 31, 2026. Net tangible book value per share of common stock is equal to our total tangible assets less the amount of our total liabilities, divided by the sum of the number of shares of common stock outstanding as of March 31, 2026, excluding shares of common stock underlying outstanding options, unvested restricted stock units and warrants. Our net tangible book value as of March 31, 2026, was approximately $670.8 million, or $8.51 per share of common stock. For purposes of this “Dilution” section, except as otherwise noted, all subsequent share and per share information assumes the conversion of all outstanding preferred stock (convertible on a 40-to-1 basis) without regard to any beneficial ownership limitations. Assuming such conversion, our pro forma net tangible book value as of March 31, 2026 was $670.8 million, or $7.19 per share of common stock.</w:t>
      </w:r>
    </w:p>
    <w:p>
      <w:pPr>
        <w:spacing w:after="0" w:line="9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We present dilution on a pro forma as-adjusted basis to give effect to (i) the assumed conversion of all outstanding shares of our preferred stock as described above and (ii) our receipt of the estimated net proceeds from the assumed sale of shares of common stock in the aggregate amount of $500.0 million at an assumed public offering price of $88.67 per share, which was the last reported sale price per share of our common stock on the Nasdaq Global Select Market on June 25, 2026, and after deducting the commissions and estimated offering expenses payable by us. On a pro forma as-adjusted basis, our as-adjusted net tangible book value as of March 31, 2026, would have been $1,160.0 million, or $11.72 per share of common stock. This represents an immediate increase in pro forma as-adjusted net tangible book value to existing stockholders of $4.53 per share of common stock and immediate dilution in pro forma as-adjusted net tangible book value to purchasers of shares of common stock in this offering of $76.95 per share of common stock. The following table illustrates this dilution per share of common stock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Assumed public offering price per share of common stock</w:t>
            </w:r>
          </w:p>
        </w:tc>
        <w:tc>
          <w:tcPr>
            <w:tcW w:w="68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88.67</w:t>
            </w:r>
          </w:p>
        </w:tc>
      </w:tr>
      <w:tr>
        <w:trPr>
          <w:trHeight w:val="175"/>
        </w:trPr>
        <w:tc>
          <w:tcPr>
            <w:tcW w:w="8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of common stock as of March 31, 2026 (excluding the conversion of preferred stock)</w:t>
            </w:r>
          </w:p>
        </w:tc>
        <w:tc>
          <w:tcPr>
            <w:tcW w:w="680" w:type="dxa"/>
            <w:vAlign w:val="bottom"/>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34"/>
        </w:trPr>
        <w:tc>
          <w:tcPr>
            <w:tcW w:w="80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Pro forma net tangible book value per share as of March 31, 2026, giving effect to the conversion of preferred stock without regard to any</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6"/>
        </w:trPr>
        <w:tc>
          <w:tcPr>
            <w:tcW w:w="8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beneficial ownership limitation</w:t>
            </w:r>
          </w:p>
        </w:tc>
        <w:tc>
          <w:tcPr>
            <w:tcW w:w="68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5"/>
        </w:trPr>
        <w:tc>
          <w:tcPr>
            <w:tcW w:w="8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Increase in pro forma net tangible book value per share of common stock attributable to new investors</w:t>
            </w:r>
          </w:p>
        </w:tc>
        <w:tc>
          <w:tcPr>
            <w:tcW w:w="6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r>
      <w:tr>
        <w:trPr>
          <w:trHeight w:val="155"/>
        </w:trPr>
        <w:tc>
          <w:tcPr>
            <w:tcW w:w="80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Pro forma as-adjusted net tangible book value per share after this offering</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91"/>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11.72</w:t>
            </w:r>
          </w:p>
        </w:tc>
      </w:tr>
      <w:tr>
        <w:trPr>
          <w:trHeight w:val="16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Dilution per share of common stock to investors participating in this offering</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76.95</w:t>
            </w:r>
          </w:p>
        </w:tc>
      </w:tr>
    </w:tbl>
    <w:p>
      <w:pPr>
        <w:spacing w:after="0" w:line="18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5,638,885 shares of our common stock are sold at a price of $88.67 per share, the last reported sale price of our common stock on the Nasdaq Global Select Market on June 25, 2026. The shares of common stock sold in this offering, if any, will be sold from time to time at various prices. An increase of $1.00 per share in the assumed price at which the shares of common stock are sold would increase the dilution in pro forma net tangible book value per share to purchasers of shares of common stock in this offering to $77.94 per share, after deducting the commissions and estimated offering expenses payable by us. A decrease of $1.00 per share in the assumed price at which the shares of common stock are sold would decrease the dilution in pro forma net tangible book value per share to purchasers of shares of common stock in this offering to $75.95 per share, after deducting the commissions and estimated offering expenses payable by us. This information is supplied for illustrative purposes only.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excludes, in each case, as of March 31, 2026:</w:t>
      </w:r>
    </w:p>
    <w:p>
      <w:pPr>
        <w:spacing w:after="0" w:line="128" w:lineRule="exact"/>
        <w:rPr>
          <w:sz w:val="20"/>
          <w:szCs w:val="20"/>
          <w:color w:val="auto"/>
        </w:rPr>
      </w:pPr>
    </w:p>
    <w:p>
      <w:pPr>
        <w:ind w:left="500" w:hanging="250"/>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13,547,359 shares of common stock issuable upon the exercise of outstanding stock options having a weighted-average exercise price of $19.02 per share;</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197,032 shares of common stock issuable upon the vesting of restricted stock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1280"/>
          </w:cols>
          <w:pgMar w:left="300" w:top="1238" w:right="319" w:bottom="1440" w:gutter="0" w:footer="0" w:header="0"/>
        </w:sectPr>
      </w:pPr>
    </w:p>
    <w:bookmarkStart w:id="39" w:name="page40"/>
    <w:bookmarkEnd w:id="39"/>
    <w:p>
      <w:pPr>
        <w:ind w:left="500" w:right="340" w:hanging="250"/>
        <w:spacing w:after="0" w:line="272" w:lineRule="auto"/>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15,316,247 shares of common stock reserved for issuance pursuant to future equity awards under the 2016 Plan, as well as any future increases in the number of shares of our common stock reserved for future issuance under this plan;</w:t>
      </w:r>
    </w:p>
    <w:p>
      <w:pPr>
        <w:spacing w:after="0" w:line="89" w:lineRule="exact"/>
        <w:rPr>
          <w:rFonts w:ascii="Times New Roman" w:cs="Times New Roman" w:eastAsia="Times New Roman" w:hAnsi="Times New Roman"/>
          <w:sz w:val="14"/>
          <w:szCs w:val="14"/>
          <w:color w:val="auto"/>
        </w:rPr>
      </w:pPr>
    </w:p>
    <w:p>
      <w:pPr>
        <w:ind w:left="500" w:right="400" w:hanging="250"/>
        <w:spacing w:after="0" w:line="272" w:lineRule="auto"/>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7,317,800 shares of common stock reserved for issuance pursuant to future equity awards under the 2018 Plan, as well as any future increases in the number of shares of our common stock reserved for future issuance under the 2018 Plan;</w:t>
      </w:r>
    </w:p>
    <w:p>
      <w:pPr>
        <w:spacing w:after="0" w:line="89" w:lineRule="exact"/>
        <w:rPr>
          <w:rFonts w:ascii="Times New Roman" w:cs="Times New Roman" w:eastAsia="Times New Roman" w:hAnsi="Times New Roman"/>
          <w:sz w:val="14"/>
          <w:szCs w:val="14"/>
          <w:color w:val="auto"/>
        </w:rPr>
      </w:pPr>
    </w:p>
    <w:p>
      <w:pPr>
        <w:ind w:left="500" w:hanging="250"/>
        <w:spacing w:after="0" w:line="272" w:lineRule="auto"/>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972,775 shares of common stock reserved for future issuance under the 2016 ESPP, as well as any future increases in the number of shares of our common stock reserved for future issuance under the 2016 ESPP; and</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1,532,591 shares of common stock issuable upon the exercise of outstanding warrants having a weighted-average exercise price of $22.49 per share.</w:t>
      </w:r>
    </w:p>
    <w:p>
      <w:pPr>
        <w:spacing w:after="0" w:line="12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may experience further dilution if any of our outstanding options are exercised, new options are issued and exercised under our equity incentive plans or we issue additional shares of common stock, other equity securities or convertible debt securities in the future.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1240"/>
          </w:cols>
          <w:pgMar w:left="300" w:top="1242"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We have entered into the Sales Agreement with TD Cowen under which we may issue and sell from time to time up to $500,000,000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the Nasdaq Stock Market, Inc. or on any other existing trading market for our common stock, or by any other method permitted by law. Sales pursuant to the Sales Agreement may be made through an affiliate of TD Cowen.</w:t>
      </w:r>
    </w:p>
    <w:p>
      <w:pPr>
        <w:spacing w:after="0" w:line="1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The aggregate compensation payable to TD Cowen as sales agent equals up to 3.0% of the gross sales price of the shares sold through it pursuant to the Sales Agreement. We have also agreed to reimburse TD Cowen up to $100,000 of TD Cowen’s actual outside legal expenses incurred by TD Cowen in connection with the execution of the Sales Agreement, in addition to certain ongoing disbursements of its outside legal counsel. We estimate that the total expenses of the offering payable by us, excluding commissions payable to TD Cowen under the Sales Agreement, will be approximately $365,000.</w:t>
      </w:r>
    </w:p>
    <w:p>
      <w:pPr>
        <w:spacing w:after="0" w:line="8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8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report at least quarterly the number of shares of common stock sold through TD Cowen under the Sales Agreement and the net proceeds to us in connection with the sales of common stock.</w:t>
      </w:r>
    </w:p>
    <w:p>
      <w:pPr>
        <w:spacing w:after="0" w:line="128"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4"/>
          <w:szCs w:val="14"/>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89"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4"/>
          <w:szCs w:val="14"/>
          <w:color w:val="auto"/>
        </w:rPr>
        <w:t>Under the Sales Agreement, we may also sell shares of common stock to TD Cowen as principal for its own account, at a price to be agreed upon at the time of sale. If we sell shares to a TD Cowen as principal, we will enter into a separate terms agreement with TD Cowen, and we will describe the agreement in a separate prospectus supplement or pricing supplement.</w:t>
      </w:r>
    </w:p>
    <w:p>
      <w:pPr>
        <w:spacing w:after="0" w:line="89"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4"/>
          <w:szCs w:val="14"/>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 that stabilizes our common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1280"/>
          </w:cols>
          <w:pgMar w:left="300" w:top="123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and trades under the symbol “SYRE.” The transfer agent of our common stock is Equiniti Trust Company, LLC.</w:t>
      </w:r>
    </w:p>
    <w:p>
      <w:pPr>
        <w:spacing w:after="0" w:line="128"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TD Cowen and/or its affiliates have provided, and may in the future provide, various investment banking, commercial banking and other financial services for us and our affiliates for which they have received, and may in the future receive, customary fees.</w:t>
      </w:r>
    </w:p>
    <w:p>
      <w:pPr>
        <w:spacing w:after="0" w:line="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or our affiliates. TD Cowen and certain of its affiliates may also communicate independent investment recommendations, market color or trading ideas and/or publish or express independent research views in respect of such securities and/or instruments and may at any time hold, or recommend to clients that they acquire, long and/or short positions in such securities and/or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1260"/>
          </w:cols>
          <w:pgMar w:left="300" w:top="124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4"/>
          <w:szCs w:val="14"/>
          <w:color w:val="auto"/>
        </w:rPr>
        <w:t>The validity of the common stock being offered in this prospectus supplement will be passed on by Ropes &amp; Gray LLP, Boston, Massachusetts. Paul Hastings LLP, New York, New York, will act as counsel to TD Cowen in connection with this offering.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Exchange Act, and in accordance therewith, file annual, quarterly and special reports, proxy statements and other information with the SEC. The SEC maintains an Internet website that contains reports, proxy statements and other information about registrants, like us, that file electronically with the SEC. The address of that 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We also maintain a website at </w:t>
      </w:r>
      <w:r>
        <w:rPr>
          <w:rFonts w:ascii="Times New Roman" w:cs="Times New Roman" w:eastAsia="Times New Roman" w:hAnsi="Times New Roman"/>
          <w:sz w:val="14"/>
          <w:szCs w:val="14"/>
          <w:i w:val="1"/>
          <w:iCs w:val="1"/>
          <w:color w:val="auto"/>
        </w:rPr>
        <w:t>www.spyre.com</w:t>
      </w:r>
      <w:r>
        <w:rPr>
          <w:rFonts w:ascii="Times New Roman" w:cs="Times New Roman" w:eastAsia="Times New Roman" w:hAnsi="Times New Roman"/>
          <w:sz w:val="14"/>
          <w:szCs w:val="14"/>
          <w:color w:val="auto"/>
        </w:rPr>
        <w:t>. We have included our website address for the information of prospective investors and do not intend it to be an active link to our website. Information contained on our website does not constitute a part of this prospectus supplement (or any document incorporated by reference herein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1280"/>
          </w:cols>
          <w:pgMar w:left="300" w:top="1238"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32"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3"/>
          <w:szCs w:val="13"/>
          <w:color w:val="auto"/>
        </w:rPr>
        <w:t>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supplement,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w:t>
      </w:r>
    </w:p>
    <w:p>
      <w:pPr>
        <w:spacing w:after="0" w:line="81" w:lineRule="exact"/>
        <w:rPr>
          <w:sz w:val="20"/>
          <w:szCs w:val="20"/>
          <w:color w:val="auto"/>
        </w:rPr>
      </w:pPr>
    </w:p>
    <w:p>
      <w:pPr>
        <w:ind w:left="500" w:hanging="250"/>
        <w:spacing w:after="0" w:line="272" w:lineRule="auto"/>
        <w:tabs>
          <w:tab w:leader="none" w:pos="4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year ended December 31, 2025, filed with the SEC on </w:t>
      </w:r>
      <w:hyperlink r:id="rId20">
        <w:r>
          <w:rPr>
            <w:rFonts w:ascii="Times New Roman" w:cs="Times New Roman" w:eastAsia="Times New Roman" w:hAnsi="Times New Roman"/>
            <w:sz w:val="14"/>
            <w:szCs w:val="14"/>
            <w:u w:val="single" w:color="auto"/>
            <w:color w:val="0000FF"/>
          </w:rPr>
          <w:t>February 19,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any portions of our Definitive Proxy Statement on Schedule 14A, filed with the SEC on </w:t>
      </w:r>
      <w:hyperlink r:id="rId21">
        <w:r>
          <w:rPr>
            <w:rFonts w:ascii="Times New Roman" w:cs="Times New Roman" w:eastAsia="Times New Roman" w:hAnsi="Times New Roman"/>
            <w:sz w:val="14"/>
            <w:szCs w:val="14"/>
            <w:u w:val="single" w:color="auto"/>
            <w:color w:val="0000FF"/>
          </w:rPr>
          <w:t>April 10, 2026</w:t>
        </w:r>
      </w:hyperlink>
      <w:r>
        <w:rPr>
          <w:rFonts w:ascii="Times New Roman" w:cs="Times New Roman" w:eastAsia="Times New Roman" w:hAnsi="Times New Roman"/>
          <w:sz w:val="14"/>
          <w:szCs w:val="14"/>
          <w:color w:val="auto"/>
        </w:rPr>
        <w:t>, that are incorporated by reference into our Annual Report on Form 10-K for the year ended December 31, 2025);</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 ended March 31, 2026, filed with the SEC on </w:t>
      </w:r>
      <w:hyperlink r:id="rId22">
        <w:r>
          <w:rPr>
            <w:rFonts w:ascii="Times New Roman" w:cs="Times New Roman" w:eastAsia="Times New Roman" w:hAnsi="Times New Roman"/>
            <w:sz w:val="14"/>
            <w:szCs w:val="14"/>
            <w:u w:val="single" w:color="auto"/>
            <w:color w:val="0000FF"/>
          </w:rPr>
          <w:t>May 5, 2026</w:t>
        </w:r>
      </w:hyperlink>
      <w:r>
        <w:rPr>
          <w:rFonts w:ascii="Times New Roman" w:cs="Times New Roman" w:eastAsia="Times New Roman" w:hAnsi="Times New Roman"/>
          <w:sz w:val="14"/>
          <w:szCs w:val="14"/>
          <w:color w:val="auto"/>
        </w:rPr>
        <w:t>;</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23">
        <w:r>
          <w:rPr>
            <w:rFonts w:ascii="Times New Roman" w:cs="Times New Roman" w:eastAsia="Times New Roman" w:hAnsi="Times New Roman"/>
            <w:sz w:val="14"/>
            <w:szCs w:val="14"/>
            <w:u w:val="single" w:color="auto"/>
            <w:color w:val="0000FF"/>
          </w:rPr>
          <w:t>April 13, 2026</w:t>
        </w:r>
      </w:hyperlink>
      <w:r>
        <w:rPr>
          <w:rFonts w:ascii="Times New Roman" w:cs="Times New Roman" w:eastAsia="Times New Roman" w:hAnsi="Times New Roman"/>
          <w:sz w:val="14"/>
          <w:szCs w:val="14"/>
          <w:color w:val="auto"/>
        </w:rPr>
        <w:t xml:space="preserve">, </w:t>
      </w:r>
      <w:hyperlink r:id="rId24">
        <w:r>
          <w:rPr>
            <w:rFonts w:ascii="Times New Roman" w:cs="Times New Roman" w:eastAsia="Times New Roman" w:hAnsi="Times New Roman"/>
            <w:sz w:val="14"/>
            <w:szCs w:val="14"/>
            <w:u w:val="single" w:color="auto"/>
            <w:color w:val="0000FF"/>
          </w:rPr>
          <w:t>April 13, 2026</w:t>
        </w:r>
      </w:hyperlink>
      <w:r>
        <w:rPr>
          <w:rFonts w:ascii="Times New Roman" w:cs="Times New Roman" w:eastAsia="Times New Roman" w:hAnsi="Times New Roman"/>
          <w:sz w:val="14"/>
          <w:szCs w:val="14"/>
          <w:color w:val="auto"/>
        </w:rPr>
        <w:t xml:space="preserve">, </w:t>
      </w:r>
      <w:hyperlink r:id="rId25">
        <w:r>
          <w:rPr>
            <w:rFonts w:ascii="Times New Roman" w:cs="Times New Roman" w:eastAsia="Times New Roman" w:hAnsi="Times New Roman"/>
            <w:sz w:val="14"/>
            <w:szCs w:val="14"/>
            <w:u w:val="single" w:color="auto"/>
            <w:color w:val="0000FF"/>
          </w:rPr>
          <w:t>April 16, 2026</w:t>
        </w:r>
      </w:hyperlink>
      <w:r>
        <w:rPr>
          <w:rFonts w:ascii="Times New Roman" w:cs="Times New Roman" w:eastAsia="Times New Roman" w:hAnsi="Times New Roman"/>
          <w:sz w:val="14"/>
          <w:szCs w:val="14"/>
          <w:color w:val="auto"/>
        </w:rPr>
        <w:t xml:space="preserve">, </w:t>
      </w:r>
      <w:hyperlink r:id="rId26">
        <w:r>
          <w:rPr>
            <w:rFonts w:ascii="Times New Roman" w:cs="Times New Roman" w:eastAsia="Times New Roman" w:hAnsi="Times New Roman"/>
            <w:sz w:val="14"/>
            <w:szCs w:val="14"/>
            <w:u w:val="single" w:color="auto"/>
            <w:color w:val="0000FF"/>
          </w:rPr>
          <w:t>May 29, 2026</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FF"/>
          </w:rPr>
          <w:t>June 1, 2026</w:t>
        </w:r>
      </w:hyperlink>
      <w:r>
        <w:rPr>
          <w:rFonts w:ascii="Times New Roman" w:cs="Times New Roman" w:eastAsia="Times New Roman" w:hAnsi="Times New Roman"/>
          <w:sz w:val="14"/>
          <w:szCs w:val="14"/>
          <w:color w:val="auto"/>
        </w:rPr>
        <w:t xml:space="preserve">, and </w:t>
      </w:r>
      <w:hyperlink r:id="rId28">
        <w:r>
          <w:rPr>
            <w:rFonts w:ascii="Times New Roman" w:cs="Times New Roman" w:eastAsia="Times New Roman" w:hAnsi="Times New Roman"/>
            <w:sz w:val="14"/>
            <w:szCs w:val="14"/>
            <w:u w:val="single" w:color="auto"/>
            <w:color w:val="0000FF"/>
          </w:rPr>
          <w:t>June 15, 2026</w:t>
        </w:r>
      </w:hyperlink>
      <w:r>
        <w:rPr>
          <w:rFonts w:ascii="Times New Roman" w:cs="Times New Roman" w:eastAsia="Times New Roman" w:hAnsi="Times New Roman"/>
          <w:sz w:val="14"/>
          <w:szCs w:val="14"/>
          <w:color w:val="auto"/>
        </w:rPr>
        <w:t>; and</w:t>
      </w:r>
    </w:p>
    <w:p>
      <w:pPr>
        <w:spacing w:after="0" w:line="128" w:lineRule="exact"/>
        <w:rPr>
          <w:rFonts w:ascii="Times New Roman" w:cs="Times New Roman" w:eastAsia="Times New Roman" w:hAnsi="Times New Roman"/>
          <w:sz w:val="14"/>
          <w:szCs w:val="14"/>
          <w:color w:val="auto"/>
        </w:rPr>
      </w:pPr>
    </w:p>
    <w:p>
      <w:pPr>
        <w:ind w:left="500" w:right="280" w:hanging="250"/>
        <w:spacing w:after="0" w:line="272" w:lineRule="auto"/>
        <w:tabs>
          <w:tab w:leader="none" w:pos="4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29">
        <w:r>
          <w:rPr>
            <w:rFonts w:ascii="Times New Roman" w:cs="Times New Roman" w:eastAsia="Times New Roman" w:hAnsi="Times New Roman"/>
            <w:sz w:val="14"/>
            <w:szCs w:val="14"/>
            <w:u w:val="single" w:color="auto"/>
            <w:color w:val="0000FF"/>
          </w:rPr>
          <w:t>Form 8-A</w:t>
        </w:r>
      </w:hyperlink>
      <w:r>
        <w:rPr>
          <w:rFonts w:ascii="Times New Roman" w:cs="Times New Roman" w:eastAsia="Times New Roman" w:hAnsi="Times New Roman"/>
          <w:sz w:val="14"/>
          <w:szCs w:val="14"/>
          <w:color w:val="auto"/>
        </w:rPr>
        <w:t>, filed with the SEC on March 28, 2016, including any amendments or reports filed for the purpose of updating such description.</w:t>
      </w:r>
    </w:p>
    <w:p>
      <w:pPr>
        <w:spacing w:after="0" w:line="89" w:lineRule="exact"/>
        <w:rPr>
          <w:rFonts w:ascii="Times New Roman" w:cs="Times New Roman" w:eastAsia="Times New Roman" w:hAnsi="Times New Roman"/>
          <w:sz w:val="14"/>
          <w:szCs w:val="14"/>
          <w:color w:val="auto"/>
        </w:rPr>
      </w:pPr>
    </w:p>
    <w:p>
      <w:pPr>
        <w:ind w:right="320"/>
        <w:spacing w:after="0" w:line="259" w:lineRule="auto"/>
        <w:rPr>
          <w:sz w:val="20"/>
          <w:szCs w:val="20"/>
          <w:color w:val="auto"/>
        </w:rPr>
      </w:pPr>
      <w:r>
        <w:rPr>
          <w:rFonts w:ascii="Times New Roman" w:cs="Times New Roman" w:eastAsia="Times New Roman" w:hAnsi="Times New Roman"/>
          <w:sz w:val="14"/>
          <w:szCs w:val="14"/>
          <w:color w:val="auto"/>
        </w:rPr>
        <w:t>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w:t>
      </w:r>
    </w:p>
    <w:p>
      <w:pPr>
        <w:spacing w:after="0" w:line="98" w:lineRule="exact"/>
        <w:rPr>
          <w:rFonts w:ascii="Times New Roman" w:cs="Times New Roman" w:eastAsia="Times New Roman" w:hAnsi="Times New Roman"/>
          <w:sz w:val="14"/>
          <w:szCs w:val="14"/>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This prospectus supplement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w:t>
      </w:r>
    </w:p>
    <w:p>
      <w:pPr>
        <w:spacing w:after="0" w:line="103" w:lineRule="exact"/>
        <w:rPr>
          <w:rFonts w:ascii="Times New Roman" w:cs="Times New Roman" w:eastAsia="Times New Roman" w:hAnsi="Times New Roman"/>
          <w:sz w:val="14"/>
          <w:szCs w:val="14"/>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You may request a copy of these filings (other than exhibits to such documents unless such exhibits are specifically incorporated by reference herein), at no cost, by contacting us, either orally or in writing, at the following:</w:t>
      </w:r>
    </w:p>
    <w:p>
      <w:pPr>
        <w:spacing w:after="0" w:line="8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Spyre Therapeutics, Inc.</w:t>
      </w:r>
    </w:p>
    <w:p>
      <w:pPr>
        <w:spacing w:after="0" w:line="18"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221 Crescent Street</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Building 23, Suite 105</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Waltham, MA 02453</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(617) 651-5940</w:t>
      </w:r>
    </w:p>
    <w:p>
      <w:pPr>
        <w:spacing w:after="0" w:line="111" w:lineRule="exact"/>
        <w:rPr>
          <w:rFonts w:ascii="Times New Roman" w:cs="Times New Roman" w:eastAsia="Times New Roman" w:hAnsi="Times New Roman"/>
          <w:sz w:val="14"/>
          <w:szCs w:val="14"/>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 xml:space="preserve">Information about us is also available at our website at </w:t>
      </w:r>
      <w:r>
        <w:rPr>
          <w:rFonts w:ascii="Times New Roman" w:cs="Times New Roman" w:eastAsia="Times New Roman" w:hAnsi="Times New Roman"/>
          <w:sz w:val="14"/>
          <w:szCs w:val="14"/>
          <w:i w:val="1"/>
          <w:iCs w:val="1"/>
          <w:color w:val="auto"/>
        </w:rPr>
        <w:t>http://www.spyre.com</w:t>
      </w:r>
      <w:r>
        <w:rPr>
          <w:rFonts w:ascii="Times New Roman" w:cs="Times New Roman" w:eastAsia="Times New Roman" w:hAnsi="Times New Roman"/>
          <w:sz w:val="14"/>
          <w:szCs w:val="14"/>
          <w:color w:val="auto"/>
        </w:rPr>
        <w:t>. You may access these materials free of charge as soon as reasonably practicable after they are electronically filed with, or furnished to, the SEC. However, the information on our website is not a part of this prospectus supplement and is not incorporated by reference into this prospectus supplement. We have authorized no one to provide you with any information that differs from that contained in this prospectus supplement. Accordingly, we take no responsibility for any other information that others may give you. You should not assume that the information in this prospectus supplement is accurate as of any date other than the date of the front cover of this prospectus supplement.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1280"/>
          </w:cols>
          <w:pgMar w:left="300" w:top="1238" w:right="31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521335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993775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1013460</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15875</wp:posOffset>
            </wp:positionV>
            <wp:extent cx="1572895" cy="648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572895"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937260</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138430</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563880</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583565</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1062355</wp:posOffset>
            </wp:positionV>
            <wp:extent cx="71647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3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the registrant in connection with the issuance and distribution of the securities being registered. All amounts are estimates except for the SEC registration fee.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45"/>
        </w:trPr>
        <w:tc>
          <w:tcPr>
            <w:tcW w:w="9720" w:type="dxa"/>
            <w:vAlign w:val="bottom"/>
            <w:tcBorders>
              <w:bottom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SEC registration fee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w:t>
            </w:r>
          </w:p>
        </w:tc>
      </w:tr>
      <w:tr>
        <w:trPr>
          <w:trHeight w:val="175"/>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72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1560" w:type="dxa"/>
            <w:vAlign w:val="bottom"/>
          </w:tcPr>
          <w:p>
            <w:pPr>
              <w:spacing w:after="0"/>
              <w:rPr>
                <w:sz w:val="16"/>
                <w:szCs w:val="16"/>
                <w:color w:val="auto"/>
              </w:rPr>
            </w:pPr>
          </w:p>
        </w:tc>
      </w:tr>
    </w:tbl>
    <w:p>
      <w:pPr>
        <w:ind w:left="260" w:right="20" w:hanging="257"/>
        <w:spacing w:after="0" w:line="250" w:lineRule="auto"/>
        <w:tabs>
          <w:tab w:leader="none" w:pos="254"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accordance with Rules 456(b) and 457(r) of the Securities Act, we are deferring payment of the registration fee for the securities offered under this registration statement other than the $500,000,000 of our common stock that may be issued and sold from time to time under the Sales Agreement prospectus supplement.</w:t>
      </w:r>
    </w:p>
    <w:p>
      <w:pPr>
        <w:ind w:left="260" w:right="40" w:hanging="257"/>
        <w:spacing w:after="0" w:line="280" w:lineRule="auto"/>
        <w:tabs>
          <w:tab w:leader="none" w:pos="254"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registrant is filing this registration statement to replace its existing registration statement (File No. 333-293600) (the “Prior Registration Statement”). A portion of the filing fee associated with this registration statement was carried forward from the Prior Registration Statement, and an additional filing fee is due only in connection with the $463,450,000 maximum aggregate offering price of new securities registered upon the effectiveness of this registration statement. Pursuant to Rule 415(a)</w:t>
      </w:r>
    </w:p>
    <w:p>
      <w:pPr>
        <w:ind w:left="260" w:right="260"/>
        <w:spacing w:after="0" w:line="244" w:lineRule="auto"/>
        <w:rPr>
          <w:sz w:val="20"/>
          <w:szCs w:val="20"/>
          <w:color w:val="auto"/>
        </w:rPr>
      </w:pPr>
      <w:r>
        <w:rPr>
          <w:rFonts w:ascii="Times New Roman" w:cs="Times New Roman" w:eastAsia="Times New Roman" w:hAnsi="Times New Roman"/>
          <w:sz w:val="11"/>
          <w:szCs w:val="11"/>
          <w:color w:val="auto"/>
        </w:rPr>
        <w:t>(6) under the Securities Act, the offering of unsold securities with a maximum aggregate offering price of $36,550,000 under the Prior Registration Statement will be deemed terminated as of the date of effectiveness of this registration statement. Please see the registration fee table contained in Exhibit 107 to this registration statement for more information.</w:t>
      </w:r>
    </w:p>
    <w:p>
      <w:pPr>
        <w:spacing w:after="0"/>
        <w:rPr>
          <w:sz w:val="20"/>
          <w:szCs w:val="20"/>
          <w:color w:val="auto"/>
        </w:rPr>
      </w:pPr>
      <w:r>
        <w:rPr>
          <w:rFonts w:ascii="Times New Roman" w:cs="Times New Roman" w:eastAsia="Times New Roman" w:hAnsi="Times New Roman"/>
          <w:sz w:val="11"/>
          <w:szCs w:val="11"/>
          <w:color w:val="auto"/>
        </w:rPr>
        <w:t>*   These fees and expenses are calculated based on the securities offered and the number of issuances and accordingly cannot be estimated at this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32"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4"/>
          <w:szCs w:val="14"/>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98"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4"/>
          <w:szCs w:val="14"/>
          <w:color w:val="auto"/>
        </w:rPr>
        <w:t>As permitted by the DGCL, the Company’s Certificate of Incorporation contains provisions that eliminate the personal liability of its directors and officers for monetary damages for any breach of fiduciary duties as a director or officer, except liability for the following:</w:t>
      </w:r>
    </w:p>
    <w:p>
      <w:pPr>
        <w:spacing w:after="0" w:line="89" w:lineRule="exact"/>
        <w:rPr>
          <w:sz w:val="20"/>
          <w:szCs w:val="20"/>
          <w:color w:val="auto"/>
        </w:rPr>
      </w:pPr>
    </w:p>
    <w:p>
      <w:pPr>
        <w:ind w:left="500" w:hanging="25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or officer’s duty of loyalty to the Company or its stockholders;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(regarding unlawful dividends and stock purchases); or</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permitted by the DGCL, the Company’s Bylaws provide that:</w:t>
      </w:r>
    </w:p>
    <w:p>
      <w:pPr>
        <w:spacing w:after="0" w:line="128" w:lineRule="exact"/>
        <w:rPr>
          <w:sz w:val="20"/>
          <w:szCs w:val="20"/>
          <w:color w:val="auto"/>
        </w:rPr>
      </w:pPr>
    </w:p>
    <w:p>
      <w:pPr>
        <w:ind w:left="500" w:hanging="250"/>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required to indemnify its directors and executive officers to the fullest extent permitted by the DGCL, subject to very limited exceptions;</w:t>
      </w:r>
    </w:p>
    <w:p>
      <w:pPr>
        <w:spacing w:after="0" w:line="12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80"/>
          </w:cols>
          <w:pgMar w:left="300" w:top="1238" w:right="319" w:bottom="1440" w:gutter="0" w:footer="0" w:header="0"/>
        </w:sectPr>
      </w:pPr>
    </w:p>
    <w:bookmarkStart w:id="46" w:name="page47"/>
    <w:bookmarkEnd w:id="46"/>
    <w:p>
      <w:pPr>
        <w:ind w:left="500" w:hanging="250"/>
        <w:spacing w:after="0" w:line="272" w:lineRule="auto"/>
        <w:tabs>
          <w:tab w:leader="none" w:pos="49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required to advance expenses, as incurred, to its directors and executive officers in connection with a legal proceeding to the fullest extent permitted by the DGCL, subject to very limited exceptions; and</w:t>
      </w:r>
    </w:p>
    <w:p>
      <w:pPr>
        <w:spacing w:after="0" w:line="89"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the Bylaws are not exclusive.</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Company has entered, and intends to continue to enter, into separate indemnification agreements with its directors and executive officers to provide these directors and executive officers additional contractual assurances regarding the scope of the indemnification set forth in the Company’s Certificate of Incorporation and Bylaws and to provide additional procedural protections. At present, there is no pending litigation or proceeding involving a director or executive officer of the Company regarding which indemnification is sought.</w:t>
      </w:r>
    </w:p>
    <w:p>
      <w:pPr>
        <w:spacing w:after="0" w:line="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indemnification provisions in the Company’s Certificate of Incorporation, Bylaws and the indemnification agreements entered into or to be entered into between the Company and each of its directors and executive officers may be sufficiently broad to permit indemnification of the Company’s directors and executive officers for liabilities arising under the Securities Act.</w:t>
      </w:r>
    </w:p>
    <w:p>
      <w:pPr>
        <w:spacing w:after="0" w:line="89"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4"/>
          <w:szCs w:val="14"/>
          <w:color w:val="auto"/>
        </w:rPr>
        <w:t>The Company currently carries liability insurance for its directors and officers. One of the Company’s directors, Tomas Kiselak, is also indemnified by his employer with regard to his service on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00"/>
          </w:cols>
          <w:pgMar w:left="300" w:top="1242"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list of exhibits filed with this registration statement on Form S-3 is set forth on the Exhibit Index and is incorporated herein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240" w:type="dxa"/>
            <w:vAlign w:val="bottom"/>
            <w:tcBorders>
              <w:bottom w:val="single" w:sz="8" w:color="auto"/>
            </w:tcBorders>
            <w:gridSpan w:val="35"/>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0240" w:type="dxa"/>
            <w:vAlign w:val="bottom"/>
            <w:gridSpan w:val="35"/>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185"/>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57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w w:val="98"/>
              </w:rPr>
              <w:t>Sales Agreement, dated June 26, 2026, between Spyre Therapeutics, Inc. and TD Securities (USA) LLC.</w:t>
            </w:r>
          </w:p>
        </w:tc>
        <w:tc>
          <w:tcPr>
            <w:tcW w:w="4460" w:type="dxa"/>
            <w:vAlign w:val="bottom"/>
            <w:gridSpan w:val="11"/>
          </w:tcPr>
          <w:p>
            <w:pPr>
              <w:spacing w:after="0"/>
              <w:rPr>
                <w:sz w:val="16"/>
                <w:szCs w:val="16"/>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10240" w:type="dxa"/>
            <w:vAlign w:val="bottom"/>
            <w:gridSpan w:val="35"/>
          </w:tcPr>
          <w:p>
            <w:pPr>
              <w:spacing w:after="0"/>
              <w:rPr>
                <w:rFonts w:ascii="Times New Roman" w:cs="Times New Roman" w:eastAsia="Times New Roman" w:hAnsi="Times New Roman"/>
                <w:sz w:val="14"/>
                <w:szCs w:val="14"/>
                <w:color w:val="0000FF"/>
                <w:w w:val="99"/>
              </w:rPr>
            </w:pPr>
            <w:hyperlink r:id="rId46">
              <w:r>
                <w:rPr>
                  <w:rFonts w:ascii="Times New Roman" w:cs="Times New Roman" w:eastAsia="Times New Roman" w:hAnsi="Times New Roman"/>
                  <w:sz w:val="14"/>
                  <w:szCs w:val="14"/>
                  <w:color w:val="0000FF"/>
                  <w:w w:val="99"/>
                </w:rPr>
                <w:t>Agreement and Plan of Merger, dated June 22, 2023, by and among Aeglea BioTherapeutics, Inc., Aspen Merger Sub I, Inc., Sequoia Merger Sub II, LLC and Spyre Therapeutics, Inc.</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4"/>
        </w:trPr>
        <w:tc>
          <w:tcPr>
            <w:tcW w:w="1040" w:type="dxa"/>
            <w:vAlign w:val="bottom"/>
          </w:tcPr>
          <w:p>
            <w:pPr>
              <w:spacing w:after="0"/>
              <w:rPr>
                <w:sz w:val="9"/>
                <w:szCs w:val="9"/>
                <w:color w:val="auto"/>
              </w:rPr>
            </w:pPr>
          </w:p>
        </w:tc>
        <w:tc>
          <w:tcPr>
            <w:tcW w:w="10240" w:type="dxa"/>
            <w:vAlign w:val="bottom"/>
            <w:gridSpan w:val="35"/>
          </w:tcPr>
          <w:p>
            <w:pPr>
              <w:spacing w:after="0" w:line="114" w:lineRule="exact"/>
              <w:rPr>
                <w:rFonts w:ascii="Times New Roman" w:cs="Times New Roman" w:eastAsia="Times New Roman" w:hAnsi="Times New Roman"/>
                <w:sz w:val="13"/>
                <w:szCs w:val="13"/>
                <w:color w:val="0000FF"/>
              </w:rPr>
            </w:pPr>
            <w:hyperlink r:id="rId46">
              <w:r>
                <w:rPr>
                  <w:rFonts w:ascii="Times New Roman" w:cs="Times New Roman" w:eastAsia="Times New Roman" w:hAnsi="Times New Roman"/>
                  <w:sz w:val="13"/>
                  <w:szCs w:val="13"/>
                  <w:color w:val="0000FF"/>
                </w:rPr>
                <w:t>(incorporated by reference to Exhibit 2.1 to the Company’s registration statement on Form S-1, filed with the SEC on December 22, 2023).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240" w:type="dxa"/>
            <w:vAlign w:val="bottom"/>
            <w:gridSpan w:val="35"/>
          </w:tcPr>
          <w:p>
            <w:pPr>
              <w:spacing w:after="0"/>
              <w:rPr>
                <w:rFonts w:ascii="Times New Roman" w:cs="Times New Roman" w:eastAsia="Times New Roman" w:hAnsi="Times New Roman"/>
                <w:sz w:val="14"/>
                <w:szCs w:val="14"/>
                <w:color w:val="0000FF"/>
                <w:w w:val="98"/>
              </w:rPr>
            </w:pPr>
            <w:hyperlink r:id="rId47">
              <w:r>
                <w:rPr>
                  <w:rFonts w:ascii="Times New Roman" w:cs="Times New Roman" w:eastAsia="Times New Roman" w:hAnsi="Times New Roman"/>
                  <w:sz w:val="14"/>
                  <w:szCs w:val="14"/>
                  <w:color w:val="0000FF"/>
                  <w:w w:val="98"/>
                </w:rPr>
                <w:t>Second Amended and Restated Certificate of Incorporation of the Company (incorporated by reference to Exhibit 3.2 to the Company’s Current Report Form 8-K, filed with the SEC on</w:t>
              </w:r>
            </w:hyperlink>
          </w:p>
        </w:tc>
      </w:tr>
      <w:tr>
        <w:trPr>
          <w:trHeight w:val="114"/>
        </w:trPr>
        <w:tc>
          <w:tcPr>
            <w:tcW w:w="1040" w:type="dxa"/>
            <w:vAlign w:val="bottom"/>
          </w:tcPr>
          <w:p>
            <w:pPr>
              <w:spacing w:after="0"/>
              <w:rPr>
                <w:sz w:val="9"/>
                <w:szCs w:val="9"/>
                <w:color w:val="auto"/>
              </w:rPr>
            </w:pPr>
          </w:p>
        </w:tc>
        <w:tc>
          <w:tcPr>
            <w:tcW w:w="920" w:type="dxa"/>
            <w:vAlign w:val="bottom"/>
            <w:tcBorders>
              <w:top w:val="single" w:sz="8" w:color="0000FF"/>
              <w:bottom w:val="single" w:sz="8" w:color="0000FF"/>
            </w:tcBorders>
            <w:gridSpan w:val="3"/>
          </w:tcPr>
          <w:p>
            <w:pPr>
              <w:spacing w:after="0" w:line="114" w:lineRule="exact"/>
              <w:rPr>
                <w:rFonts w:ascii="Times New Roman" w:cs="Times New Roman" w:eastAsia="Times New Roman" w:hAnsi="Times New Roman"/>
                <w:sz w:val="13"/>
                <w:szCs w:val="13"/>
                <w:color w:val="0000FF"/>
              </w:rPr>
            </w:pPr>
            <w:hyperlink r:id="rId47">
              <w:r>
                <w:rPr>
                  <w:rFonts w:ascii="Times New Roman" w:cs="Times New Roman" w:eastAsia="Times New Roman" w:hAnsi="Times New Roman"/>
                  <w:sz w:val="13"/>
                  <w:szCs w:val="13"/>
                  <w:color w:val="0000FF"/>
                </w:rPr>
                <w:t>May 15, 2024).</w:t>
              </w:r>
            </w:hyperlink>
          </w:p>
        </w:tc>
        <w:tc>
          <w:tcPr>
            <w:tcW w:w="4760" w:type="dxa"/>
            <w:vAlign w:val="bottom"/>
            <w:tcBorders>
              <w:top w:val="single" w:sz="8" w:color="0000FF"/>
            </w:tcBorders>
            <w:gridSpan w:val="19"/>
          </w:tcPr>
          <w:p>
            <w:pPr>
              <w:spacing w:after="0"/>
              <w:rPr>
                <w:sz w:val="9"/>
                <w:szCs w:val="9"/>
                <w:color w:val="auto"/>
              </w:rPr>
            </w:pPr>
          </w:p>
        </w:tc>
        <w:tc>
          <w:tcPr>
            <w:tcW w:w="40" w:type="dxa"/>
            <w:vAlign w:val="bottom"/>
          </w:tcPr>
          <w:p>
            <w:pPr>
              <w:spacing w:after="0"/>
              <w:rPr>
                <w:sz w:val="9"/>
                <w:szCs w:val="9"/>
                <w:color w:val="auto"/>
              </w:rPr>
            </w:pPr>
          </w:p>
        </w:tc>
        <w:tc>
          <w:tcPr>
            <w:tcW w:w="3940" w:type="dxa"/>
            <w:vAlign w:val="bottom"/>
            <w:tcBorders>
              <w:top w:val="single" w:sz="8" w:color="0000FF"/>
            </w:tcBorders>
            <w:gridSpan w:val="5"/>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gridSpan w:val="2"/>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240" w:type="dxa"/>
            <w:vAlign w:val="bottom"/>
            <w:gridSpan w:val="35"/>
          </w:tcPr>
          <w:p>
            <w:pPr>
              <w:spacing w:after="0"/>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Amended and Restated Bylaws of the Company (incorporated by reference to Exhibit 3.1 to the Company’s Current Report on Form 8-K, filed with the SEC on February 5, 2024).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0240" w:type="dxa"/>
            <w:vAlign w:val="bottom"/>
            <w:gridSpan w:val="35"/>
          </w:tcPr>
          <w:p>
            <w:pPr>
              <w:spacing w:after="0"/>
              <w:rPr>
                <w:rFonts w:ascii="Times New Roman" w:cs="Times New Roman" w:eastAsia="Times New Roman" w:hAnsi="Times New Roman"/>
                <w:sz w:val="14"/>
                <w:szCs w:val="14"/>
                <w:color w:val="0000FF"/>
                <w:w w:val="98"/>
              </w:rPr>
            </w:pPr>
            <w:hyperlink r:id="rId49">
              <w:r>
                <w:rPr>
                  <w:rFonts w:ascii="Times New Roman" w:cs="Times New Roman" w:eastAsia="Times New Roman" w:hAnsi="Times New Roman"/>
                  <w:sz w:val="14"/>
                  <w:szCs w:val="14"/>
                  <w:color w:val="0000FF"/>
                  <w:w w:val="98"/>
                </w:rPr>
                <w:t>Certificate of Designation of Series A Non-Voting Convertible Preferred Stock (incorporated by reference to Exhibit 3.3 to the Company’s registration statement on Form S-1, filed with</w:t>
              </w:r>
            </w:hyperlink>
          </w:p>
        </w:tc>
      </w:tr>
      <w:tr>
        <w:trPr>
          <w:trHeight w:val="114"/>
        </w:trPr>
        <w:tc>
          <w:tcPr>
            <w:tcW w:w="1040" w:type="dxa"/>
            <w:vAlign w:val="bottom"/>
          </w:tcPr>
          <w:p>
            <w:pPr>
              <w:spacing w:after="0"/>
              <w:rPr>
                <w:sz w:val="9"/>
                <w:szCs w:val="9"/>
                <w:color w:val="auto"/>
              </w:rPr>
            </w:pPr>
          </w:p>
        </w:tc>
        <w:tc>
          <w:tcPr>
            <w:tcW w:w="5420" w:type="dxa"/>
            <w:vAlign w:val="bottom"/>
            <w:tcBorders>
              <w:top w:val="single" w:sz="8" w:color="0000FF"/>
            </w:tcBorders>
            <w:gridSpan w:val="18"/>
          </w:tcPr>
          <w:p>
            <w:pPr>
              <w:spacing w:after="0" w:line="114" w:lineRule="exact"/>
              <w:rPr>
                <w:rFonts w:ascii="Times New Roman" w:cs="Times New Roman" w:eastAsia="Times New Roman" w:hAnsi="Times New Roman"/>
                <w:sz w:val="13"/>
                <w:szCs w:val="13"/>
                <w:color w:val="0000FF"/>
              </w:rPr>
            </w:pPr>
            <w:hyperlink r:id="rId49">
              <w:r>
                <w:rPr>
                  <w:rFonts w:ascii="Times New Roman" w:cs="Times New Roman" w:eastAsia="Times New Roman" w:hAnsi="Times New Roman"/>
                  <w:sz w:val="13"/>
                  <w:szCs w:val="13"/>
                  <w:color w:val="0000FF"/>
                </w:rPr>
                <w:t>the SEC on December 22, 2023).</w:t>
              </w:r>
            </w:hyperlink>
          </w:p>
        </w:tc>
        <w:tc>
          <w:tcPr>
            <w:tcW w:w="20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20" w:type="dxa"/>
            <w:vAlign w:val="bottom"/>
            <w:tcBorders>
              <w:top w:val="single" w:sz="8" w:color="0000FF"/>
            </w:tcBorders>
            <w:gridSpan w:val="7"/>
          </w:tcPr>
          <w:p>
            <w:pPr>
              <w:spacing w:after="0"/>
              <w:rPr>
                <w:sz w:val="9"/>
                <w:szCs w:val="9"/>
                <w:color w:val="auto"/>
              </w:rPr>
            </w:pPr>
          </w:p>
        </w:tc>
        <w:tc>
          <w:tcPr>
            <w:tcW w:w="460" w:type="dxa"/>
            <w:vAlign w:val="bottom"/>
            <w:tcBorders>
              <w:top w:val="single" w:sz="8" w:color="0000FF"/>
            </w:tcBorders>
            <w:gridSpan w:val="3"/>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10240" w:type="dxa"/>
            <w:vAlign w:val="bottom"/>
            <w:gridSpan w:val="35"/>
          </w:tcPr>
          <w:p>
            <w:pPr>
              <w:spacing w:after="0"/>
              <w:rPr>
                <w:rFonts w:ascii="Times New Roman" w:cs="Times New Roman" w:eastAsia="Times New Roman" w:hAnsi="Times New Roman"/>
                <w:sz w:val="14"/>
                <w:szCs w:val="14"/>
                <w:color w:val="0000FF"/>
                <w:w w:val="98"/>
              </w:rPr>
            </w:pPr>
            <w:hyperlink r:id="rId50">
              <w:r>
                <w:rPr>
                  <w:rFonts w:ascii="Times New Roman" w:cs="Times New Roman" w:eastAsia="Times New Roman" w:hAnsi="Times New Roman"/>
                  <w:sz w:val="14"/>
                  <w:szCs w:val="14"/>
                  <w:color w:val="0000FF"/>
                  <w:w w:val="98"/>
                </w:rPr>
                <w:t>Certificate of Designation of Series B Non-Voting Convertible Preferred Stock (incorporated by reference to Exhibit 3.4 to the Company’s registration statement on Form S-1, filed with</w:t>
              </w:r>
            </w:hyperlink>
          </w:p>
        </w:tc>
      </w:tr>
      <w:tr>
        <w:trPr>
          <w:trHeight w:val="114"/>
        </w:trPr>
        <w:tc>
          <w:tcPr>
            <w:tcW w:w="1040" w:type="dxa"/>
            <w:vAlign w:val="bottom"/>
          </w:tcPr>
          <w:p>
            <w:pPr>
              <w:spacing w:after="0"/>
              <w:rPr>
                <w:sz w:val="9"/>
                <w:szCs w:val="9"/>
                <w:color w:val="auto"/>
              </w:rPr>
            </w:pPr>
          </w:p>
        </w:tc>
        <w:tc>
          <w:tcPr>
            <w:tcW w:w="5300" w:type="dxa"/>
            <w:vAlign w:val="bottom"/>
            <w:tcBorders>
              <w:top w:val="single" w:sz="8" w:color="0000FF"/>
            </w:tcBorders>
            <w:gridSpan w:val="17"/>
          </w:tcPr>
          <w:p>
            <w:pPr>
              <w:spacing w:after="0" w:line="114" w:lineRule="exact"/>
              <w:rPr>
                <w:rFonts w:ascii="Times New Roman" w:cs="Times New Roman" w:eastAsia="Times New Roman" w:hAnsi="Times New Roman"/>
                <w:sz w:val="13"/>
                <w:szCs w:val="13"/>
                <w:color w:val="0000FF"/>
              </w:rPr>
            </w:pPr>
            <w:hyperlink r:id="rId50">
              <w:r>
                <w:rPr>
                  <w:rFonts w:ascii="Times New Roman" w:cs="Times New Roman" w:eastAsia="Times New Roman" w:hAnsi="Times New Roman"/>
                  <w:sz w:val="13"/>
                  <w:szCs w:val="13"/>
                  <w:color w:val="0000FF"/>
                </w:rPr>
                <w:t>the SEC on December 22, 2023).</w:t>
              </w:r>
            </w:hyperlink>
          </w:p>
        </w:tc>
        <w:tc>
          <w:tcPr>
            <w:tcW w:w="120" w:type="dxa"/>
            <w:vAlign w:val="bottom"/>
          </w:tcPr>
          <w:p>
            <w:pPr>
              <w:spacing w:after="0"/>
              <w:rPr>
                <w:sz w:val="9"/>
                <w:szCs w:val="9"/>
                <w:color w:val="auto"/>
              </w:rPr>
            </w:pPr>
          </w:p>
        </w:tc>
        <w:tc>
          <w:tcPr>
            <w:tcW w:w="20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20" w:type="dxa"/>
            <w:vAlign w:val="bottom"/>
            <w:tcBorders>
              <w:top w:val="single" w:sz="8" w:color="0000FF"/>
            </w:tcBorders>
            <w:gridSpan w:val="7"/>
          </w:tcPr>
          <w:p>
            <w:pPr>
              <w:spacing w:after="0"/>
              <w:rPr>
                <w:sz w:val="9"/>
                <w:szCs w:val="9"/>
                <w:color w:val="auto"/>
              </w:rPr>
            </w:pPr>
          </w:p>
        </w:tc>
        <w:tc>
          <w:tcPr>
            <w:tcW w:w="460" w:type="dxa"/>
            <w:vAlign w:val="bottom"/>
            <w:tcBorders>
              <w:top w:val="single" w:sz="8" w:color="0000FF"/>
            </w:tcBorders>
            <w:gridSpan w:val="3"/>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10240" w:type="dxa"/>
            <w:vAlign w:val="bottom"/>
            <w:gridSpan w:val="35"/>
          </w:tcPr>
          <w:p>
            <w:pPr>
              <w:spacing w:after="0"/>
              <w:rPr>
                <w:rFonts w:ascii="Times New Roman" w:cs="Times New Roman" w:eastAsia="Times New Roman" w:hAnsi="Times New Roman"/>
                <w:sz w:val="14"/>
                <w:szCs w:val="14"/>
                <w:color w:val="0000FF"/>
                <w:w w:val="99"/>
              </w:rPr>
            </w:pPr>
            <w:hyperlink r:id="rId51">
              <w:r>
                <w:rPr>
                  <w:rFonts w:ascii="Times New Roman" w:cs="Times New Roman" w:eastAsia="Times New Roman" w:hAnsi="Times New Roman"/>
                  <w:sz w:val="14"/>
                  <w:szCs w:val="14"/>
                  <w:color w:val="0000FF"/>
                  <w:w w:val="99"/>
                </w:rPr>
                <w:t>Certificate of Amendment to Certificate of Designation of Series B Non-Voting Convertible Preferred Stock (incorporated by reference to Exhibit 3.2 to the Company’s Current Report</w:t>
              </w:r>
            </w:hyperlink>
          </w:p>
        </w:tc>
      </w:tr>
      <w:tr>
        <w:trPr>
          <w:trHeight w:val="114"/>
        </w:trPr>
        <w:tc>
          <w:tcPr>
            <w:tcW w:w="1040" w:type="dxa"/>
            <w:vAlign w:val="bottom"/>
          </w:tcPr>
          <w:p>
            <w:pPr>
              <w:spacing w:after="0"/>
              <w:rPr>
                <w:sz w:val="9"/>
                <w:szCs w:val="9"/>
                <w:color w:val="auto"/>
              </w:rPr>
            </w:pPr>
          </w:p>
        </w:tc>
        <w:tc>
          <w:tcPr>
            <w:tcW w:w="5620" w:type="dxa"/>
            <w:vAlign w:val="bottom"/>
            <w:tcBorders>
              <w:top w:val="single" w:sz="8" w:color="0000FF"/>
            </w:tcBorders>
            <w:gridSpan w:val="20"/>
          </w:tcPr>
          <w:p>
            <w:pPr>
              <w:spacing w:after="0" w:line="114" w:lineRule="exact"/>
              <w:rPr>
                <w:rFonts w:ascii="Times New Roman" w:cs="Times New Roman" w:eastAsia="Times New Roman" w:hAnsi="Times New Roman"/>
                <w:sz w:val="13"/>
                <w:szCs w:val="13"/>
                <w:color w:val="0000FF"/>
              </w:rPr>
            </w:pPr>
            <w:hyperlink r:id="rId51">
              <w:r>
                <w:rPr>
                  <w:rFonts w:ascii="Times New Roman" w:cs="Times New Roman" w:eastAsia="Times New Roman" w:hAnsi="Times New Roman"/>
                  <w:sz w:val="13"/>
                  <w:szCs w:val="13"/>
                  <w:color w:val="0000FF"/>
                </w:rPr>
                <w:t>on Form 8-K, filed with the SEC on March 18, 2024).</w:t>
              </w:r>
            </w:hyperlink>
          </w:p>
        </w:tc>
        <w:tc>
          <w:tcPr>
            <w:tcW w:w="20" w:type="dxa"/>
            <w:vAlign w:val="bottom"/>
          </w:tcPr>
          <w:p>
            <w:pPr>
              <w:spacing w:after="0"/>
              <w:rPr>
                <w:sz w:val="9"/>
                <w:szCs w:val="9"/>
                <w:color w:val="auto"/>
              </w:rPr>
            </w:pPr>
          </w:p>
        </w:tc>
        <w:tc>
          <w:tcPr>
            <w:tcW w:w="4020" w:type="dxa"/>
            <w:vAlign w:val="bottom"/>
            <w:tcBorders>
              <w:top w:val="single" w:sz="8" w:color="0000FF"/>
            </w:tcBorders>
            <w:gridSpan w:val="7"/>
          </w:tcPr>
          <w:p>
            <w:pPr>
              <w:spacing w:after="0"/>
              <w:rPr>
                <w:sz w:val="9"/>
                <w:szCs w:val="9"/>
                <w:color w:val="auto"/>
              </w:rPr>
            </w:pPr>
          </w:p>
        </w:tc>
        <w:tc>
          <w:tcPr>
            <w:tcW w:w="460" w:type="dxa"/>
            <w:vAlign w:val="bottom"/>
            <w:tcBorders>
              <w:top w:val="single" w:sz="8" w:color="0000FF"/>
            </w:tcBorders>
            <w:gridSpan w:val="3"/>
          </w:tcPr>
          <w:p>
            <w:pPr>
              <w:spacing w:after="0"/>
              <w:rPr>
                <w:sz w:val="9"/>
                <w:szCs w:val="9"/>
                <w:color w:val="auto"/>
              </w:rPr>
            </w:pPr>
          </w:p>
        </w:tc>
        <w:tc>
          <w:tcPr>
            <w:tcW w:w="120" w:type="dxa"/>
            <w:vAlign w:val="bottom"/>
            <w:gridSpan w:val="4"/>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240" w:type="dxa"/>
            <w:vAlign w:val="bottom"/>
            <w:gridSpan w:val="35"/>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Form of Common Stock Certificate (incorporated by reference to Exhibit 4.2 to the Company’s registration statement on Form S-1, filed with the SEC on December 22, 2023).</w:t>
              </w:r>
            </w:hyperlink>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Form of Debt Indenture.</w:t>
            </w:r>
          </w:p>
        </w:tc>
        <w:tc>
          <w:tcPr>
            <w:tcW w:w="3920" w:type="dxa"/>
            <w:vAlign w:val="bottom"/>
            <w:tcBorders>
              <w:top w:val="single" w:sz="8" w:color="0000FF"/>
            </w:tcBorders>
            <w:gridSpan w:val="8"/>
          </w:tcPr>
          <w:p>
            <w:pPr>
              <w:spacing w:after="0"/>
              <w:rPr>
                <w:sz w:val="17"/>
                <w:szCs w:val="17"/>
                <w:color w:val="auto"/>
              </w:rPr>
            </w:pPr>
          </w:p>
        </w:tc>
        <w:tc>
          <w:tcPr>
            <w:tcW w:w="4380" w:type="dxa"/>
            <w:vAlign w:val="bottom"/>
            <w:tcBorders>
              <w:top w:val="single" w:sz="8" w:color="0000FF"/>
            </w:tcBorders>
            <w:gridSpan w:val="12"/>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228"/>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240" w:type="dxa"/>
            <w:vAlign w:val="bottom"/>
            <w:gridSpan w:val="35"/>
          </w:tcPr>
          <w:p>
            <w:pPr>
              <w:spacing w:after="0"/>
              <w:rPr>
                <w:sz w:val="20"/>
                <w:szCs w:val="20"/>
                <w:color w:val="auto"/>
              </w:rPr>
            </w:pPr>
            <w:r>
              <w:rPr>
                <w:rFonts w:ascii="Times New Roman" w:cs="Times New Roman" w:eastAsia="Times New Roman" w:hAnsi="Times New Roman"/>
                <w:sz w:val="14"/>
                <w:szCs w:val="14"/>
                <w:color w:val="auto"/>
              </w:rPr>
              <w:t>Form of Debt Securities.</w:t>
            </w:r>
          </w:p>
        </w:tc>
      </w:tr>
      <w:tr>
        <w:trPr>
          <w:trHeight w:val="21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240" w:type="dxa"/>
            <w:vAlign w:val="bottom"/>
            <w:gridSpan w:val="35"/>
          </w:tcPr>
          <w:p>
            <w:pPr>
              <w:spacing w:after="0"/>
              <w:rPr>
                <w:sz w:val="20"/>
                <w:szCs w:val="20"/>
                <w:color w:val="auto"/>
              </w:rPr>
            </w:pPr>
            <w:r>
              <w:rPr>
                <w:rFonts w:ascii="Times New Roman" w:cs="Times New Roman" w:eastAsia="Times New Roman" w:hAnsi="Times New Roman"/>
                <w:sz w:val="14"/>
                <w:szCs w:val="14"/>
                <w:color w:val="auto"/>
              </w:rPr>
              <w:t>Form of Warrant Agreement and Warrant Certificate.</w:t>
            </w:r>
          </w:p>
        </w:tc>
      </w:tr>
      <w:tr>
        <w:trPr>
          <w:trHeight w:val="21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0240" w:type="dxa"/>
            <w:vAlign w:val="bottom"/>
            <w:gridSpan w:val="35"/>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w:t>
            </w:r>
          </w:p>
        </w:tc>
      </w:tr>
      <w:tr>
        <w:trPr>
          <w:trHeight w:val="185"/>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34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7"/>
              </w:rPr>
              <w:t>Opinion of Ropes &amp; Gray LLP, relating to the base prospectus.</w:t>
            </w:r>
          </w:p>
        </w:tc>
        <w:tc>
          <w:tcPr>
            <w:tcW w:w="6760" w:type="dxa"/>
            <w:vAlign w:val="bottom"/>
            <w:gridSpan w:val="23"/>
          </w:tcPr>
          <w:p>
            <w:pPr>
              <w:spacing w:after="0"/>
              <w:rPr>
                <w:sz w:val="16"/>
                <w:szCs w:val="16"/>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5.2</w:t>
            </w:r>
          </w:p>
        </w:tc>
        <w:tc>
          <w:tcPr>
            <w:tcW w:w="3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w w:val="97"/>
              </w:rPr>
              <w:t>Opinion of Ropes &amp; Gray LLP, relating to the at-the-market offering.</w:t>
            </w:r>
          </w:p>
        </w:tc>
        <w:tc>
          <w:tcPr>
            <w:tcW w:w="6420" w:type="dxa"/>
            <w:vAlign w:val="bottom"/>
            <w:gridSpan w:val="21"/>
          </w:tcPr>
          <w:p>
            <w:pPr>
              <w:spacing w:after="0"/>
              <w:rPr>
                <w:sz w:val="17"/>
                <w:szCs w:val="17"/>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6"/>
              </w:rPr>
              <w:t>Consent of KPMG LLP.</w:t>
            </w:r>
          </w:p>
        </w:tc>
        <w:tc>
          <w:tcPr>
            <w:tcW w:w="8900" w:type="dxa"/>
            <w:vAlign w:val="bottom"/>
            <w:gridSpan w:val="28"/>
          </w:tcPr>
          <w:p>
            <w:pPr>
              <w:spacing w:after="0"/>
              <w:rPr>
                <w:sz w:val="17"/>
                <w:szCs w:val="17"/>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8"/>
              </w:rPr>
              <w:t>Consent of PricewaterhouseCoopers LLP.</w:t>
            </w:r>
          </w:p>
        </w:tc>
        <w:tc>
          <w:tcPr>
            <w:tcW w:w="7900" w:type="dxa"/>
            <w:vAlign w:val="bottom"/>
            <w:gridSpan w:val="25"/>
          </w:tcPr>
          <w:p>
            <w:pPr>
              <w:spacing w:after="0"/>
              <w:rPr>
                <w:sz w:val="17"/>
                <w:szCs w:val="17"/>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23.3</w:t>
            </w:r>
          </w:p>
        </w:tc>
        <w:tc>
          <w:tcPr>
            <w:tcW w:w="3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w w:val="98"/>
              </w:rPr>
              <w:t>Consent of Ropes &amp; Gray LLP (included in Exhibit 5.1 hereto).</w:t>
            </w:r>
          </w:p>
        </w:tc>
        <w:tc>
          <w:tcPr>
            <w:tcW w:w="6720" w:type="dxa"/>
            <w:vAlign w:val="bottom"/>
            <w:gridSpan w:val="22"/>
          </w:tcPr>
          <w:p>
            <w:pPr>
              <w:spacing w:after="0"/>
              <w:rPr>
                <w:sz w:val="17"/>
                <w:szCs w:val="17"/>
                <w:color w:val="auto"/>
              </w:rPr>
            </w:pPr>
          </w:p>
        </w:tc>
      </w:tr>
      <w:tr>
        <w:trPr>
          <w:trHeight w:val="19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4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w w:val="98"/>
              </w:rPr>
              <w:t>Power of Attorney (included on the signature pages to the registration statement).</w:t>
            </w:r>
          </w:p>
        </w:tc>
        <w:tc>
          <w:tcPr>
            <w:tcW w:w="5740" w:type="dxa"/>
            <w:vAlign w:val="bottom"/>
            <w:gridSpan w:val="20"/>
          </w:tcPr>
          <w:p>
            <w:pPr>
              <w:spacing w:after="0"/>
              <w:rPr>
                <w:sz w:val="17"/>
                <w:szCs w:val="17"/>
                <w:color w:val="auto"/>
              </w:rPr>
            </w:pPr>
          </w:p>
        </w:tc>
      </w:tr>
      <w:tr>
        <w:trPr>
          <w:trHeight w:val="228"/>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25.1**</w:t>
            </w:r>
          </w:p>
        </w:tc>
        <w:tc>
          <w:tcPr>
            <w:tcW w:w="10240" w:type="dxa"/>
            <w:vAlign w:val="bottom"/>
            <w:gridSpan w:val="35"/>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r>
    </w:tbl>
    <w:p>
      <w:pPr>
        <w:spacing w:after="0" w:line="38" w:lineRule="exact"/>
        <w:rPr>
          <w:sz w:val="20"/>
          <w:szCs w:val="20"/>
          <w:color w:val="auto"/>
        </w:rPr>
      </w:pPr>
    </w:p>
    <w:p>
      <w:pPr>
        <w:ind w:left="1040" w:hanging="1024"/>
        <w:spacing w:after="0"/>
        <w:tabs>
          <w:tab w:leader="none" w:pos="10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Filing Fee 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9" w:lineRule="exact"/>
        <w:rPr>
          <w:sz w:val="20"/>
          <w:szCs w:val="20"/>
          <w:color w:val="auto"/>
        </w:rPr>
      </w:pPr>
    </w:p>
    <w:p>
      <w:pPr>
        <w:ind w:right="2080" w:firstLine="3"/>
        <w:spacing w:after="0" w:line="261" w:lineRule="auto"/>
        <w:tabs>
          <w:tab w:leader="none" w:pos="241"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if necessary, by amendment or as an exhibit to a document to be incorporated or deemed to be incorporated by reference in this registration statement, including a Current Report on Form 8-K. ** To be filed in accordance with the requirements of Section 305(b)(2) of the Trust Indenture Act, and the applicable rules thereunder.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80"/>
          </w:cols>
          <w:pgMar w:left="300" w:top="123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2" w:lineRule="exact"/>
        <w:rPr>
          <w:sz w:val="20"/>
          <w:szCs w:val="20"/>
          <w:color w:val="auto"/>
        </w:rPr>
      </w:pPr>
    </w:p>
    <w:p>
      <w:pPr>
        <w:ind w:left="500" w:hanging="250"/>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28" w:lineRule="exact"/>
        <w:rPr>
          <w:rFonts w:ascii="Times New Roman" w:cs="Times New Roman" w:eastAsia="Times New Roman" w:hAnsi="Times New Roman"/>
          <w:sz w:val="14"/>
          <w:szCs w:val="14"/>
          <w:color w:val="auto"/>
        </w:rPr>
      </w:pPr>
    </w:p>
    <w:p>
      <w:pPr>
        <w:ind w:left="740" w:hanging="242"/>
        <w:spacing w:after="0"/>
        <w:tabs>
          <w:tab w:leader="none" w:pos="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4"/>
          <w:szCs w:val="14"/>
          <w:color w:val="auto"/>
        </w:rPr>
      </w:pPr>
    </w:p>
    <w:p>
      <w:pPr>
        <w:ind w:left="980" w:hanging="234"/>
        <w:spacing w:after="0"/>
        <w:tabs>
          <w:tab w:leader="none" w:pos="980"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28" w:lineRule="exact"/>
        <w:rPr>
          <w:rFonts w:ascii="Times New Roman" w:cs="Times New Roman" w:eastAsia="Times New Roman" w:hAnsi="Times New Roman"/>
          <w:sz w:val="14"/>
          <w:szCs w:val="14"/>
          <w:color w:val="auto"/>
        </w:rPr>
      </w:pPr>
    </w:p>
    <w:p>
      <w:pPr>
        <w:ind w:left="1000" w:right="80" w:hanging="254"/>
        <w:spacing w:after="0" w:line="252" w:lineRule="auto"/>
        <w:tabs>
          <w:tab w:leader="none" w:pos="993"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filed as an exhibit in the effective registration statement; and</w:t>
      </w:r>
    </w:p>
    <w:p>
      <w:pPr>
        <w:spacing w:after="0" w:line="104" w:lineRule="exact"/>
        <w:rPr>
          <w:rFonts w:ascii="Times New Roman" w:cs="Times New Roman" w:eastAsia="Times New Roman" w:hAnsi="Times New Roman"/>
          <w:sz w:val="14"/>
          <w:szCs w:val="14"/>
          <w:color w:val="auto"/>
        </w:rPr>
      </w:pPr>
    </w:p>
    <w:p>
      <w:pPr>
        <w:ind w:left="1000" w:right="500" w:hanging="254"/>
        <w:spacing w:after="0" w:line="272" w:lineRule="auto"/>
        <w:tabs>
          <w:tab w:leader="none" w:pos="1000"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do not apply if the information required to be included in a post-effective amendment by those paragraphs is contained in reports filed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96" w:lineRule="exact"/>
        <w:rPr>
          <w:sz w:val="20"/>
          <w:szCs w:val="20"/>
          <w:color w:val="auto"/>
        </w:rPr>
      </w:pPr>
    </w:p>
    <w:p>
      <w:pPr>
        <w:ind w:left="740" w:right="220" w:hanging="180"/>
        <w:spacing w:after="0" w:line="272" w:lineRule="auto"/>
        <w:tabs>
          <w:tab w:leader="none" w:pos="735"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89" w:lineRule="exact"/>
        <w:rPr>
          <w:rFonts w:ascii="Times New Roman" w:cs="Times New Roman" w:eastAsia="Times New Roman" w:hAnsi="Times New Roman"/>
          <w:sz w:val="14"/>
          <w:szCs w:val="14"/>
          <w:color w:val="auto"/>
        </w:rPr>
      </w:pPr>
    </w:p>
    <w:p>
      <w:pPr>
        <w:ind w:left="740" w:hanging="180"/>
        <w:spacing w:after="0"/>
        <w:tabs>
          <w:tab w:leader="none" w:pos="7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8" w:lineRule="exact"/>
        <w:rPr>
          <w:rFonts w:ascii="Times New Roman" w:cs="Times New Roman" w:eastAsia="Times New Roman" w:hAnsi="Times New Roman"/>
          <w:sz w:val="14"/>
          <w:szCs w:val="14"/>
          <w:color w:val="auto"/>
        </w:rPr>
      </w:pPr>
    </w:p>
    <w:p>
      <w:pPr>
        <w:ind w:left="740" w:hanging="242"/>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28" w:lineRule="exact"/>
        <w:rPr>
          <w:rFonts w:ascii="Times New Roman" w:cs="Times New Roman" w:eastAsia="Times New Roman" w:hAnsi="Times New Roman"/>
          <w:sz w:val="14"/>
          <w:szCs w:val="14"/>
          <w:color w:val="auto"/>
        </w:rPr>
      </w:pPr>
    </w:p>
    <w:p>
      <w:pPr>
        <w:ind w:left="1000" w:right="380" w:hanging="254"/>
        <w:spacing w:after="0" w:line="272" w:lineRule="auto"/>
        <w:tabs>
          <w:tab w:leader="none" w:pos="996"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9" w:lineRule="exact"/>
        <w:rPr>
          <w:rFonts w:ascii="Times New Roman" w:cs="Times New Roman" w:eastAsia="Times New Roman" w:hAnsi="Times New Roman"/>
          <w:sz w:val="14"/>
          <w:szCs w:val="14"/>
          <w:color w:val="auto"/>
        </w:rPr>
      </w:pPr>
    </w:p>
    <w:p>
      <w:pPr>
        <w:ind w:left="1000" w:hanging="254"/>
        <w:spacing w:after="0" w:line="250" w:lineRule="auto"/>
        <w:tabs>
          <w:tab w:leader="none" w:pos="993"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260"/>
          </w:cols>
          <w:pgMar w:left="300" w:top="1238" w:right="339" w:bottom="1440" w:gutter="0" w:footer="0" w:header="0"/>
        </w:sectPr>
      </w:pPr>
    </w:p>
    <w:bookmarkStart w:id="49" w:name="page50"/>
    <w:bookmarkEnd w:id="49"/>
    <w:p>
      <w:pPr>
        <w:ind w:left="502" w:right="140"/>
        <w:spacing w:after="0" w:line="272" w:lineRule="auto"/>
        <w:rPr>
          <w:sz w:val="20"/>
          <w:szCs w:val="20"/>
          <w:color w:val="auto"/>
        </w:rPr>
      </w:pPr>
      <w:r>
        <w:rPr>
          <w:rFonts w:ascii="Times New Roman" w:cs="Times New Roman" w:eastAsia="Times New Roman" w:hAnsi="Times New Roman"/>
          <w:sz w:val="14"/>
          <w:szCs w:val="14"/>
          <w:color w:val="auto"/>
        </w:rPr>
        <w:t>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9" w:lineRule="exact"/>
        <w:rPr>
          <w:sz w:val="20"/>
          <w:szCs w:val="20"/>
          <w:color w:val="auto"/>
        </w:rPr>
      </w:pPr>
    </w:p>
    <w:p>
      <w:pPr>
        <w:ind w:left="242" w:right="60" w:hanging="242"/>
        <w:spacing w:after="0" w:line="254" w:lineRule="auto"/>
        <w:tabs>
          <w:tab w:leader="none" w:pos="2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rFonts w:ascii="Times New Roman" w:cs="Times New Roman" w:eastAsia="Times New Roman" w:hAnsi="Times New Roman"/>
          <w:sz w:val="14"/>
          <w:szCs w:val="14"/>
          <w:color w:val="auto"/>
        </w:rPr>
      </w:pPr>
    </w:p>
    <w:p>
      <w:pPr>
        <w:ind w:left="482" w:hanging="234"/>
        <w:spacing w:after="0"/>
        <w:tabs>
          <w:tab w:leader="none" w:pos="48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28" w:lineRule="exact"/>
        <w:rPr>
          <w:rFonts w:ascii="Times New Roman" w:cs="Times New Roman" w:eastAsia="Times New Roman" w:hAnsi="Times New Roman"/>
          <w:sz w:val="14"/>
          <w:szCs w:val="14"/>
          <w:color w:val="auto"/>
        </w:rPr>
      </w:pPr>
    </w:p>
    <w:p>
      <w:pPr>
        <w:ind w:left="482" w:hanging="234"/>
        <w:spacing w:after="0"/>
        <w:tabs>
          <w:tab w:leader="none" w:pos="48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8" w:lineRule="exact"/>
        <w:rPr>
          <w:rFonts w:ascii="Times New Roman" w:cs="Times New Roman" w:eastAsia="Times New Roman" w:hAnsi="Times New Roman"/>
          <w:sz w:val="14"/>
          <w:szCs w:val="14"/>
          <w:color w:val="auto"/>
        </w:rPr>
      </w:pPr>
    </w:p>
    <w:p>
      <w:pPr>
        <w:ind w:left="502" w:right="160" w:hanging="254"/>
        <w:spacing w:after="0" w:line="272" w:lineRule="auto"/>
        <w:tabs>
          <w:tab w:leader="none" w:pos="50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9" w:lineRule="exact"/>
        <w:rPr>
          <w:rFonts w:ascii="Times New Roman" w:cs="Times New Roman" w:eastAsia="Times New Roman" w:hAnsi="Times New Roman"/>
          <w:sz w:val="14"/>
          <w:szCs w:val="14"/>
          <w:color w:val="auto"/>
        </w:rPr>
      </w:pPr>
    </w:p>
    <w:p>
      <w:pPr>
        <w:ind w:left="482" w:hanging="234"/>
        <w:spacing w:after="0"/>
        <w:tabs>
          <w:tab w:leader="none" w:pos="48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8" w:lineRule="exact"/>
        <w:rPr>
          <w:rFonts w:ascii="Times New Roman" w:cs="Times New Roman" w:eastAsia="Times New Roman" w:hAnsi="Times New Roman"/>
          <w:sz w:val="14"/>
          <w:szCs w:val="14"/>
          <w:color w:val="auto"/>
        </w:rPr>
      </w:pPr>
    </w:p>
    <w:p>
      <w:pPr>
        <w:jc w:val="both"/>
        <w:ind w:left="242" w:right="120" w:hanging="242"/>
        <w:spacing w:after="0" w:line="254" w:lineRule="auto"/>
        <w:tabs>
          <w:tab w:leader="none" w:pos="2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03" w:lineRule="exact"/>
        <w:rPr>
          <w:rFonts w:ascii="Times New Roman" w:cs="Times New Roman" w:eastAsia="Times New Roman" w:hAnsi="Times New Roman"/>
          <w:sz w:val="14"/>
          <w:szCs w:val="14"/>
          <w:color w:val="auto"/>
        </w:rPr>
      </w:pPr>
    </w:p>
    <w:p>
      <w:pPr>
        <w:ind w:left="242" w:right="40" w:hanging="242"/>
        <w:spacing w:after="0" w:line="254" w:lineRule="auto"/>
        <w:tabs>
          <w:tab w:leader="none" w:pos="2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03" w:lineRule="exact"/>
        <w:rPr>
          <w:rFonts w:ascii="Times New Roman" w:cs="Times New Roman" w:eastAsia="Times New Roman" w:hAnsi="Times New Roman"/>
          <w:sz w:val="14"/>
          <w:szCs w:val="14"/>
          <w:color w:val="auto"/>
        </w:rPr>
      </w:pPr>
    </w:p>
    <w:p>
      <w:pPr>
        <w:ind w:left="242" w:hanging="242"/>
        <w:spacing w:after="0" w:line="251" w:lineRule="auto"/>
        <w:tabs>
          <w:tab w:leader="none" w:pos="2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rFonts w:ascii="Times New Roman" w:cs="Times New Roman" w:eastAsia="Times New Roman" w:hAnsi="Times New Roman"/>
          <w:sz w:val="14"/>
          <w:szCs w:val="14"/>
          <w:color w:val="auto"/>
        </w:rPr>
      </w:pPr>
    </w:p>
    <w:p>
      <w:pPr>
        <w:ind w:left="242" w:right="520" w:hanging="242"/>
        <w:spacing w:after="0" w:line="272" w:lineRule="auto"/>
        <w:tabs>
          <w:tab w:leader="none" w:pos="2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8"/>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782"/>
          </w:cols>
          <w:pgMar w:left="798" w:top="1242"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2"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June 26, 2026.</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Spyre Therapeutics, Inc.</w:t>
      </w:r>
    </w:p>
    <w:p>
      <w:pPr>
        <w:spacing w:after="0" w:line="184" w:lineRule="exact"/>
        <w:rPr>
          <w:sz w:val="20"/>
          <w:szCs w:val="20"/>
          <w:color w:val="auto"/>
        </w:rPr>
      </w:pPr>
    </w:p>
    <w:tbl>
      <w:tblPr>
        <w:tblLayout w:type="fixed"/>
        <w:tblInd w:w="5540" w:type="dxa"/>
        <w:tblCellMar>
          <w:top w:w="0" w:type="dxa"/>
          <w:left w:w="0" w:type="dxa"/>
          <w:bottom w:w="0" w:type="dxa"/>
          <w:right w:w="0" w:type="dxa"/>
        </w:tblCellMar>
      </w:tblPr>
      <w:tr>
        <w:trPr>
          <w:trHeight w:val="178"/>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Cameron Turtle, DPhil</w:t>
            </w:r>
          </w:p>
        </w:tc>
      </w:tr>
      <w:tr>
        <w:trPr>
          <w:trHeight w:val="16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Cameron Turtle, DPhil</w:t>
            </w:r>
          </w:p>
        </w:tc>
      </w:tr>
      <w:tr>
        <w:trPr>
          <w:trHeight w:val="17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Dr. Cameron Turtle, Mr. Scott Burrows and Ms. Heidy King-Jones, and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them, as true and lawful attorneys-in-fact and agents, with full powers of substitution and resubstitution, for them and in their name, place and stead, in any and all capacities, to sign any and all amendments (including post-effective amendments) to this registration statement (or any registration statement for the same offering that is to be effective upon filing pursuant to Rule 462 under the Securities Act), and to file the same, with all exhibits thereto, and other documents in connection therewith, with the SEC, and generally to do all such things in their names and behalf in their capacities as officers and directors to enable the Company to comply with the provisions of the Securities Act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Signatures</w:t>
            </w:r>
          </w:p>
        </w:tc>
        <w:tc>
          <w:tcPr>
            <w:tcW w:w="80" w:type="dxa"/>
            <w:vAlign w:val="bottom"/>
          </w:tcPr>
          <w:p>
            <w:pPr>
              <w:spacing w:after="0"/>
              <w:rPr>
                <w:sz w:val="13"/>
                <w:szCs w:val="13"/>
                <w:color w:val="auto"/>
              </w:rPr>
            </w:pPr>
          </w:p>
        </w:tc>
        <w:tc>
          <w:tcPr>
            <w:tcW w:w="5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27"/>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Cameron Turtle, DPhil</w:t>
            </w:r>
          </w:p>
        </w:tc>
        <w:tc>
          <w:tcPr>
            <w:tcW w:w="80" w:type="dxa"/>
            <w:vAlign w:val="bottom"/>
          </w:tcPr>
          <w:p>
            <w:pPr>
              <w:spacing w:after="0"/>
              <w:rPr>
                <w:sz w:val="19"/>
                <w:szCs w:val="19"/>
                <w:color w:val="auto"/>
              </w:rPr>
            </w:pPr>
          </w:p>
        </w:tc>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Chief Executive Officer &amp; 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62"/>
        </w:trPr>
        <w:tc>
          <w:tcPr>
            <w:tcW w:w="3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w w:val="97"/>
              </w:rPr>
              <w:t>(Principal Executive Officer)</w:t>
            </w: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Cameron Turtle, DPhil</w:t>
            </w:r>
          </w:p>
        </w:tc>
        <w:tc>
          <w:tcPr>
            <w:tcW w:w="80" w:type="dxa"/>
            <w:vAlign w:val="bottom"/>
          </w:tcPr>
          <w:p>
            <w:pPr>
              <w:spacing w:after="0"/>
              <w:rPr>
                <w:sz w:val="8"/>
                <w:szCs w:val="8"/>
                <w:color w:val="auto"/>
              </w:rPr>
            </w:pPr>
          </w:p>
        </w:tc>
        <w:tc>
          <w:tcPr>
            <w:tcW w:w="598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Scott Burrows</w:t>
            </w:r>
          </w:p>
        </w:tc>
        <w:tc>
          <w:tcPr>
            <w:tcW w:w="80" w:type="dxa"/>
            <w:vAlign w:val="bottom"/>
          </w:tcPr>
          <w:p>
            <w:pPr>
              <w:spacing w:after="0"/>
              <w:rPr>
                <w:sz w:val="21"/>
                <w:szCs w:val="21"/>
                <w:color w:val="auto"/>
              </w:rPr>
            </w:pPr>
          </w:p>
        </w:tc>
        <w:tc>
          <w:tcPr>
            <w:tcW w:w="5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Chief Financial Officer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62"/>
        </w:trPr>
        <w:tc>
          <w:tcPr>
            <w:tcW w:w="3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w w:val="98"/>
              </w:rPr>
              <w:t>(Principal Financial Officer and Principal Accounting Officer)</w:t>
            </w: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Scott Burrows</w:t>
            </w:r>
          </w:p>
        </w:tc>
        <w:tc>
          <w:tcPr>
            <w:tcW w:w="80" w:type="dxa"/>
            <w:vAlign w:val="bottom"/>
          </w:tcPr>
          <w:p>
            <w:pPr>
              <w:spacing w:after="0"/>
              <w:rPr>
                <w:sz w:val="8"/>
                <w:szCs w:val="8"/>
                <w:color w:val="auto"/>
              </w:rPr>
            </w:pPr>
          </w:p>
        </w:tc>
        <w:tc>
          <w:tcPr>
            <w:tcW w:w="598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Jeffrey Albers</w:t>
            </w:r>
          </w:p>
        </w:tc>
        <w:tc>
          <w:tcPr>
            <w:tcW w:w="80" w:type="dxa"/>
            <w:vAlign w:val="bottom"/>
          </w:tcPr>
          <w:p>
            <w:pPr>
              <w:spacing w:after="0"/>
              <w:rPr>
                <w:sz w:val="22"/>
                <w:szCs w:val="22"/>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7"/>
              </w:rPr>
              <w:t>Chairman of the Board</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30"/>
        </w:trPr>
        <w:tc>
          <w:tcPr>
            <w:tcW w:w="3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980" w:type="dxa"/>
            <w:vAlign w:val="bottom"/>
            <w:gridSpan w:val="2"/>
            <w:vMerge w:val="continue"/>
          </w:tcPr>
          <w:p>
            <w:pPr>
              <w:spacing w:after="0"/>
              <w:rPr>
                <w:sz w:val="2"/>
                <w:szCs w:val="2"/>
                <w:color w:val="auto"/>
              </w:rPr>
            </w:pPr>
          </w:p>
        </w:tc>
        <w:tc>
          <w:tcPr>
            <w:tcW w:w="2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Jeffrey Albers</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 Michael Henderson, M.D.</w:t>
            </w:r>
          </w:p>
        </w:tc>
        <w:tc>
          <w:tcPr>
            <w:tcW w:w="80" w:type="dxa"/>
            <w:vAlign w:val="bottom"/>
          </w:tcPr>
          <w:p>
            <w:pPr>
              <w:spacing w:after="0"/>
              <w:rPr>
                <w:sz w:val="22"/>
                <w:szCs w:val="22"/>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Michael Henderson, M.D.</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Tomas Kiselak</w:t>
            </w:r>
          </w:p>
        </w:tc>
        <w:tc>
          <w:tcPr>
            <w:tcW w:w="80" w:type="dxa"/>
            <w:vAlign w:val="bottom"/>
          </w:tcPr>
          <w:p>
            <w:pPr>
              <w:spacing w:after="0"/>
              <w:rPr>
                <w:sz w:val="22"/>
                <w:szCs w:val="22"/>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Tomas Kiselak</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Mark McKenna</w:t>
            </w:r>
          </w:p>
        </w:tc>
        <w:tc>
          <w:tcPr>
            <w:tcW w:w="80" w:type="dxa"/>
            <w:vAlign w:val="bottom"/>
          </w:tcPr>
          <w:p>
            <w:pPr>
              <w:spacing w:after="0"/>
              <w:rPr>
                <w:sz w:val="22"/>
                <w:szCs w:val="22"/>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Mark McKenna</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 Sandra Milligan</w:t>
            </w:r>
          </w:p>
        </w:tc>
        <w:tc>
          <w:tcPr>
            <w:tcW w:w="80" w:type="dxa"/>
            <w:vAlign w:val="bottom"/>
          </w:tcPr>
          <w:p>
            <w:pPr>
              <w:spacing w:after="0"/>
              <w:rPr>
                <w:sz w:val="22"/>
                <w:szCs w:val="22"/>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Sandra Milligan</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38"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5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Signatures</w:t>
            </w:r>
          </w:p>
        </w:tc>
        <w:tc>
          <w:tcPr>
            <w:tcW w:w="80" w:type="dxa"/>
            <w:vAlign w:val="bottom"/>
          </w:tcPr>
          <w:p>
            <w:pPr>
              <w:spacing w:after="0"/>
              <w:rPr>
                <w:sz w:val="13"/>
                <w:szCs w:val="13"/>
                <w:color w:val="auto"/>
              </w:rPr>
            </w:pPr>
          </w:p>
        </w:tc>
        <w:tc>
          <w:tcPr>
            <w:tcW w:w="5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79"/>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Laurie Stelzer</w:t>
            </w:r>
          </w:p>
        </w:tc>
        <w:tc>
          <w:tcPr>
            <w:tcW w:w="80" w:type="dxa"/>
            <w:vAlign w:val="bottom"/>
          </w:tcPr>
          <w:p>
            <w:pPr>
              <w:spacing w:after="0"/>
              <w:rPr>
                <w:sz w:val="24"/>
                <w:szCs w:val="24"/>
                <w:color w:val="auto"/>
              </w:rPr>
            </w:pPr>
          </w:p>
        </w:tc>
        <w:tc>
          <w:tcPr>
            <w:tcW w:w="5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June 26, 2026</w:t>
            </w:r>
          </w:p>
        </w:tc>
        <w:tc>
          <w:tcPr>
            <w:tcW w:w="0" w:type="dxa"/>
            <w:vAlign w:val="bottom"/>
          </w:tcPr>
          <w:p>
            <w:pPr>
              <w:spacing w:after="0"/>
              <w:rPr>
                <w:sz w:val="1"/>
                <w:szCs w:val="1"/>
                <w:color w:val="auto"/>
              </w:rPr>
            </w:pP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Laurie Stelzer</w:t>
            </w:r>
          </w:p>
        </w:tc>
        <w:tc>
          <w:tcPr>
            <w:tcW w:w="80" w:type="dxa"/>
            <w:vAlign w:val="bottom"/>
            <w:vMerge w:val="continue"/>
          </w:tcPr>
          <w:p>
            <w:pPr>
              <w:spacing w:after="0"/>
              <w:rPr>
                <w:sz w:val="3"/>
                <w:szCs w:val="3"/>
                <w:color w:val="auto"/>
              </w:rPr>
            </w:pPr>
          </w:p>
        </w:tc>
        <w:tc>
          <w:tcPr>
            <w:tcW w:w="5980" w:type="dxa"/>
            <w:vAlign w:val="bottom"/>
            <w:gridSpan w:val="2"/>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1280"/>
          </w:cols>
          <w:pgMar w:left="300" w:top="1266" w:right="319" w:bottom="1440" w:gutter="0" w:footer="0" w:header="0"/>
        </w:sectPr>
      </w:pPr>
    </w:p>
    <w:bookmarkStart w:id="52" w:name="page53"/>
    <w:bookmarkEnd w:id="52"/>
    <w:p>
      <w:pPr>
        <w:ind w:left="3540"/>
        <w:spacing w:after="0"/>
        <w:rPr>
          <w:sz w:val="20"/>
          <w:szCs w:val="20"/>
          <w:color w:val="auto"/>
        </w:rPr>
      </w:pPr>
      <w:r>
        <w:rPr>
          <w:rFonts w:ascii="Arial" w:cs="Arial" w:eastAsia="Arial" w:hAnsi="Arial"/>
          <w:sz w:val="28"/>
          <w:szCs w:val="28"/>
          <w:b w:val="1"/>
          <w:bCs w:val="1"/>
          <w:color w:val="auto"/>
        </w:rPr>
        <w:t>Calculation of Filing Fee Tables</w:t>
      </w:r>
    </w:p>
    <w:p>
      <w:pPr>
        <w:spacing w:after="0" w:line="16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Spyre Therapeutics, Inc.</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17"/>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Carry</w:t>
            </w:r>
          </w:p>
        </w:tc>
        <w:tc>
          <w:tcPr>
            <w:tcW w:w="4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8"/>
                <w:szCs w:val="8"/>
                <w:color w:val="auto"/>
              </w:rPr>
            </w:pPr>
          </w:p>
        </w:tc>
        <w:tc>
          <w:tcPr>
            <w:tcW w:w="96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line="16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right"/>
              <w:ind w:right="37"/>
              <w:spacing w:after="0" w:line="16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6"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File</w:t>
            </w:r>
          </w:p>
        </w:tc>
        <w:tc>
          <w:tcPr>
            <w:tcW w:w="40" w:type="dxa"/>
            <w:vAlign w:val="bottom"/>
          </w:tcPr>
          <w:p>
            <w:pPr>
              <w:spacing w:after="0"/>
              <w:rPr>
                <w:sz w:val="16"/>
                <w:szCs w:val="16"/>
                <w:color w:val="auto"/>
              </w:rPr>
            </w:pPr>
          </w:p>
        </w:tc>
        <w:tc>
          <w:tcPr>
            <w:tcW w:w="8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40" w:type="dxa"/>
            <w:vAlign w:val="bottom"/>
          </w:tcPr>
          <w:p>
            <w:pPr>
              <w:spacing w:after="0"/>
              <w:rPr>
                <w:sz w:val="16"/>
                <w:szCs w:val="16"/>
                <w:color w:val="auto"/>
              </w:rPr>
            </w:pPr>
          </w:p>
        </w:tc>
        <w:tc>
          <w:tcPr>
            <w:tcW w:w="8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6"/>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$ 64,002.44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6"/>
              </w:rPr>
              <w:t>463,450,000.00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3" w:lineRule="exact"/>
              <w:rPr>
                <w:sz w:val="20"/>
                <w:szCs w:val="20"/>
                <w:color w:val="auto"/>
              </w:rPr>
            </w:pPr>
            <w:r>
              <w:rPr>
                <w:rFonts w:ascii="Arial" w:cs="Arial" w:eastAsia="Arial" w:hAnsi="Arial"/>
                <w:sz w:val="13"/>
                <w:szCs w:val="13"/>
                <w:color w:val="auto"/>
              </w:rPr>
              <w:t>par value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6"/>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E7E7E2"/>
          </w:tcPr>
          <w:p>
            <w:pPr>
              <w:jc w:val="right"/>
              <w:ind w:right="77"/>
              <w:spacing w:after="0"/>
              <w:rPr>
                <w:sz w:val="20"/>
                <w:szCs w:val="20"/>
                <w:color w:val="auto"/>
              </w:rPr>
            </w:pPr>
            <w:r>
              <w:rPr>
                <w:rFonts w:ascii="Arial" w:cs="Arial" w:eastAsia="Arial" w:hAnsi="Arial"/>
                <w:sz w:val="17"/>
                <w:szCs w:val="17"/>
                <w:color w:val="auto"/>
              </w:rPr>
              <w:t>333-</w:t>
            </w: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415(a)(6)</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02/27/2026</w:t>
            </w: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$ 5,047.55</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rPr>
              <w:t>36,550,000.00</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rPr>
              <w:t>293600</w:t>
            </w:r>
          </w:p>
        </w:tc>
        <w:tc>
          <w:tcPr>
            <w:tcW w:w="4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line="113" w:lineRule="exact"/>
              <w:rPr>
                <w:sz w:val="20"/>
                <w:szCs w:val="20"/>
                <w:color w:val="auto"/>
              </w:rPr>
            </w:pPr>
            <w:r>
              <w:rPr>
                <w:rFonts w:ascii="Arial" w:cs="Arial" w:eastAsia="Arial" w:hAnsi="Arial"/>
                <w:sz w:val="13"/>
                <w:szCs w:val="13"/>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3" w:lineRule="exact"/>
              <w:rPr>
                <w:sz w:val="20"/>
                <w:szCs w:val="20"/>
                <w:color w:val="auto"/>
              </w:rPr>
            </w:pPr>
            <w:r>
              <w:rPr>
                <w:rFonts w:ascii="Arial" w:cs="Arial" w:eastAsia="Arial" w:hAnsi="Arial"/>
                <w:sz w:val="13"/>
                <w:szCs w:val="13"/>
                <w:color w:val="auto"/>
              </w:rPr>
              <w:t>par value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$ 64,002.44</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w w:val="98"/>
              </w:rPr>
              <w:t>500,000,000.00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$ 64,002.44</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0"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offered and sold from time to time in one or more offerings by the registrant. There is also being registered hereunder an indeterminate number of shares of common stock and preferred stock that may be issued upon exercise, settlement, exchange or conversion of securities offered or sold hereunder.</w:t>
      </w:r>
    </w:p>
    <w:p>
      <w:pPr>
        <w:spacing w:after="0" w:line="158" w:lineRule="exact"/>
        <w:rPr>
          <w:sz w:val="20"/>
          <w:szCs w:val="20"/>
          <w:color w:val="auto"/>
        </w:rPr>
      </w:pPr>
    </w:p>
    <w:p>
      <w:pPr>
        <w:ind w:left="200" w:right="200"/>
        <w:spacing w:after="0" w:line="321" w:lineRule="auto"/>
        <w:rPr>
          <w:sz w:val="20"/>
          <w:szCs w:val="20"/>
          <w:color w:val="auto"/>
        </w:rPr>
      </w:pPr>
      <w:r>
        <w:rPr>
          <w:rFonts w:ascii="Arial" w:cs="Arial" w:eastAsia="Arial" w:hAnsi="Arial"/>
          <w:sz w:val="15"/>
          <w:szCs w:val="15"/>
          <w:color w:val="auto"/>
        </w:rPr>
        <w:t>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w:t>
      </w:r>
    </w:p>
    <w:p>
      <w:pPr>
        <w:spacing w:after="0" w:line="96" w:lineRule="exact"/>
        <w:rPr>
          <w:sz w:val="20"/>
          <w:szCs w:val="20"/>
          <w:color w:val="auto"/>
        </w:rPr>
      </w:pPr>
    </w:p>
    <w:p>
      <w:pPr>
        <w:ind w:left="200" w:right="180"/>
        <w:spacing w:after="0" w:line="237" w:lineRule="auto"/>
        <w:rPr>
          <w:sz w:val="20"/>
          <w:szCs w:val="20"/>
          <w:color w:val="auto"/>
        </w:rPr>
      </w:pPr>
      <w:r>
        <w:rPr>
          <w:rFonts w:ascii="Arial" w:cs="Arial" w:eastAsia="Arial" w:hAnsi="Arial"/>
          <w:sz w:val="17"/>
          <w:szCs w:val="17"/>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7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507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507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5073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60"/>
          </w:cols>
          <w:pgMar w:left="300" w:top="141" w:right="239" w:bottom="0" w:gutter="0" w:footer="0" w:header="0"/>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See Note 1.</w:t>
      </w:r>
    </w:p>
    <w:p>
      <w:pPr>
        <w:sectPr>
          <w:pgSz w:w="11900" w:h="16838" w:orient="portrait"/>
          <w:cols w:equalWidth="0" w:num="1">
            <w:col w:w="11360"/>
          </w:cols>
          <w:pgMar w:left="300" w:top="141" w:right="239" w:bottom="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50735" cy="26035"/>
                    </a:xfrm>
                    <a:prstGeom prst="rect">
                      <a:avLst/>
                    </a:prstGeom>
                    <a:noFill/>
                  </pic:spPr>
                </pic:pic>
              </a:graphicData>
            </a:graphic>
          </wp:anchor>
        </w:drawing>
        <w:t>6</w:t>
      </w:r>
    </w:p>
    <w:p>
      <w:pPr>
        <w:spacing w:after="0" w:line="60" w:lineRule="exact"/>
        <w:rPr>
          <w:sz w:val="20"/>
          <w:szCs w:val="20"/>
          <w:color w:val="auto"/>
        </w:rPr>
      </w:pPr>
    </w:p>
    <w:p>
      <w:pPr>
        <w:ind w:left="200" w:right="200"/>
        <w:spacing w:after="0" w:line="234" w:lineRule="auto"/>
        <w:rPr>
          <w:sz w:val="20"/>
          <w:szCs w:val="20"/>
          <w:color w:val="auto"/>
        </w:rPr>
      </w:pPr>
      <w:r>
        <w:rPr>
          <w:rFonts w:ascii="Arial" w:cs="Arial" w:eastAsia="Arial" w:hAnsi="Arial"/>
          <w:sz w:val="17"/>
          <w:szCs w:val="17"/>
          <w:color w:val="auto"/>
        </w:rPr>
        <w:t>In accordance with Rules 456(b) and 457(r) under the Securities Act, the registrant is deferring payment of the filing fees relating to the securities that are registered and available for sale under this registration statement other than the fees in connection with the $500,000,000 of the registrant's common stock that may be issued and sold from time to time under the Sales Agreement, dated June 26, 2026, with TD Securities (USA) LLC, as sales agent.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507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7</w:t>
      </w:r>
    </w:p>
    <w:p>
      <w:pPr>
        <w:spacing w:after="0" w:line="60" w:lineRule="exact"/>
        <w:rPr>
          <w:sz w:val="20"/>
          <w:szCs w:val="20"/>
          <w:color w:val="auto"/>
        </w:rPr>
      </w:pPr>
    </w:p>
    <w:p>
      <w:pPr>
        <w:ind w:left="200" w:right="140"/>
        <w:spacing w:after="0" w:line="268" w:lineRule="auto"/>
        <w:rPr>
          <w:sz w:val="20"/>
          <w:szCs w:val="20"/>
          <w:color w:val="auto"/>
        </w:rPr>
      </w:pPr>
      <w:r>
        <w:rPr>
          <w:rFonts w:ascii="Arial" w:cs="Arial" w:eastAsia="Arial" w:hAnsi="Arial"/>
          <w:sz w:val="15"/>
          <w:szCs w:val="15"/>
          <w:color w:val="auto"/>
        </w:rPr>
        <w:t>Pursuant to Rule 415(a)(6) under the Securities Act, the securities being registered hereunder include $36,550,000 aggregate principal amount of unsold securities (the "Unsold Securities") previously covered by our registration statement on Form S-3 (File No. 333-293600), which was filed with the Securities and Exchange Commission on February 19, 2026 and became effective on March 4, 2026 (the "Prior Registration Statement"). We paid a filing fee of $5,047.55 (calculated at the filing fee rate in effect at the time of the filing of the Prior Registration Statement) relating to the Unsold Securities under the Prior Registration Statement. Pursuant to Rule 415(a)(6) under the Securities Act, (i) the registration fee applicable to the Unsold Securities is being carried forward to this registration statement and will continue to be applied to the Unsold Securities, and (ii)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5073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ind w:right="20"/>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320" w:type="dxa"/>
            <w:vAlign w:val="bottom"/>
            <w:shd w:val="clear" w:color="auto" w:fill="9ADAF6"/>
          </w:tcPr>
          <w:p>
            <w:pPr>
              <w:jc w:val="center"/>
              <w:ind w:right="197"/>
              <w:spacing w:after="0" w:line="166"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Number</w:t>
            </w: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0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60" w:type="dxa"/>
            <w:vAlign w:val="bottom"/>
            <w:tcBorders>
              <w:right w:val="single" w:sz="8" w:color="9ADAF6"/>
            </w:tcBorders>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ind w:right="20"/>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17"/>
              <w:spacing w:after="0" w:line="186" w:lineRule="exact"/>
              <w:rPr>
                <w:sz w:val="20"/>
                <w:szCs w:val="20"/>
                <w:color w:val="auto"/>
              </w:rPr>
            </w:pPr>
            <w:r>
              <w:rPr>
                <w:rFonts w:ascii="Arial" w:cs="Arial" w:eastAsia="Arial" w:hAnsi="Arial"/>
                <w:sz w:val="17"/>
                <w:szCs w:val="17"/>
                <w:b w:val="1"/>
                <w:bCs w:val="1"/>
                <w:color w:val="auto"/>
                <w:w w:val="96"/>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3"/>
              </w:rPr>
              <w:t>Security Type</w:t>
            </w: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17"/>
              <w:spacing w:after="0"/>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274" w:right="2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SPYRE THERAPEUTICS,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$500,000,000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COMMON STOCK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SALES AGREEMENT</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June 26,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TD Securities (USA)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Vanderbilt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Spyre Therapeutics, Inc., a Delaware corporation (the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confirms its agreement (this “</w:t>
      </w:r>
      <w:r>
        <w:rPr>
          <w:rFonts w:ascii="Times New Roman" w:cs="Times New Roman" w:eastAsia="Times New Roman" w:hAnsi="Times New Roman"/>
          <w:sz w:val="15"/>
          <w:szCs w:val="15"/>
          <w:b w:val="1"/>
          <w:bCs w:val="1"/>
          <w:u w:val="single" w:color="auto"/>
          <w:color w:val="auto"/>
        </w:rPr>
        <w:t>Agreement</w:t>
      </w:r>
      <w:r>
        <w:rPr>
          <w:rFonts w:ascii="Times New Roman" w:cs="Times New Roman" w:eastAsia="Times New Roman" w:hAnsi="Times New Roman"/>
          <w:sz w:val="15"/>
          <w:szCs w:val="15"/>
          <w:color w:val="auto"/>
        </w:rPr>
        <w:t>”) with TD Securities (USA) LLC (“</w:t>
      </w:r>
      <w:r>
        <w:rPr>
          <w:rFonts w:ascii="Times New Roman" w:cs="Times New Roman" w:eastAsia="Times New Roman" w:hAnsi="Times New Roman"/>
          <w:sz w:val="15"/>
          <w:szCs w:val="15"/>
          <w:b w:val="1"/>
          <w:bCs w:val="1"/>
          <w:u w:val="single" w:color="auto"/>
          <w:color w:val="auto"/>
        </w:rPr>
        <w:t>TD Cowen</w:t>
      </w:r>
      <w:r>
        <w:rPr>
          <w:rFonts w:ascii="Times New Roman" w:cs="Times New Roman" w:eastAsia="Times New Roman" w:hAnsi="Times New Roman"/>
          <w:sz w:val="15"/>
          <w:szCs w:val="15"/>
          <w:color w:val="auto"/>
        </w:rPr>
        <w:t>”), as follows:</w:t>
      </w:r>
    </w:p>
    <w:p>
      <w:pPr>
        <w:spacing w:after="0" w:line="182" w:lineRule="exact"/>
        <w:rPr>
          <w:sz w:val="20"/>
          <w:szCs w:val="20"/>
          <w:color w:val="auto"/>
        </w:rPr>
      </w:pPr>
    </w:p>
    <w:p>
      <w:pPr>
        <w:jc w:val="both"/>
        <w:ind w:firstLine="498"/>
        <w:spacing w:after="0" w:line="257" w:lineRule="auto"/>
        <w:tabs>
          <w:tab w:leader="none" w:pos="647"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and Sale of Shares</w:t>
      </w:r>
      <w:r>
        <w:rPr>
          <w:rFonts w:ascii="Times New Roman" w:cs="Times New Roman" w:eastAsia="Times New Roman" w:hAnsi="Times New Roman"/>
          <w:sz w:val="15"/>
          <w:szCs w:val="15"/>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15"/>
          <w:szCs w:val="15"/>
          <w:b w:val="1"/>
          <w:bCs w:val="1"/>
          <w:u w:val="single" w:color="auto"/>
          <w:color w:val="auto"/>
        </w:rPr>
        <w:t>Placement Shares</w:t>
      </w:r>
      <w:r>
        <w:rPr>
          <w:rFonts w:ascii="Times New Roman" w:cs="Times New Roman" w:eastAsia="Times New Roman" w:hAnsi="Times New Roman"/>
          <w:sz w:val="15"/>
          <w:szCs w:val="15"/>
          <w:color w:val="auto"/>
        </w:rPr>
        <w:t>”) of the Company’s common stock, par value $0.0001 per share (the “</w:t>
      </w:r>
      <w:r>
        <w:rPr>
          <w:rFonts w:ascii="Times New Roman" w:cs="Times New Roman" w:eastAsia="Times New Roman" w:hAnsi="Times New Roman"/>
          <w:sz w:val="15"/>
          <w:szCs w:val="15"/>
          <w:b w:val="1"/>
          <w:bCs w:val="1"/>
          <w:u w:val="single" w:color="auto"/>
          <w:color w:val="auto"/>
        </w:rPr>
        <w:t>Common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Stock</w:t>
      </w:r>
      <w:r>
        <w:rPr>
          <w:rFonts w:ascii="Times New Roman" w:cs="Times New Roman" w:eastAsia="Times New Roman" w:hAnsi="Times New Roman"/>
          <w:sz w:val="15"/>
          <w:szCs w:val="15"/>
          <w:color w:val="auto"/>
        </w:rPr>
        <w:t>”), having an aggregate offering price of up to $500,000,000 (the “</w:t>
      </w:r>
      <w:r>
        <w:rPr>
          <w:rFonts w:ascii="Times New Roman" w:cs="Times New Roman" w:eastAsia="Times New Roman" w:hAnsi="Times New Roman"/>
          <w:sz w:val="15"/>
          <w:szCs w:val="15"/>
          <w:b w:val="1"/>
          <w:bCs w:val="1"/>
          <w:u w:val="single" w:color="auto"/>
          <w:color w:val="auto"/>
        </w:rPr>
        <w:t>Maximum Amount</w:t>
      </w:r>
      <w:r>
        <w:rPr>
          <w:rFonts w:ascii="Times New Roman" w:cs="Times New Roman" w:eastAsia="Times New Roman" w:hAnsi="Times New Roman"/>
          <w:sz w:val="15"/>
          <w:szCs w:val="15"/>
          <w:color w:val="auto"/>
        </w:rPr>
        <w:t>”). Notwithstanding anything to the contrary contained herein, the parties hereto agree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compliance with the limitation set forth in this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automatically effective upon filing with the Securities and Exchange Commission (the “</w:t>
      </w:r>
      <w:r>
        <w:rPr>
          <w:rFonts w:ascii="Times New Roman" w:cs="Times New Roman" w:eastAsia="Times New Roman" w:hAnsi="Times New Roman"/>
          <w:sz w:val="15"/>
          <w:szCs w:val="15"/>
          <w:b w:val="1"/>
          <w:bCs w:val="1"/>
          <w:u w:val="single" w:color="auto"/>
          <w:color w:val="auto"/>
        </w:rPr>
        <w:t>Commission</w:t>
      </w:r>
      <w:r>
        <w:rPr>
          <w:rFonts w:ascii="Times New Roman" w:cs="Times New Roman" w:eastAsia="Times New Roman" w:hAnsi="Times New Roman"/>
          <w:sz w:val="15"/>
          <w:szCs w:val="15"/>
          <w:color w:val="auto"/>
        </w:rPr>
        <w:t>”), although nothing in this Agreement shall be construed as requiring the Company to use the Registration Statement (as defined below) to issue the Placement Shares. The Company acknowledges and agrees that sales of Placement Shares under this Agreement may be made through affiliates of TD Cowen, and that TD Cowen may otherwise fulfill its obligations pursuant to this Agreement to or through an affiliated broker-dealer.</w:t>
      </w:r>
    </w:p>
    <w:p>
      <w:pPr>
        <w:spacing w:after="0" w:line="13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5"/>
          <w:szCs w:val="15"/>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5"/>
          <w:szCs w:val="15"/>
          <w:b w:val="1"/>
          <w:bCs w:val="1"/>
          <w:u w:val="single" w:color="auto"/>
          <w:color w:val="auto"/>
        </w:rPr>
        <w:t>Securities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Act</w:t>
      </w:r>
      <w:r>
        <w:rPr>
          <w:rFonts w:ascii="Times New Roman" w:cs="Times New Roman" w:eastAsia="Times New Roman" w:hAnsi="Times New Roman"/>
          <w:sz w:val="15"/>
          <w:szCs w:val="15"/>
          <w:color w:val="auto"/>
        </w:rPr>
        <w:t>”), with the Commission a registration statement on Form S-3, including a base prospectus, relating to certain securities, including the Common Stock, to be issued from time to time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5"/>
          <w:szCs w:val="15"/>
          <w:b w:val="1"/>
          <w:bCs w:val="1"/>
          <w:u w:val="single" w:color="auto"/>
          <w:color w:val="auto"/>
        </w:rPr>
        <w:t>Exchange Act</w:t>
      </w:r>
      <w:r>
        <w:rPr>
          <w:rFonts w:ascii="Times New Roman" w:cs="Times New Roman" w:eastAsia="Times New Roman" w:hAnsi="Times New Roman"/>
          <w:sz w:val="15"/>
          <w:szCs w:val="15"/>
          <w:color w:val="auto"/>
        </w:rPr>
        <w:t>”). The Company has prepared a prospectus supplement specifically relating to the Placement Shares (the “</w:t>
      </w:r>
      <w:r>
        <w:rPr>
          <w:rFonts w:ascii="Times New Roman" w:cs="Times New Roman" w:eastAsia="Times New Roman" w:hAnsi="Times New Roman"/>
          <w:sz w:val="15"/>
          <w:szCs w:val="15"/>
          <w:b w:val="1"/>
          <w:bCs w:val="1"/>
          <w:u w:val="single" w:color="auto"/>
          <w:color w:val="auto"/>
        </w:rPr>
        <w:t>Prospectus Supplement</w:t>
      </w:r>
      <w:r>
        <w:rPr>
          <w:rFonts w:ascii="Times New Roman" w:cs="Times New Roman" w:eastAsia="Times New Roman" w:hAnsi="Times New Roman"/>
          <w:sz w:val="15"/>
          <w:szCs w:val="15"/>
          <w:color w:val="auto"/>
        </w:rPr>
        <w:t>”) to the base prospectus included as part of such registration statement. The Company shall furnish to TD Cowen, for use by TD Cowen, copies of the prospectus included as part of such registration statement, as supplemented by the Prospectus Supplement.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w:t>
      </w:r>
    </w:p>
    <w:p>
      <w:pPr>
        <w:sectPr>
          <w:pgSz w:w="11900" w:h="16838" w:orient="portrait"/>
          <w:cols w:equalWidth="0" w:num="1">
            <w:col w:w="11280"/>
          </w:cols>
          <w:pgMar w:left="300" w:top="123" w:right="31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5"/>
          <w:szCs w:val="15"/>
          <w:color w:val="auto"/>
        </w:rPr>
        <w:t>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5"/>
          <w:szCs w:val="15"/>
          <w:b w:val="1"/>
          <w:bCs w:val="1"/>
          <w:u w:val="single" w:color="auto"/>
          <w:color w:val="auto"/>
        </w:rPr>
        <w:t>Registration Statement</w:t>
      </w:r>
      <w:r>
        <w:rPr>
          <w:rFonts w:ascii="Times New Roman" w:cs="Times New Roman" w:eastAsia="Times New Roman" w:hAnsi="Times New Roman"/>
          <w:sz w:val="15"/>
          <w:szCs w:val="15"/>
          <w:color w:val="auto"/>
        </w:rPr>
        <w:t>.” Any registration statement and amendments thereto filed pursuant to Rule 462(b) of the Securities Act and relating to the offering covered by the Registration Statement is herein called a “</w:t>
      </w:r>
      <w:r>
        <w:rPr>
          <w:rFonts w:ascii="Times New Roman" w:cs="Times New Roman" w:eastAsia="Times New Roman" w:hAnsi="Times New Roman"/>
          <w:sz w:val="15"/>
          <w:szCs w:val="15"/>
          <w:b w:val="1"/>
          <w:bCs w:val="1"/>
          <w:u w:val="single" w:color="auto"/>
          <w:color w:val="auto"/>
        </w:rPr>
        <w:t>Rule 462(b) Registration Statement</w:t>
      </w:r>
      <w:r>
        <w:rPr>
          <w:rFonts w:ascii="Times New Roman" w:cs="Times New Roman" w:eastAsia="Times New Roman" w:hAnsi="Times New Roman"/>
          <w:sz w:val="15"/>
          <w:szCs w:val="15"/>
          <w:color w:val="auto"/>
        </w:rPr>
        <w:t>” and, after such filing, the “Registration Statement” shall include any Rule 462(b) Registration Statement. The base prospectus, including all documents incorporated therein by reference, included in the Registration Statement, as supplemented by the Prospectus Supplement, in the form in which such base prospectus and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5"/>
          <w:szCs w:val="15"/>
          <w:b w:val="1"/>
          <w:bCs w:val="1"/>
          <w:u w:val="single" w:color="auto"/>
          <w:color w:val="auto"/>
        </w:rPr>
        <w:t>Rule 433</w:t>
      </w:r>
      <w:r>
        <w:rPr>
          <w:rFonts w:ascii="Times New Roman" w:cs="Times New Roman" w:eastAsia="Times New Roman" w:hAnsi="Times New Roman"/>
          <w:sz w:val="15"/>
          <w:szCs w:val="15"/>
          <w:color w:val="auto"/>
        </w:rPr>
        <w:t>”), relating to the Placement Shares that (i) is consented to by TD Cowen, hereinafter referred to as a “</w:t>
      </w:r>
      <w:r>
        <w:rPr>
          <w:rFonts w:ascii="Times New Roman" w:cs="Times New Roman" w:eastAsia="Times New Roman" w:hAnsi="Times New Roman"/>
          <w:sz w:val="15"/>
          <w:szCs w:val="15"/>
          <w:b w:val="1"/>
          <w:bCs w:val="1"/>
          <w:u w:val="single" w:color="auto"/>
          <w:color w:val="auto"/>
        </w:rPr>
        <w:t>Permitted Free Writing Prospectus</w:t>
      </w:r>
      <w:r>
        <w:rPr>
          <w:rFonts w:ascii="Times New Roman" w:cs="Times New Roman" w:eastAsia="Times New Roman" w:hAnsi="Times New Roman"/>
          <w:sz w:val="15"/>
          <w:szCs w:val="15"/>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5"/>
          <w:szCs w:val="15"/>
          <w:b w:val="1"/>
          <w:bCs w:val="1"/>
          <w:u w:val="single" w:color="auto"/>
          <w:color w:val="auto"/>
        </w:rPr>
        <w:t>Prospectus</w:t>
      </w:r>
      <w:r>
        <w:rPr>
          <w:rFonts w:ascii="Times New Roman" w:cs="Times New Roman" w:eastAsia="Times New Roman" w:hAnsi="Times New Roman"/>
          <w:sz w:val="15"/>
          <w:szCs w:val="15"/>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15"/>
          <w:szCs w:val="15"/>
          <w:b w:val="1"/>
          <w:bCs w:val="1"/>
          <w:u w:val="single" w:color="auto"/>
          <w:color w:val="auto"/>
        </w:rPr>
        <w:t>EDGAR</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498"/>
        <w:spacing w:after="0" w:line="254" w:lineRule="auto"/>
        <w:tabs>
          <w:tab w:leader="none" w:pos="64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Placements</w:t>
      </w:r>
      <w:r>
        <w:rPr>
          <w:rFonts w:ascii="Times New Roman" w:cs="Times New Roman" w:eastAsia="Times New Roman" w:hAnsi="Times New Roman"/>
          <w:sz w:val="15"/>
          <w:szCs w:val="15"/>
          <w:color w:val="auto"/>
        </w:rPr>
        <w:t>. Each time that the Company wishes to issue and sell the Placement Shares hereunder (each, a “</w:t>
      </w:r>
      <w:r>
        <w:rPr>
          <w:rFonts w:ascii="Times New Roman" w:cs="Times New Roman" w:eastAsia="Times New Roman" w:hAnsi="Times New Roman"/>
          <w:sz w:val="15"/>
          <w:szCs w:val="15"/>
          <w:b w:val="1"/>
          <w:bCs w:val="1"/>
          <w:u w:val="single" w:color="auto"/>
          <w:color w:val="auto"/>
        </w:rPr>
        <w:t>Placement</w:t>
      </w:r>
      <w:r>
        <w:rPr>
          <w:rFonts w:ascii="Times New Roman" w:cs="Times New Roman" w:eastAsia="Times New Roman" w:hAnsi="Times New Roman"/>
          <w:sz w:val="15"/>
          <w:szCs w:val="15"/>
          <w:color w:val="auto"/>
        </w:rPr>
        <w:t>”), it will notify TD Cowen by email notice (or other method mutually agreed to in writing by the parties) (a “</w:t>
      </w:r>
      <w:r>
        <w:rPr>
          <w:rFonts w:ascii="Times New Roman" w:cs="Times New Roman" w:eastAsia="Times New Roman" w:hAnsi="Times New Roman"/>
          <w:sz w:val="15"/>
          <w:szCs w:val="15"/>
          <w:b w:val="1"/>
          <w:bCs w:val="1"/>
          <w:u w:val="single" w:color="auto"/>
          <w:color w:val="auto"/>
        </w:rPr>
        <w:t>Placement Notice</w:t>
      </w:r>
      <w:r>
        <w:rPr>
          <w:rFonts w:ascii="Times New Roman" w:cs="Times New Roman" w:eastAsia="Times New Roman" w:hAnsi="Times New Roman"/>
          <w:sz w:val="15"/>
          <w:szCs w:val="15"/>
          <w:color w:val="auto"/>
        </w:rPr>
        <w:t xml:space="preserve">”) containing the parameters in accordance with which it desires the Placement Shares to be sold, which shall at a minimum include the number or dollar amount of Placement Shares to be issued, the time period during which sales are requested to be made, any limitation on the number or dollar amount of Placement Shares that may be sold in any one Trading Day (as defined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5"/>
          <w:szCs w:val="15"/>
          <w:b w:val="1"/>
          <w:bCs w:val="1"/>
          <w:u w:val="single" w:color="auto"/>
          <w:color w:val="auto"/>
        </w:rPr>
        <w:t>Schedule 1</w:t>
      </w:r>
      <w:r>
        <w:rPr>
          <w:rFonts w:ascii="Times New Roman" w:cs="Times New Roman" w:eastAsia="Times New Roman" w:hAnsi="Times New Roman"/>
          <w:sz w:val="15"/>
          <w:szCs w:val="15"/>
          <w:color w:val="auto"/>
        </w:rPr>
        <w:t xml:space="preserve">. The Placement Notice shall originate from any of the individuals from the Company set forth on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xml:space="preserve"> (with a copy to each of the other individuals from the Company listed on such schedule), and shall be addressed to each of the individuals from TD Cowen set forth on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xml:space="preserve">, as such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xml:space="preserve"> may be amended from time to time. The Placement Notice shall be effective upon receipt by TD Cowen unless and until (i) in accordance with the notice requirements set forth in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TD Cowen declines to accept the terms contained therein for any reason, in its sole discretion, which declination must occur within two (2) Business Days of the receipt of the Placement Notice, (ii) the entire amount of the Placement Shares have been sold, (iii) in accordance with the notice requirements set forth in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the Company suspends or terminates the Placement Notice, which it may do for any reason, in its sole discretion, (iv) the Company issues a subsequent Placement Notice with parameters superseding those on the earlier dated Placement Notice, which it may do for any reason, in its sole discretion, or (v) this Agreement has been terminated under the provisions of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15"/>
          <w:szCs w:val="15"/>
          <w:b w:val="1"/>
          <w:bCs w:val="1"/>
          <w:u w:val="single" w:color="auto"/>
          <w:color w:val="auto"/>
        </w:rPr>
        <w:t>Schedule 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82" w:lineRule="exact"/>
        <w:rPr>
          <w:rFonts w:ascii="Times New Roman" w:cs="Times New Roman" w:eastAsia="Times New Roman" w:hAnsi="Times New Roman"/>
          <w:sz w:val="15"/>
          <w:szCs w:val="15"/>
          <w:color w:val="auto"/>
        </w:rPr>
      </w:pPr>
    </w:p>
    <w:p>
      <w:pPr>
        <w:ind w:left="5600" w:hanging="71"/>
        <w:spacing w:after="0"/>
        <w:tabs>
          <w:tab w:leader="none" w:pos="560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11280"/>
          </w:cols>
          <w:pgMar w:left="300" w:top="1114" w:right="319" w:bottom="1440" w:gutter="0" w:footer="0" w:header="0"/>
        </w:sectPr>
      </w:pPr>
    </w:p>
    <w:bookmarkStart w:id="56" w:name="page57"/>
    <w:bookmarkEnd w:id="56"/>
    <w:p>
      <w:pPr>
        <w:spacing w:after="0" w:line="292" w:lineRule="auto"/>
        <w:rPr>
          <w:sz w:val="20"/>
          <w:szCs w:val="20"/>
          <w:color w:val="auto"/>
        </w:rPr>
      </w:pPr>
      <w:r>
        <w:rPr>
          <w:rFonts w:ascii="Times New Roman" w:cs="Times New Roman" w:eastAsia="Times New Roman" w:hAnsi="Times New Roman"/>
          <w:sz w:val="15"/>
          <w:szCs w:val="15"/>
          <w:color w:val="auto"/>
        </w:rPr>
        <w:t>terms set forth above, and then only upon the terms specified therein and herein. In the event of a conflict between the terms of this Agreement and the terms of a Placement Notice, the terms of the Placement Notice will control.</w:t>
      </w:r>
    </w:p>
    <w:p>
      <w:pPr>
        <w:spacing w:after="0" w:line="107" w:lineRule="exact"/>
        <w:rPr>
          <w:sz w:val="20"/>
          <w:szCs w:val="20"/>
          <w:color w:val="auto"/>
        </w:rPr>
      </w:pPr>
    </w:p>
    <w:p>
      <w:pPr>
        <w:jc w:val="both"/>
        <w:ind w:firstLine="498"/>
        <w:spacing w:after="0" w:line="254" w:lineRule="auto"/>
        <w:tabs>
          <w:tab w:leader="none" w:pos="647"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 of Placement Shares by TD Cowen</w:t>
      </w:r>
      <w:r>
        <w:rPr>
          <w:rFonts w:ascii="Times New Roman" w:cs="Times New Roman" w:eastAsia="Times New Roman" w:hAnsi="Times New Roman"/>
          <w:sz w:val="15"/>
          <w:szCs w:val="15"/>
          <w:color w:val="auto"/>
        </w:rPr>
        <w:t>.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15"/>
          <w:szCs w:val="15"/>
          <w:b w:val="1"/>
          <w:bCs w:val="1"/>
          <w:u w:val="single" w:color="auto"/>
          <w:color w:val="auto"/>
        </w:rPr>
        <w:t>Nasdaq</w:t>
      </w:r>
      <w:r>
        <w:rPr>
          <w:rFonts w:ascii="Times New Roman" w:cs="Times New Roman" w:eastAsia="Times New Roman" w:hAnsi="Times New Roman"/>
          <w:sz w:val="15"/>
          <w:szCs w:val="15"/>
          <w:color w:val="auto"/>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15"/>
          <w:szCs w:val="15"/>
          <w:u w:val="single" w:color="auto"/>
          <w:color w:val="auto"/>
        </w:rPr>
        <w:t>Schedule 2</w:t>
      </w:r>
      <w:r>
        <w:rPr>
          <w:rFonts w:ascii="Times New Roman" w:cs="Times New Roman" w:eastAsia="Times New Roman" w:hAnsi="Times New Roman"/>
          <w:sz w:val="15"/>
          <w:szCs w:val="15"/>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15"/>
          <w:szCs w:val="15"/>
          <w:b w:val="1"/>
          <w:bCs w:val="1"/>
          <w:u w:val="single" w:color="auto"/>
          <w:color w:val="auto"/>
        </w:rPr>
        <w:t>Block Sale</w:t>
      </w:r>
      <w:r>
        <w:rPr>
          <w:rFonts w:ascii="Times New Roman" w:cs="Times New Roman" w:eastAsia="Times New Roman" w:hAnsi="Times New Roman"/>
          <w:sz w:val="15"/>
          <w:szCs w:val="15"/>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For the purposes hereof, “</w:t>
      </w:r>
      <w:r>
        <w:rPr>
          <w:rFonts w:ascii="Times New Roman" w:cs="Times New Roman" w:eastAsia="Times New Roman" w:hAnsi="Times New Roman"/>
          <w:sz w:val="15"/>
          <w:szCs w:val="15"/>
          <w:b w:val="1"/>
          <w:bCs w:val="1"/>
          <w:u w:val="single" w:color="auto"/>
          <w:color w:val="auto"/>
        </w:rPr>
        <w:t>Trading Day</w:t>
      </w:r>
      <w:r>
        <w:rPr>
          <w:rFonts w:ascii="Times New Roman" w:cs="Times New Roman" w:eastAsia="Times New Roman" w:hAnsi="Times New Roman"/>
          <w:sz w:val="15"/>
          <w:szCs w:val="15"/>
          <w:color w:val="auto"/>
        </w:rPr>
        <w:t>” means any day on which the Company’s Common Stock is purchased and sold on the principal market on which the Common Stock is listed or quoted.</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5"/>
          <w:szCs w:val="15"/>
          <w:b w:val="1"/>
          <w:bCs w:val="1"/>
          <w:u w:val="single" w:color="auto"/>
          <w:color w:val="auto"/>
        </w:rPr>
        <w:t>Earnings Announcement</w:t>
      </w:r>
      <w:r>
        <w:rPr>
          <w:rFonts w:ascii="Times New Roman" w:cs="Times New Roman" w:eastAsia="Times New Roman" w:hAnsi="Times New Roman"/>
          <w:sz w:val="15"/>
          <w:szCs w:val="15"/>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11280"/>
          </w:cols>
          <w:pgMar w:left="300" w:top="1114" w:right="319" w:bottom="1440" w:gutter="0" w:footer="0" w:header="0"/>
        </w:sectPr>
      </w:pPr>
    </w:p>
    <w:bookmarkStart w:id="57" w:name="page58"/>
    <w:bookmarkEnd w:id="57"/>
    <w:p>
      <w:pPr>
        <w:ind w:left="637" w:hanging="142"/>
        <w:spacing w:after="0"/>
        <w:tabs>
          <w:tab w:leader="none" w:pos="63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Suspension of Sales</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both"/>
        <w:ind w:left="-3" w:firstLine="498"/>
        <w:spacing w:after="0" w:line="257" w:lineRule="auto"/>
        <w:tabs>
          <w:tab w:leader="none" w:pos="71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if receipt of such correspondence is actually acknowledged by any of the individuals to whom the notice is sent, other than via auto-reply) or by telephone (confirmed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immediately by email correspondence to each of the individuals of the other party set forth on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xml:space="preserve">), suspend any sale of Placement Shares;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such suspension shall not affect or impair either party’s obligations with respect to any Placement Shares sold hereunder prior to the receipt of such notice. While a suspension pursuant to this Section 4(a) is in effect, any obligation under Sections 7(m), 7(n), and 7(o) with respect to the delivery of certificates, opinions, or comfort letters to TD Cowen shall be automatically waived;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upon delivery of a Placement Notice following a Representation Date, the Company shall be subject to the obligations set forth in Sections 7(m), 7(n), and 7(o), as applicable. Each of the parties agrees that no such notice under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shall be effective against the other unless it is made to one of the individuals named on </w:t>
      </w:r>
      <w:r>
        <w:rPr>
          <w:rFonts w:ascii="Times New Roman" w:cs="Times New Roman" w:eastAsia="Times New Roman" w:hAnsi="Times New Roman"/>
          <w:sz w:val="15"/>
          <w:szCs w:val="15"/>
          <w:b w:val="1"/>
          <w:bCs w:val="1"/>
          <w:u w:val="single" w:color="auto"/>
          <w:color w:val="auto"/>
        </w:rPr>
        <w:t>Schedule 2</w:t>
      </w:r>
      <w:r>
        <w:rPr>
          <w:rFonts w:ascii="Times New Roman" w:cs="Times New Roman" w:eastAsia="Times New Roman" w:hAnsi="Times New Roman"/>
          <w:sz w:val="15"/>
          <w:szCs w:val="15"/>
          <w:color w:val="auto"/>
        </w:rPr>
        <w:t xml:space="preserve"> hereto, as such schedule may be amended from time to time.</w:t>
      </w:r>
    </w:p>
    <w:p>
      <w:pPr>
        <w:spacing w:after="0" w:line="132" w:lineRule="exact"/>
        <w:rPr>
          <w:rFonts w:ascii="Times New Roman" w:cs="Times New Roman" w:eastAsia="Times New Roman" w:hAnsi="Times New Roman"/>
          <w:sz w:val="15"/>
          <w:szCs w:val="15"/>
          <w:color w:val="auto"/>
        </w:rPr>
      </w:pPr>
    </w:p>
    <w:p>
      <w:pPr>
        <w:ind w:left="-3" w:firstLine="498"/>
        <w:spacing w:after="0" w:line="292" w:lineRule="auto"/>
        <w:tabs>
          <w:tab w:leader="none" w:pos="71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spacing w:after="0" w:line="117" w:lineRule="exact"/>
        <w:rPr>
          <w:rFonts w:ascii="Times New Roman" w:cs="Times New Roman" w:eastAsia="Times New Roman" w:hAnsi="Times New Roman"/>
          <w:sz w:val="15"/>
          <w:szCs w:val="15"/>
          <w:color w:val="auto"/>
        </w:rPr>
      </w:pPr>
    </w:p>
    <w:p>
      <w:pPr>
        <w:ind w:left="-3" w:firstLine="498"/>
        <w:spacing w:after="0" w:line="278" w:lineRule="auto"/>
        <w:tabs>
          <w:tab w:leader="none" w:pos="705"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127" w:lineRule="exact"/>
        <w:rPr>
          <w:sz w:val="20"/>
          <w:szCs w:val="20"/>
          <w:color w:val="auto"/>
        </w:rPr>
      </w:pPr>
    </w:p>
    <w:p>
      <w:pPr>
        <w:ind w:left="637" w:hanging="142"/>
        <w:spacing w:after="0"/>
        <w:tabs>
          <w:tab w:leader="none" w:pos="637"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w:t>
      </w:r>
      <w:r>
        <w:rPr>
          <w:rFonts w:ascii="Times New Roman" w:cs="Times New Roman" w:eastAsia="Times New Roman" w:hAnsi="Times New Roman"/>
          <w:sz w:val="15"/>
          <w:szCs w:val="15"/>
          <w:color w:val="auto"/>
        </w:rPr>
        <w:t>.</w:t>
      </w:r>
    </w:p>
    <w:p>
      <w:pPr>
        <w:spacing w:after="0" w:line="168" w:lineRule="exact"/>
        <w:rPr>
          <w:sz w:val="20"/>
          <w:szCs w:val="20"/>
          <w:color w:val="auto"/>
        </w:rPr>
      </w:pPr>
    </w:p>
    <w:p>
      <w:pPr>
        <w:jc w:val="both"/>
        <w:ind w:left="-3" w:firstLine="498"/>
        <w:spacing w:after="0" w:line="258" w:lineRule="auto"/>
        <w:tabs>
          <w:tab w:leader="none" w:pos="699"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 of Placement Shares</w:t>
      </w:r>
      <w:r>
        <w:rPr>
          <w:rFonts w:ascii="Times New Roman" w:cs="Times New Roman" w:eastAsia="Times New Roman" w:hAnsi="Times New Roman"/>
          <w:sz w:val="15"/>
          <w:szCs w:val="15"/>
          <w:color w:val="auto"/>
        </w:rPr>
        <w:t>. Unless otherwise specified in the applicable Placement Notice, settlement for sales of Placement Shares will occur on the first (1st) Trading Day following the date on which such sales are made (each, a “</w:t>
      </w:r>
      <w:r>
        <w:rPr>
          <w:rFonts w:ascii="Times New Roman" w:cs="Times New Roman" w:eastAsia="Times New Roman" w:hAnsi="Times New Roman"/>
          <w:sz w:val="15"/>
          <w:szCs w:val="15"/>
          <w:b w:val="1"/>
          <w:bCs w:val="1"/>
          <w:u w:val="single" w:color="auto"/>
          <w:color w:val="auto"/>
        </w:rPr>
        <w:t>Settlement Date</w:t>
      </w:r>
      <w:r>
        <w:rPr>
          <w:rFonts w:ascii="Times New Roman" w:cs="Times New Roman" w:eastAsia="Times New Roman" w:hAnsi="Times New Roman"/>
          <w:sz w:val="15"/>
          <w:szCs w:val="15"/>
          <w:color w:val="auto"/>
        </w:rPr>
        <w:t>” and the first such settlement date, the “</w:t>
      </w:r>
      <w:r>
        <w:rPr>
          <w:rFonts w:ascii="Times New Roman" w:cs="Times New Roman" w:eastAsia="Times New Roman" w:hAnsi="Times New Roman"/>
          <w:sz w:val="15"/>
          <w:szCs w:val="15"/>
          <w:b w:val="1"/>
          <w:bCs w:val="1"/>
          <w:u w:val="single" w:color="auto"/>
          <w:color w:val="auto"/>
        </w:rPr>
        <w:t>First Delivery Date</w:t>
      </w:r>
      <w:r>
        <w:rPr>
          <w:rFonts w:ascii="Times New Roman" w:cs="Times New Roman" w:eastAsia="Times New Roman" w:hAnsi="Times New Roman"/>
          <w:sz w:val="15"/>
          <w:szCs w:val="15"/>
          <w:color w:val="auto"/>
        </w:rPr>
        <w:t>”). The amount of proceeds to be delivered to the Company on a Settlement Date against receipt of the Placement Shares sold (the “</w:t>
      </w:r>
      <w:r>
        <w:rPr>
          <w:rFonts w:ascii="Times New Roman" w:cs="Times New Roman" w:eastAsia="Times New Roman" w:hAnsi="Times New Roman"/>
          <w:sz w:val="15"/>
          <w:szCs w:val="15"/>
          <w:b w:val="1"/>
          <w:bCs w:val="1"/>
          <w:u w:val="single" w:color="auto"/>
          <w:color w:val="auto"/>
        </w:rPr>
        <w:t>Net Proceeds</w:t>
      </w:r>
      <w:r>
        <w:rPr>
          <w:rFonts w:ascii="Times New Roman" w:cs="Times New Roman" w:eastAsia="Times New Roman" w:hAnsi="Times New Roman"/>
          <w:sz w:val="15"/>
          <w:szCs w:val="15"/>
          <w:color w:val="auto"/>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hereof,</w:t>
      </w:r>
    </w:p>
    <w:p>
      <w:pPr>
        <w:spacing w:after="0" w:line="2" w:lineRule="exact"/>
        <w:rPr>
          <w:rFonts w:ascii="Times New Roman" w:cs="Times New Roman" w:eastAsia="Times New Roman" w:hAnsi="Times New Roman"/>
          <w:sz w:val="15"/>
          <w:szCs w:val="15"/>
          <w:color w:val="auto"/>
        </w:rPr>
      </w:pPr>
    </w:p>
    <w:p>
      <w:pPr>
        <w:jc w:val="both"/>
        <w:ind w:left="-3" w:firstLine="3"/>
        <w:spacing w:after="0" w:line="260" w:lineRule="auto"/>
        <w:tabs>
          <w:tab w:leader="none" w:pos="23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other amounts due and payable by the Company to TD Cowen hereunder pursuant to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 xml:space="preserve"> (Expenses) hereof, provided that TD Cowen shall provide to the Company reasonable documentation of such amounts and (iii) any transaction fees imposed on TD Cowen by any governmental or self-regulatory organization in respect of such sales, provided that TD Cowen shall provide to the Company reasonable documentation of such amounts.</w:t>
      </w:r>
    </w:p>
    <w:p>
      <w:pPr>
        <w:spacing w:after="0" w:line="130" w:lineRule="exact"/>
        <w:rPr>
          <w:rFonts w:ascii="Times New Roman" w:cs="Times New Roman" w:eastAsia="Times New Roman" w:hAnsi="Times New Roman"/>
          <w:sz w:val="15"/>
          <w:szCs w:val="15"/>
          <w:color w:val="auto"/>
        </w:rPr>
      </w:pPr>
    </w:p>
    <w:p>
      <w:pPr>
        <w:jc w:val="both"/>
        <w:ind w:left="-3" w:firstLine="498"/>
        <w:spacing w:after="0" w:line="263" w:lineRule="auto"/>
        <w:tabs>
          <w:tab w:leader="none" w:pos="717"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Placement Shares</w:t>
      </w:r>
      <w:r>
        <w:rPr>
          <w:rFonts w:ascii="Times New Roman" w:cs="Times New Roman" w:eastAsia="Times New Roman" w:hAnsi="Times New Roman"/>
          <w:sz w:val="15"/>
          <w:szCs w:val="15"/>
          <w:color w:val="auto"/>
        </w:rPr>
        <w:t>.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shall be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8" w:lineRule="exact"/>
        <w:rPr>
          <w:rFonts w:ascii="Times New Roman" w:cs="Times New Roman" w:eastAsia="Times New Roman" w:hAnsi="Times New Roman"/>
          <w:sz w:val="15"/>
          <w:szCs w:val="15"/>
          <w:color w:val="auto"/>
        </w:rPr>
      </w:pPr>
    </w:p>
    <w:p>
      <w:pPr>
        <w:ind w:left="5597" w:hanging="71"/>
        <w:spacing w:after="0"/>
        <w:tabs>
          <w:tab w:leader="none" w:pos="5597" w:val="left"/>
        </w:tabs>
        <w:numPr>
          <w:ilvl w:val="2"/>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11277"/>
          </w:cols>
          <w:pgMar w:left="303" w:top="1114" w:right="319" w:bottom="1440" w:gutter="0" w:footer="0" w:header="0"/>
        </w:sectPr>
      </w:pPr>
    </w:p>
    <w:bookmarkStart w:id="58" w:name="page59"/>
    <w:bookmarkEnd w:id="58"/>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responsible for providing instructions for delivery with regard to the transfer of the Placement Shares. The Company agrees that if the Company, or its transfer agent (if applicable), defaults in its obligation to deliver duly authorized Placement Shares on a Settlement Date (other than as a result of a failure by TD Cowen to provide true and correct instructions for delivery in a timely manner), the Company agrees that in addition to and in no way limiting the rights and obligations set forth in </w:t>
      </w:r>
      <w:r>
        <w:rPr>
          <w:rFonts w:ascii="Times New Roman" w:cs="Times New Roman" w:eastAsia="Times New Roman" w:hAnsi="Times New Roman"/>
          <w:sz w:val="15"/>
          <w:szCs w:val="15"/>
          <w:u w:val="single" w:color="auto"/>
          <w:color w:val="auto"/>
        </w:rPr>
        <w:t>Section 9(a)</w:t>
      </w:r>
      <w:r>
        <w:rPr>
          <w:rFonts w:ascii="Times New Roman" w:cs="Times New Roman" w:eastAsia="Times New Roman" w:hAnsi="Times New Roman"/>
          <w:sz w:val="15"/>
          <w:szCs w:val="15"/>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(ii) pay to TD Cowen (without duplication) any commission, discount, or other compensation to which it would otherwise have been entitled absent such default.</w:t>
      </w:r>
    </w:p>
    <w:p>
      <w:pPr>
        <w:spacing w:after="0" w:line="142" w:lineRule="exact"/>
        <w:rPr>
          <w:sz w:val="20"/>
          <w:szCs w:val="20"/>
          <w:color w:val="auto"/>
        </w:rPr>
      </w:pPr>
    </w:p>
    <w:p>
      <w:pPr>
        <w:jc w:val="both"/>
        <w:ind w:firstLine="498"/>
        <w:spacing w:after="0" w:line="256" w:lineRule="auto"/>
        <w:tabs>
          <w:tab w:leader="none" w:pos="657"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Except as disclosed in the Registration Statement or the Prospectus (including any documents incorporated by reference therein and any supplements thereto),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w:t>
      </w:r>
    </w:p>
    <w:p>
      <w:pPr>
        <w:ind w:left="180" w:hanging="177"/>
        <w:spacing w:after="0"/>
        <w:tabs>
          <w:tab w:leader="none" w:pos="1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(iv), a “</w:t>
      </w:r>
      <w:r>
        <w:rPr>
          <w:rFonts w:ascii="Times New Roman" w:cs="Times New Roman" w:eastAsia="Times New Roman" w:hAnsi="Times New Roman"/>
          <w:sz w:val="15"/>
          <w:szCs w:val="15"/>
          <w:b w:val="1"/>
          <w:bCs w:val="1"/>
          <w:u w:val="single" w:color="auto"/>
          <w:color w:val="auto"/>
        </w:rPr>
        <w:t>Representation Date</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firstLine="498"/>
        <w:spacing w:after="0" w:line="259" w:lineRule="auto"/>
        <w:tabs>
          <w:tab w:leader="none" w:pos="711"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Registration Requirements</w:t>
      </w:r>
      <w:r>
        <w:rPr>
          <w:rFonts w:ascii="Times New Roman" w:cs="Times New Roman" w:eastAsia="Times New Roman" w:hAnsi="Times New Roman"/>
          <w:sz w:val="15"/>
          <w:szCs w:val="15"/>
          <w:color w:val="auto"/>
        </w:rPr>
        <w:t>. Prior to the issuance of any Placement Notice by the Company, the Registration Statement and any Rule 462(b) Registration Statement will have been filed and declared effective by the Commission under the Securities Act. The Company has complied, and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142" w:lineRule="exact"/>
        <w:rPr>
          <w:rFonts w:ascii="Times New Roman" w:cs="Times New Roman" w:eastAsia="Times New Roman" w:hAnsi="Times New Roman"/>
          <w:sz w:val="15"/>
          <w:szCs w:val="15"/>
          <w:color w:val="auto"/>
        </w:rPr>
      </w:pPr>
    </w:p>
    <w:p>
      <w:pPr>
        <w:jc w:val="both"/>
        <w:ind w:firstLine="498"/>
        <w:spacing w:after="0" w:line="255" w:lineRule="auto"/>
        <w:tabs>
          <w:tab w:leader="none" w:pos="71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Misstatement or Omission</w:t>
      </w:r>
      <w:r>
        <w:rPr>
          <w:rFonts w:ascii="Times New Roman" w:cs="Times New Roman" w:eastAsia="Times New Roman" w:hAnsi="Times New Roman"/>
          <w:sz w:val="15"/>
          <w:szCs w:val="15"/>
          <w:color w:val="auto"/>
        </w:rPr>
        <w:t>. The Prospectus when filed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and as of each Representation Date, will comply in all material respects with the Securities Act. Each of the Registration Statement, any Rule 462(b) Registration Statement and any post-effective amendments or supplements thereto, at the time it becomes effective or its date, as applicable, and as of each Representation Date, will not contain any untrue statement of a material fact or omit to state a material fact required to be stated therein or necessary to make the statements therein not misleading. The Prospectus, as amended or supplemented, as of its date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5"/>
          <w:szCs w:val="15"/>
          <w:b w:val="1"/>
          <w:bCs w:val="1"/>
          <w:u w:val="single" w:color="auto"/>
          <w:color w:val="auto"/>
        </w:rPr>
        <w:t>Time of Sale</w:t>
      </w:r>
      <w:r>
        <w:rPr>
          <w:rFonts w:ascii="Times New Roman" w:cs="Times New Roman" w:eastAsia="Times New Roman" w:hAnsi="Times New Roman"/>
          <w:sz w:val="15"/>
          <w:szCs w:val="15"/>
          <w:color w:val="auto"/>
        </w:rPr>
        <w:t>” means with respect to each offering of Placement Shares pursuant to this Agreement, the time of TD Cowen’s initial entry into contracts with purchasers for the sale of such Placement Shares.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3" w:lineRule="exact"/>
        <w:rPr>
          <w:rFonts w:ascii="Times New Roman" w:cs="Times New Roman" w:eastAsia="Times New Roman" w:hAnsi="Times New Roman"/>
          <w:sz w:val="15"/>
          <w:szCs w:val="15"/>
          <w:color w:val="auto"/>
        </w:rPr>
      </w:pPr>
    </w:p>
    <w:p>
      <w:pPr>
        <w:ind w:left="5600" w:hanging="71"/>
        <w:spacing w:after="0"/>
        <w:tabs>
          <w:tab w:leader="none" w:pos="56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ectPr>
          <w:pgSz w:w="11900" w:h="16838" w:orient="portrait"/>
          <w:cols w:equalWidth="0" w:num="1">
            <w:col w:w="11280"/>
          </w:cols>
          <w:pgMar w:left="300" w:top="1114" w:right="319" w:bottom="1440" w:gutter="0" w:footer="0" w:header="0"/>
        </w:sectPr>
      </w:pPr>
    </w:p>
    <w:bookmarkStart w:id="59" w:name="page60"/>
    <w:bookmarkEnd w:id="59"/>
    <w:p>
      <w:pPr>
        <w:jc w:val="both"/>
        <w:ind w:left="-498" w:firstLine="498"/>
        <w:spacing w:after="0" w:line="268" w:lineRule="auto"/>
        <w:tabs>
          <w:tab w:leader="none" w:pos="213"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Offering Materials Furnished to TD Cowen</w:t>
      </w:r>
      <w:r>
        <w:rPr>
          <w:rFonts w:ascii="Times New Roman" w:cs="Times New Roman" w:eastAsia="Times New Roman" w:hAnsi="Times New Roman"/>
          <w:sz w:val="15"/>
          <w:szCs w:val="15"/>
          <w:color w:val="auto"/>
        </w:rPr>
        <w:t>. Except as otherwise available on EDGAR,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w:t>
      </w:r>
    </w:p>
    <w:p>
      <w:pPr>
        <w:spacing w:after="0" w:line="134" w:lineRule="exact"/>
        <w:rPr>
          <w:rFonts w:ascii="Times New Roman" w:cs="Times New Roman" w:eastAsia="Times New Roman" w:hAnsi="Times New Roman"/>
          <w:sz w:val="15"/>
          <w:szCs w:val="15"/>
          <w:color w:val="auto"/>
        </w:rPr>
      </w:pPr>
    </w:p>
    <w:p>
      <w:pPr>
        <w:ind w:left="-498" w:firstLine="498"/>
        <w:spacing w:after="0" w:line="278" w:lineRule="auto"/>
        <w:tabs>
          <w:tab w:leader="none" w:pos="22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 an Ineligible Issuer</w:t>
      </w:r>
      <w:r>
        <w:rPr>
          <w:rFonts w:ascii="Times New Roman" w:cs="Times New Roman" w:eastAsia="Times New Roman" w:hAnsi="Times New Roman"/>
          <w:sz w:val="15"/>
          <w:szCs w:val="15"/>
          <w:color w:val="auto"/>
        </w:rPr>
        <w:t>. The Company currently is not an “ineligible issuer,” as defined in Rule 405 under the Securities Act. The Company agrees to notify TD Cowen promptly upon the Company becoming an “ineligible issuer.”.</w:t>
      </w:r>
    </w:p>
    <w:p>
      <w:pPr>
        <w:spacing w:after="0" w:line="126"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213"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Distribution of Offering Material By the Company</w:t>
      </w:r>
      <w:r>
        <w:rPr>
          <w:rFonts w:ascii="Times New Roman" w:cs="Times New Roman" w:eastAsia="Times New Roman" w:hAnsi="Times New Roman"/>
          <w:sz w:val="15"/>
          <w:szCs w:val="15"/>
          <w:color w:val="auto"/>
        </w:rPr>
        <w:t>. The Company has not distributed and will not distribute, prior to the completion of TD Cowen’s distribution of the Placement Shares, any offering material in connection with the offering and sale of the Placement Shares other than the Prospectus, the Registration Statement or a Permitted Free Writing Prospectus.</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65" w:lineRule="auto"/>
        <w:tabs>
          <w:tab w:leader="none" w:pos="18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Sales Agreement</w:t>
      </w:r>
      <w:r>
        <w:rPr>
          <w:rFonts w:ascii="Times New Roman" w:cs="Times New Roman" w:eastAsia="Times New Roman" w:hAnsi="Times New Roman"/>
          <w:sz w:val="15"/>
          <w:szCs w:val="15"/>
          <w:color w:val="auto"/>
        </w:rPr>
        <w:t>. This Agreement has been duly authorized, executed and delivered by, and, assuming the due authorization, execution and delivery by TD Cowen,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25" w:lineRule="exact"/>
        <w:rPr>
          <w:rFonts w:ascii="Times New Roman" w:cs="Times New Roman" w:eastAsia="Times New Roman" w:hAnsi="Times New Roman"/>
          <w:sz w:val="15"/>
          <w:szCs w:val="15"/>
          <w:color w:val="auto"/>
        </w:rPr>
      </w:pPr>
    </w:p>
    <w:p>
      <w:pPr>
        <w:jc w:val="both"/>
        <w:ind w:left="-498" w:firstLine="498"/>
        <w:spacing w:after="0" w:line="263" w:lineRule="auto"/>
        <w:tabs>
          <w:tab w:leader="none" w:pos="21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of the Common Stock</w:t>
      </w:r>
      <w:r>
        <w:rPr>
          <w:rFonts w:ascii="Times New Roman" w:cs="Times New Roman" w:eastAsia="Times New Roman" w:hAnsi="Times New Roman"/>
          <w:sz w:val="15"/>
          <w:szCs w:val="15"/>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Subsidiary is a party or otherwise, except as have been validly waived or complied with.</w:t>
      </w:r>
    </w:p>
    <w:p>
      <w:pPr>
        <w:spacing w:after="0" w:line="128" w:lineRule="exact"/>
        <w:rPr>
          <w:rFonts w:ascii="Times New Roman" w:cs="Times New Roman" w:eastAsia="Times New Roman" w:hAnsi="Times New Roman"/>
          <w:sz w:val="15"/>
          <w:szCs w:val="15"/>
          <w:color w:val="auto"/>
        </w:rPr>
      </w:pPr>
    </w:p>
    <w:p>
      <w:pPr>
        <w:ind w:left="-498" w:firstLine="498"/>
        <w:spacing w:after="0" w:line="292" w:lineRule="auto"/>
        <w:tabs>
          <w:tab w:leader="none" w:pos="22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Applicable Registration or Other Similar Rights</w:t>
      </w:r>
      <w:r>
        <w:rPr>
          <w:rFonts w:ascii="Times New Roman" w:cs="Times New Roman" w:eastAsia="Times New Roman" w:hAnsi="Times New Roman"/>
          <w:sz w:val="15"/>
          <w:szCs w:val="15"/>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complied with.</w:t>
      </w:r>
    </w:p>
    <w:p>
      <w:pPr>
        <w:spacing w:after="0" w:line="106" w:lineRule="exact"/>
        <w:rPr>
          <w:rFonts w:ascii="Times New Roman" w:cs="Times New Roman" w:eastAsia="Times New Roman" w:hAnsi="Times New Roman"/>
          <w:sz w:val="15"/>
          <w:szCs w:val="15"/>
          <w:color w:val="auto"/>
        </w:rPr>
      </w:pPr>
    </w:p>
    <w:p>
      <w:pPr>
        <w:jc w:val="both"/>
        <w:ind w:left="-498" w:firstLine="498"/>
        <w:spacing w:after="0" w:line="259" w:lineRule="auto"/>
        <w:tabs>
          <w:tab w:leader="none" w:pos="18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Adverse Change</w:t>
      </w:r>
      <w:r>
        <w:rPr>
          <w:rFonts w:ascii="Times New Roman" w:cs="Times New Roman" w:eastAsia="Times New Roman" w:hAnsi="Times New Roman"/>
          <w:sz w:val="15"/>
          <w:szCs w:val="15"/>
          <w:color w:val="auto"/>
        </w:rPr>
        <w:t>.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(as defined below), considered as one entity (any such change is called a “</w:t>
      </w:r>
      <w:r>
        <w:rPr>
          <w:rFonts w:ascii="Times New Roman" w:cs="Times New Roman" w:eastAsia="Times New Roman" w:hAnsi="Times New Roman"/>
          <w:sz w:val="15"/>
          <w:szCs w:val="15"/>
          <w:b w:val="1"/>
          <w:bCs w:val="1"/>
          <w:u w:val="single" w:color="auto"/>
          <w:color w:val="auto"/>
        </w:rPr>
        <w:t>Material Adverse Change</w:t>
      </w:r>
      <w:r>
        <w:rPr>
          <w:rFonts w:ascii="Times New Roman" w:cs="Times New Roman" w:eastAsia="Times New Roman" w:hAnsi="Times New Roman"/>
          <w:sz w:val="15"/>
          <w:szCs w:val="15"/>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1" w:lineRule="exact"/>
        <w:rPr>
          <w:rFonts w:ascii="Times New Roman" w:cs="Times New Roman" w:eastAsia="Times New Roman" w:hAnsi="Times New Roman"/>
          <w:sz w:val="15"/>
          <w:szCs w:val="15"/>
          <w:color w:val="auto"/>
        </w:rPr>
      </w:pPr>
    </w:p>
    <w:p>
      <w:pPr>
        <w:ind w:left="5102" w:hanging="71"/>
        <w:spacing w:after="0"/>
        <w:tabs>
          <w:tab w:leader="none" w:pos="510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10782"/>
          </w:cols>
          <w:pgMar w:left="798" w:top="1114" w:right="319" w:bottom="1440" w:gutter="0" w:footer="0" w:header="0"/>
        </w:sectPr>
      </w:pPr>
    </w:p>
    <w:bookmarkStart w:id="60" w:name="page61"/>
    <w:bookmarkEnd w:id="60"/>
    <w:p>
      <w:pPr>
        <w:jc w:val="both"/>
        <w:ind w:left="-498" w:firstLine="498"/>
        <w:spacing w:after="0" w:line="259" w:lineRule="auto"/>
        <w:tabs>
          <w:tab w:leader="none" w:pos="17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Accountants</w:t>
      </w:r>
      <w:r>
        <w:rPr>
          <w:rFonts w:ascii="Times New Roman" w:cs="Times New Roman" w:eastAsia="Times New Roman" w:hAnsi="Times New Roman"/>
          <w:sz w:val="15"/>
          <w:szCs w:val="15"/>
          <w:color w:val="auto"/>
        </w:rPr>
        <w:t>. Each of PricewaterhouseCoopers LLP, which has expressed its opinion with respect to the consolidated financial statements (which term as used in this Agreement includes the related notes thereto) and supporting schedules of the Company and its Subsidiaries as of December 31, 2024 and for each of the two years in the period ended December 31, 2024, and KPMG LLP, which has expressed its opinion with respect to the consolidated financial statements of the Company and its Subsidiaries as of December 31, 2025 and for the year ended December 31, 2025, such consolidated financial statements and supporting schedules, in each case, having been filed with the Commission as a part of or incorporated by reference in the Registration Statement and included in the Prospectus, is an independent registered public accounting firm as required by the Securities Act and the Exchange Act.</w:t>
      </w:r>
    </w:p>
    <w:p>
      <w:pPr>
        <w:spacing w:after="0" w:line="142" w:lineRule="exact"/>
        <w:rPr>
          <w:rFonts w:ascii="Times New Roman" w:cs="Times New Roman" w:eastAsia="Times New Roman" w:hAnsi="Times New Roman"/>
          <w:sz w:val="15"/>
          <w:szCs w:val="15"/>
          <w:color w:val="auto"/>
        </w:rPr>
      </w:pPr>
    </w:p>
    <w:p>
      <w:pPr>
        <w:jc w:val="both"/>
        <w:ind w:left="-498" w:firstLine="498"/>
        <w:spacing w:after="0" w:line="256" w:lineRule="auto"/>
        <w:tabs>
          <w:tab w:leader="none" w:pos="23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Preparation of the Financial Statements</w:t>
      </w:r>
      <w:r>
        <w:rPr>
          <w:rFonts w:ascii="Times New Roman" w:cs="Times New Roman" w:eastAsia="Times New Roman" w:hAnsi="Times New Roman"/>
          <w:sz w:val="15"/>
          <w:szCs w:val="15"/>
          <w:color w:val="auto"/>
        </w:rPr>
        <w:t>. The financial statements, as restated,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changes in stockholders’ equity and cash flows for the periods specified. The supporting schedules (if any) included in or incorporated in the Registration Statement present fairly in all material respects the information required to be stated therein. Such financial statements, as restated, and supporting schedules (if any) have been prepared in conformity with generally accepted accounting principles as applied in the United States applied on a consistent basis throughout the periods involved, except as may be expressly stated in the related notes thereto and in the case of unaudited interim financial statements, which are subject to normal year-end adjustments and do not contain certain footnotes as permitted by the applicable rules of the Commission. No other financial statements or supporting schedules are required to be included in or incorporated in the Registration Statement.</w:t>
      </w:r>
    </w:p>
    <w:p>
      <w:pPr>
        <w:spacing w:after="0" w:line="146" w:lineRule="exact"/>
        <w:rPr>
          <w:rFonts w:ascii="Times New Roman" w:cs="Times New Roman" w:eastAsia="Times New Roman" w:hAnsi="Times New Roman"/>
          <w:sz w:val="15"/>
          <w:szCs w:val="15"/>
          <w:color w:val="auto"/>
        </w:rPr>
      </w:pPr>
    </w:p>
    <w:p>
      <w:pPr>
        <w:ind w:left="-498" w:firstLine="498"/>
        <w:spacing w:after="0" w:line="278" w:lineRule="auto"/>
        <w:tabs>
          <w:tab w:leader="none" w:pos="18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XBRL</w:t>
      </w:r>
      <w:r>
        <w:rPr>
          <w:rFonts w:ascii="Times New Roman" w:cs="Times New Roman" w:eastAsia="Times New Roman" w:hAnsi="Times New Roman"/>
          <w:sz w:val="15"/>
          <w:szCs w:val="15"/>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w:t>
      </w:r>
    </w:p>
    <w:p>
      <w:pPr>
        <w:spacing w:after="0" w:line="126" w:lineRule="exact"/>
        <w:rPr>
          <w:rFonts w:ascii="Times New Roman" w:cs="Times New Roman" w:eastAsia="Times New Roman" w:hAnsi="Times New Roman"/>
          <w:sz w:val="15"/>
          <w:szCs w:val="15"/>
          <w:color w:val="auto"/>
        </w:rPr>
      </w:pPr>
    </w:p>
    <w:p>
      <w:pPr>
        <w:jc w:val="both"/>
        <w:ind w:left="-498" w:firstLine="498"/>
        <w:spacing w:after="0" w:line="256" w:lineRule="auto"/>
        <w:tabs>
          <w:tab w:leader="none" w:pos="25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Incorporation and Good Standing of the Company and its Subsidiaries</w:t>
      </w:r>
      <w:r>
        <w:rPr>
          <w:rFonts w:ascii="Times New Roman" w:cs="Times New Roman" w:eastAsia="Times New Roman" w:hAnsi="Times New Roman"/>
          <w:sz w:val="15"/>
          <w:szCs w:val="15"/>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Each material subsidiary of the Company (each a “</w:t>
      </w:r>
      <w:r>
        <w:rPr>
          <w:rFonts w:ascii="Times New Roman" w:cs="Times New Roman" w:eastAsia="Times New Roman" w:hAnsi="Times New Roman"/>
          <w:sz w:val="15"/>
          <w:szCs w:val="15"/>
          <w:b w:val="1"/>
          <w:bCs w:val="1"/>
          <w:u w:val="single" w:color="auto"/>
          <w:color w:val="auto"/>
        </w:rPr>
        <w:t>Subsidiary</w:t>
      </w:r>
      <w:r>
        <w:rPr>
          <w:rFonts w:ascii="Times New Roman" w:cs="Times New Roman" w:eastAsia="Times New Roman" w:hAnsi="Times New Roman"/>
          <w:sz w:val="15"/>
          <w:szCs w:val="15"/>
          <w:color w:val="auto"/>
        </w:rPr>
        <w:t>”)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All of the issued and outstanding equity interests of the Subsidiaries have been duly authorized and validly issued, are fully paid and nonassessable and are owned by the Company, directly or through the Subsidiaries, free and clear of any security interest, mortgage, pledge, lien, encumbrance or adverse claim. The Company does not own or control, directly or indirectly, 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3" w:lineRule="exact"/>
        <w:rPr>
          <w:rFonts w:ascii="Times New Roman" w:cs="Times New Roman" w:eastAsia="Times New Roman" w:hAnsi="Times New Roman"/>
          <w:sz w:val="15"/>
          <w:szCs w:val="15"/>
          <w:color w:val="auto"/>
        </w:rPr>
      </w:pPr>
    </w:p>
    <w:p>
      <w:pPr>
        <w:ind w:left="5102" w:hanging="71"/>
        <w:spacing w:after="0"/>
        <w:tabs>
          <w:tab w:leader="none" w:pos="510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10782"/>
          </w:cols>
          <w:pgMar w:left="798" w:top="1114" w:right="319" w:bottom="1440" w:gutter="0" w:footer="0" w:header="0"/>
        </w:sectPr>
      </w:pPr>
    </w:p>
    <w:bookmarkStart w:id="61" w:name="page62"/>
    <w:bookmarkEnd w:id="61"/>
    <w:p>
      <w:pPr>
        <w:jc w:val="both"/>
        <w:spacing w:after="0" w:line="268" w:lineRule="auto"/>
        <w:rPr>
          <w:sz w:val="20"/>
          <w:szCs w:val="20"/>
          <w:color w:val="auto"/>
        </w:rPr>
      </w:pPr>
      <w:r>
        <w:rPr>
          <w:rFonts w:ascii="Times New Roman" w:cs="Times New Roman" w:eastAsia="Times New Roman" w:hAnsi="Times New Roman"/>
          <w:sz w:val="15"/>
          <w:szCs w:val="15"/>
          <w:color w:val="auto"/>
        </w:rPr>
        <w:t>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34" w:lineRule="exact"/>
        <w:rPr>
          <w:sz w:val="20"/>
          <w:szCs w:val="20"/>
          <w:color w:val="auto"/>
        </w:rPr>
      </w:pPr>
    </w:p>
    <w:p>
      <w:pPr>
        <w:jc w:val="both"/>
        <w:ind w:firstLine="498"/>
        <w:spacing w:after="0" w:line="256" w:lineRule="auto"/>
        <w:tabs>
          <w:tab w:leader="none" w:pos="71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Capital Stock Matters</w:t>
      </w:r>
      <w:r>
        <w:rPr>
          <w:rFonts w:ascii="Times New Roman" w:cs="Times New Roman" w:eastAsia="Times New Roman" w:hAnsi="Times New Roman"/>
          <w:sz w:val="15"/>
          <w:szCs w:val="15"/>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applicable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146" w:lineRule="exact"/>
        <w:rPr>
          <w:rFonts w:ascii="Times New Roman" w:cs="Times New Roman" w:eastAsia="Times New Roman" w:hAnsi="Times New Roman"/>
          <w:sz w:val="15"/>
          <w:szCs w:val="15"/>
          <w:color w:val="auto"/>
        </w:rPr>
      </w:pPr>
    </w:p>
    <w:p>
      <w:pPr>
        <w:jc w:val="both"/>
        <w:ind w:firstLine="498"/>
        <w:spacing w:after="0" w:line="255" w:lineRule="auto"/>
        <w:tabs>
          <w:tab w:leader="none" w:pos="71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Non-Contravention of Existing Instruments; No Further Authorizations or Approvals Required</w:t>
      </w:r>
      <w:r>
        <w:rPr>
          <w:rFonts w:ascii="Times New Roman" w:cs="Times New Roman" w:eastAsia="Times New Roman" w:hAnsi="Times New Roman"/>
          <w:sz w:val="15"/>
          <w:szCs w:val="15"/>
          <w:color w:val="auto"/>
        </w:rPr>
        <w:t>. Neither the Company nor any of its Subsidiaries is in violation of its charter or bylaws or is in default (or, with the giving of notice or lapse of time, would be in default) (“</w:t>
      </w:r>
      <w:r>
        <w:rPr>
          <w:rFonts w:ascii="Times New Roman" w:cs="Times New Roman" w:eastAsia="Times New Roman" w:hAnsi="Times New Roman"/>
          <w:sz w:val="15"/>
          <w:szCs w:val="15"/>
          <w:b w:val="1"/>
          <w:bCs w:val="1"/>
          <w:u w:val="single" w:color="auto"/>
          <w:color w:val="auto"/>
        </w:rPr>
        <w:t>Default</w:t>
      </w:r>
      <w:r>
        <w:rPr>
          <w:rFonts w:ascii="Times New Roman" w:cs="Times New Roman" w:eastAsia="Times New Roman" w:hAnsi="Times New Roman"/>
          <w:sz w:val="15"/>
          <w:szCs w:val="15"/>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cs="Times New Roman" w:eastAsia="Times New Roman" w:hAnsi="Times New Roman"/>
          <w:sz w:val="15"/>
          <w:szCs w:val="15"/>
          <w:b w:val="1"/>
          <w:bCs w:val="1"/>
          <w:u w:val="single" w:color="auto"/>
          <w:color w:val="auto"/>
        </w:rPr>
        <w:t>Existing Instrument</w:t>
      </w:r>
      <w:r>
        <w:rPr>
          <w:rFonts w:ascii="Times New Roman" w:cs="Times New Roman" w:eastAsia="Times New Roman" w:hAnsi="Times New Roman"/>
          <w:sz w:val="15"/>
          <w:szCs w:val="15"/>
          <w:color w:val="auto"/>
        </w:rPr>
        <w:t>”), except for such Defaults as would not, individually or in the aggregate, reasonably be expected to result in a Material Adverse Change. The Company’s execution, delivery and performance of this Agreement and consummation of the transactions contemplated hereby and by the Prospectus</w:t>
      </w:r>
    </w:p>
    <w:p>
      <w:pPr>
        <w:spacing w:after="0" w:line="3" w:lineRule="exact"/>
        <w:rPr>
          <w:rFonts w:ascii="Times New Roman" w:cs="Times New Roman" w:eastAsia="Times New Roman" w:hAnsi="Times New Roman"/>
          <w:sz w:val="15"/>
          <w:szCs w:val="15"/>
          <w:color w:val="auto"/>
        </w:rPr>
      </w:pPr>
    </w:p>
    <w:p>
      <w:pPr>
        <w:jc w:val="both"/>
        <w:ind w:firstLine="3"/>
        <w:spacing w:after="0" w:line="255" w:lineRule="auto"/>
        <w:tabs>
          <w:tab w:leader="none" w:pos="187"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Subsidiary, except in the case of clauses (ii) and (iii) above,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Inc. (“</w:t>
      </w:r>
      <w:r>
        <w:rPr>
          <w:rFonts w:ascii="Times New Roman" w:cs="Times New Roman" w:eastAsia="Times New Roman" w:hAnsi="Times New Roman"/>
          <w:sz w:val="15"/>
          <w:szCs w:val="15"/>
          <w:b w:val="1"/>
          <w:bCs w:val="1"/>
          <w:u w:val="single" w:color="auto"/>
          <w:color w:val="auto"/>
        </w:rPr>
        <w:t>FINRA</w:t>
      </w:r>
      <w:r>
        <w:rPr>
          <w:rFonts w:ascii="Times New Roman" w:cs="Times New Roman" w:eastAsia="Times New Roman" w:hAnsi="Times New Roman"/>
          <w:sz w:val="15"/>
          <w:szCs w:val="15"/>
          <w:color w:val="auto"/>
        </w:rPr>
        <w:t>”).</w:t>
      </w:r>
    </w:p>
    <w:p>
      <w:pPr>
        <w:spacing w:after="0" w:line="143" w:lineRule="exact"/>
        <w:rPr>
          <w:rFonts w:ascii="Times New Roman" w:cs="Times New Roman" w:eastAsia="Times New Roman" w:hAnsi="Times New Roman"/>
          <w:sz w:val="15"/>
          <w:szCs w:val="15"/>
          <w:color w:val="auto"/>
        </w:rPr>
      </w:pPr>
    </w:p>
    <w:p>
      <w:pPr>
        <w:jc w:val="both"/>
        <w:ind w:firstLine="498"/>
        <w:spacing w:after="0" w:line="259" w:lineRule="auto"/>
        <w:tabs>
          <w:tab w:leader="none" w:pos="7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Actions or Proceedings</w:t>
      </w:r>
      <w:r>
        <w:rPr>
          <w:rFonts w:ascii="Times New Roman" w:cs="Times New Roman" w:eastAsia="Times New Roman" w:hAnsi="Times New Roman"/>
          <w:sz w:val="15"/>
          <w:szCs w:val="15"/>
          <w:color w:val="auto"/>
        </w:rPr>
        <w:t>. There are no legal or governmental actions, suits or proceedings pending or, to the Company’s knowledge, threatened (i) against or affecting the Company or any of its Subsidiaries, (ii) which has as the subject thereof any officer or director of, or property owned or leased by, the Company or any of its Subsidiaries or</w:t>
      </w:r>
    </w:p>
    <w:p>
      <w:pPr>
        <w:ind w:firstLine="3"/>
        <w:spacing w:after="0" w:line="262" w:lineRule="auto"/>
        <w:tabs>
          <w:tab w:leader="none" w:pos="267"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8" w:lineRule="exact"/>
        <w:rPr>
          <w:rFonts w:ascii="Times New Roman" w:cs="Times New Roman" w:eastAsia="Times New Roman" w:hAnsi="Times New Roman"/>
          <w:sz w:val="15"/>
          <w:szCs w:val="15"/>
          <w:color w:val="auto"/>
        </w:rPr>
      </w:pPr>
    </w:p>
    <w:p>
      <w:pPr>
        <w:ind w:left="5600" w:hanging="71"/>
        <w:spacing w:after="0"/>
        <w:tabs>
          <w:tab w:leader="none" w:pos="5600" w:val="left"/>
        </w:tabs>
        <w:numPr>
          <w:ilvl w:val="2"/>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ectPr>
          <w:pgSz w:w="11900" w:h="16838" w:orient="portrait"/>
          <w:cols w:equalWidth="0" w:num="1">
            <w:col w:w="11280"/>
          </w:cols>
          <w:pgMar w:left="300" w:top="1114" w:right="319" w:bottom="1440" w:gutter="0" w:footer="0" w:header="0"/>
        </w:sectPr>
      </w:pPr>
    </w:p>
    <w:bookmarkStart w:id="62" w:name="page63"/>
    <w:bookmarkEnd w:id="62"/>
    <w:p>
      <w:pPr>
        <w:spacing w:after="0" w:line="292" w:lineRule="auto"/>
        <w:rPr>
          <w:sz w:val="20"/>
          <w:szCs w:val="20"/>
          <w:color w:val="auto"/>
        </w:rPr>
      </w:pPr>
      <w:r>
        <w:rPr>
          <w:rFonts w:ascii="Times New Roman" w:cs="Times New Roman" w:eastAsia="Times New Roman" w:hAnsi="Times New Roman"/>
          <w:sz w:val="15"/>
          <w:szCs w:val="15"/>
          <w:color w:val="auto"/>
        </w:rPr>
        <w:t>Change or adversely affect the consummation of the transactions contemplated by this Agreement. No material labor dispute with the employees of the Company or any of its Subsidiaries exists or, to the Company’s knowledge, is threatened or imminent.</w:t>
      </w:r>
    </w:p>
    <w:p>
      <w:pPr>
        <w:spacing w:after="0" w:line="107" w:lineRule="exact"/>
        <w:rPr>
          <w:sz w:val="20"/>
          <w:szCs w:val="20"/>
          <w:color w:val="auto"/>
        </w:rPr>
      </w:pPr>
    </w:p>
    <w:p>
      <w:pPr>
        <w:jc w:val="both"/>
        <w:ind w:firstLine="498"/>
        <w:spacing w:after="0" w:line="263" w:lineRule="auto"/>
        <w:tabs>
          <w:tab w:leader="none" w:pos="7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All Necessary Permits, etc</w:t>
      </w:r>
      <w:r>
        <w:rPr>
          <w:rFonts w:ascii="Times New Roman" w:cs="Times New Roman" w:eastAsia="Times New Roman" w:hAnsi="Times New Roman"/>
          <w:sz w:val="15"/>
          <w:szCs w:val="15"/>
          <w:color w:val="auto"/>
        </w:rPr>
        <w:t>.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reasonably be expected to, individually or in the aggregate,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reasonably be expected to, individually or in the aggregate, result in a Material Adverse Change.</w:t>
      </w:r>
    </w:p>
    <w:p>
      <w:pPr>
        <w:spacing w:after="0" w:line="128" w:lineRule="exact"/>
        <w:rPr>
          <w:rFonts w:ascii="Times New Roman" w:cs="Times New Roman" w:eastAsia="Times New Roman" w:hAnsi="Times New Roman"/>
          <w:sz w:val="15"/>
          <w:szCs w:val="15"/>
          <w:color w:val="auto"/>
        </w:rPr>
      </w:pPr>
    </w:p>
    <w:p>
      <w:pPr>
        <w:jc w:val="both"/>
        <w:ind w:firstLine="498"/>
        <w:spacing w:after="0" w:line="259" w:lineRule="auto"/>
        <w:tabs>
          <w:tab w:leader="none" w:pos="695"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 Law Compliance</w:t>
      </w:r>
      <w:r>
        <w:rPr>
          <w:rFonts w:ascii="Times New Roman" w:cs="Times New Roman" w:eastAsia="Times New Roman" w:hAnsi="Times New Roman"/>
          <w:sz w:val="15"/>
          <w:szCs w:val="15"/>
          <w:color w:val="auto"/>
        </w:rPr>
        <w:t xml:space="preserve">. The Company and its consolidated Subsidiaries have filed all necessary federal, state and foreign income, property and franchise tax returns or have properly requested extensions thereof, other than those returns where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result in a Material Adverse Change. The Company has made adequate charges, accruals and reserves, in conformity with U.S. GAAP, in the applicable financial statements referred to in </w:t>
      </w:r>
      <w:r>
        <w:rPr>
          <w:rFonts w:ascii="Times New Roman" w:cs="Times New Roman" w:eastAsia="Times New Roman" w:hAnsi="Times New Roman"/>
          <w:sz w:val="15"/>
          <w:szCs w:val="15"/>
          <w:u w:val="single" w:color="auto"/>
          <w:color w:val="auto"/>
        </w:rPr>
        <w:t>Section 6(k)</w:t>
      </w:r>
      <w:r>
        <w:rPr>
          <w:rFonts w:ascii="Times New Roman" w:cs="Times New Roman" w:eastAsia="Times New Roman" w:hAnsi="Times New Roman"/>
          <w:sz w:val="15"/>
          <w:szCs w:val="15"/>
          <w:color w:val="auto"/>
        </w:rPr>
        <w:t xml:space="preserve"> above in respect of all material federal, state and foreign income, property and franchise taxes for all periods as to which the tax liability of the Company or any of its consolidated Subsidiaries has not been finally determined.</w:t>
      </w:r>
    </w:p>
    <w:p>
      <w:pPr>
        <w:spacing w:after="0" w:line="142" w:lineRule="exact"/>
        <w:rPr>
          <w:rFonts w:ascii="Times New Roman" w:cs="Times New Roman" w:eastAsia="Times New Roman" w:hAnsi="Times New Roman"/>
          <w:sz w:val="15"/>
          <w:szCs w:val="15"/>
          <w:color w:val="auto"/>
        </w:rPr>
      </w:pPr>
    </w:p>
    <w:p>
      <w:pPr>
        <w:jc w:val="both"/>
        <w:ind w:firstLine="498"/>
        <w:spacing w:after="0" w:line="268" w:lineRule="auto"/>
        <w:tabs>
          <w:tab w:leader="none" w:pos="71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Not an “Investment Company</w:t>
      </w:r>
      <w:r>
        <w:rPr>
          <w:rFonts w:ascii="Times New Roman" w:cs="Times New Roman" w:eastAsia="Times New Roman" w:hAnsi="Times New Roman"/>
          <w:sz w:val="15"/>
          <w:szCs w:val="15"/>
          <w:color w:val="auto"/>
        </w:rPr>
        <w:t>”. The Company has been advised of the rules and requirements under the Investment Company Act of 1940, as amended (the “</w:t>
      </w:r>
      <w:r>
        <w:rPr>
          <w:rFonts w:ascii="Times New Roman" w:cs="Times New Roman" w:eastAsia="Times New Roman" w:hAnsi="Times New Roman"/>
          <w:sz w:val="15"/>
          <w:szCs w:val="15"/>
          <w:b w:val="1"/>
          <w:bCs w:val="1"/>
          <w:u w:val="single" w:color="auto"/>
          <w:color w:val="auto"/>
        </w:rPr>
        <w:t>Investment Company Act</w:t>
      </w:r>
      <w:r>
        <w:rPr>
          <w:rFonts w:ascii="Times New Roman" w:cs="Times New Roman" w:eastAsia="Times New Roman" w:hAnsi="Times New Roman"/>
          <w:sz w:val="15"/>
          <w:szCs w:val="15"/>
          <w:color w:val="auto"/>
        </w:rPr>
        <w:t>”). The Company is not, and after receipt of payment for the Common Stock will not be, an “investment company” within the meaning of Investment Company Act.</w:t>
      </w:r>
    </w:p>
    <w:p>
      <w:pPr>
        <w:spacing w:after="0" w:line="134" w:lineRule="exact"/>
        <w:rPr>
          <w:rFonts w:ascii="Times New Roman" w:cs="Times New Roman" w:eastAsia="Times New Roman" w:hAnsi="Times New Roman"/>
          <w:sz w:val="15"/>
          <w:szCs w:val="15"/>
          <w:color w:val="auto"/>
        </w:rPr>
      </w:pPr>
    </w:p>
    <w:p>
      <w:pPr>
        <w:jc w:val="both"/>
        <w:ind w:firstLine="498"/>
        <w:spacing w:after="0" w:line="259" w:lineRule="auto"/>
        <w:tabs>
          <w:tab w:leader="none" w:pos="67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is insured by insurers of recognized financial responsibility with policies in such amounts and with such deductibles and covering such risks as are generally deemed adequate and customary for the business for which it is engaged including, but not limited to, policies covering real and personal property owned or leased by the Company against theft, damage, destruction, acts of vandalism and earthquakes.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spacing w:after="0" w:line="132" w:lineRule="exact"/>
        <w:rPr>
          <w:rFonts w:ascii="Times New Roman" w:cs="Times New Roman" w:eastAsia="Times New Roman" w:hAnsi="Times New Roman"/>
          <w:sz w:val="15"/>
          <w:szCs w:val="15"/>
          <w:color w:val="auto"/>
        </w:rPr>
      </w:pPr>
    </w:p>
    <w:p>
      <w:pPr>
        <w:ind w:firstLine="498"/>
        <w:spacing w:after="0" w:line="292" w:lineRule="auto"/>
        <w:tabs>
          <w:tab w:leader="none" w:pos="71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Price Stabilization or Manipulation</w:t>
      </w:r>
      <w:r>
        <w:rPr>
          <w:rFonts w:ascii="Times New Roman" w:cs="Times New Roman" w:eastAsia="Times New Roman" w:hAnsi="Times New Roman"/>
          <w:sz w:val="15"/>
          <w:szCs w:val="15"/>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117" w:lineRule="exact"/>
        <w:rPr>
          <w:rFonts w:ascii="Times New Roman" w:cs="Times New Roman" w:eastAsia="Times New Roman" w:hAnsi="Times New Roman"/>
          <w:sz w:val="15"/>
          <w:szCs w:val="15"/>
          <w:color w:val="auto"/>
        </w:rPr>
      </w:pPr>
    </w:p>
    <w:p>
      <w:pPr>
        <w:ind w:firstLine="498"/>
        <w:spacing w:after="0" w:line="278" w:lineRule="auto"/>
        <w:tabs>
          <w:tab w:leader="none" w:pos="7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Related Party Transactions</w:t>
      </w:r>
      <w:r>
        <w:rPr>
          <w:rFonts w:ascii="Times New Roman" w:cs="Times New Roman" w:eastAsia="Times New Roman" w:hAnsi="Times New Roman"/>
          <w:sz w:val="15"/>
          <w:szCs w:val="15"/>
          <w:color w:val="auto"/>
        </w:rPr>
        <w:t>. There are no business relationships or related-party transactions involving the Company or any Subsidiary or any other person required to be described in the Prospectus which have not been described as required by applicable laws.</w:t>
      </w:r>
    </w:p>
    <w:p>
      <w:pPr>
        <w:spacing w:after="0" w:line="126" w:lineRule="exact"/>
        <w:rPr>
          <w:rFonts w:ascii="Times New Roman" w:cs="Times New Roman" w:eastAsia="Times New Roman" w:hAnsi="Times New Roman"/>
          <w:sz w:val="15"/>
          <w:szCs w:val="15"/>
          <w:color w:val="auto"/>
        </w:rPr>
      </w:pPr>
    </w:p>
    <w:p>
      <w:pPr>
        <w:ind w:firstLine="498"/>
        <w:spacing w:after="0" w:line="278" w:lineRule="auto"/>
        <w:tabs>
          <w:tab w:leader="none" w:pos="75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Exchange Act Compliance</w:t>
      </w:r>
      <w:r>
        <w:rPr>
          <w:rFonts w:ascii="Times New Roman" w:cs="Times New Roman" w:eastAsia="Times New Roman" w:hAnsi="Times New Roman"/>
          <w:sz w:val="15"/>
          <w:szCs w:val="15"/>
          <w:color w:val="auto"/>
        </w:rPr>
        <w:t>. The documents incorporated or deemed to be incorporated by reference in the Prospectus, at the time they were or hereafter are filed with the Commission, complied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6" w:lineRule="exact"/>
        <w:rPr>
          <w:rFonts w:ascii="Times New Roman" w:cs="Times New Roman" w:eastAsia="Times New Roman" w:hAnsi="Times New Roman"/>
          <w:sz w:val="15"/>
          <w:szCs w:val="15"/>
          <w:color w:val="auto"/>
        </w:rPr>
      </w:pPr>
    </w:p>
    <w:p>
      <w:pPr>
        <w:ind w:left="5600" w:hanging="71"/>
        <w:spacing w:after="0"/>
        <w:tabs>
          <w:tab w:leader="none" w:pos="560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ectPr>
          <w:pgSz w:w="11900" w:h="16838" w:orient="portrait"/>
          <w:cols w:equalWidth="0" w:num="1">
            <w:col w:w="11280"/>
          </w:cols>
          <w:pgMar w:left="300" w:top="1114" w:right="319" w:bottom="1440" w:gutter="0" w:footer="0" w:header="0"/>
        </w:sectPr>
      </w:pPr>
    </w:p>
    <w:bookmarkStart w:id="63" w:name="page64"/>
    <w:bookmarkEnd w:id="63"/>
    <w:p>
      <w:pPr>
        <w:jc w:val="both"/>
        <w:spacing w:after="0" w:line="268" w:lineRule="auto"/>
        <w:rPr>
          <w:sz w:val="20"/>
          <w:szCs w:val="20"/>
          <w:color w:val="auto"/>
        </w:rPr>
      </w:pPr>
      <w:r>
        <w:rPr>
          <w:rFonts w:ascii="Times New Roman" w:cs="Times New Roman" w:eastAsia="Times New Roman" w:hAnsi="Times New Roman"/>
          <w:sz w:val="15"/>
          <w:szCs w:val="15"/>
          <w:color w:val="auto"/>
        </w:rPr>
        <w:t>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30" w:lineRule="exact"/>
        <w:rPr>
          <w:sz w:val="20"/>
          <w:szCs w:val="20"/>
          <w:color w:val="auto"/>
        </w:rPr>
      </w:pPr>
    </w:p>
    <w:p>
      <w:pPr>
        <w:jc w:val="both"/>
        <w:ind w:firstLine="498"/>
        <w:spacing w:after="0" w:line="261" w:lineRule="auto"/>
        <w:tabs>
          <w:tab w:leader="none" w:pos="71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Unlawful Contributions or Other Payments</w:t>
      </w:r>
      <w:r>
        <w:rPr>
          <w:rFonts w:ascii="Times New Roman" w:cs="Times New Roman" w:eastAsia="Times New Roman" w:hAnsi="Times New Roman"/>
          <w:sz w:val="15"/>
          <w:szCs w:val="15"/>
          <w:color w:val="auto"/>
        </w:rPr>
        <w:t>. Since June 22, 2023 (the “</w:t>
      </w:r>
      <w:r>
        <w:rPr>
          <w:rFonts w:ascii="Times New Roman" w:cs="Times New Roman" w:eastAsia="Times New Roman" w:hAnsi="Times New Roman"/>
          <w:sz w:val="15"/>
          <w:szCs w:val="15"/>
          <w:b w:val="1"/>
          <w:bCs w:val="1"/>
          <w:u w:val="single" w:color="auto"/>
          <w:color w:val="auto"/>
        </w:rPr>
        <w:t>Merger Date</w:t>
      </w:r>
      <w:r>
        <w:rPr>
          <w:rFonts w:ascii="Times New Roman" w:cs="Times New Roman" w:eastAsia="Times New Roman" w:hAnsi="Times New Roman"/>
          <w:sz w:val="15"/>
          <w:szCs w:val="15"/>
          <w:color w:val="auto"/>
        </w:rPr>
        <w:t>”), and, to the Company’s knowledge, prior to the Merger Date, neither the Company nor any of its Subsidiaries has, nor, to the Company’s knowledge, has any director, officer, employee, agent, affiliate or other person acting on behalf of the Company or any Subsidiary,</w:t>
      </w:r>
    </w:p>
    <w:p>
      <w:pPr>
        <w:spacing w:after="0" w:line="1" w:lineRule="exact"/>
        <w:rPr>
          <w:rFonts w:ascii="Times New Roman" w:cs="Times New Roman" w:eastAsia="Times New Roman" w:hAnsi="Times New Roman"/>
          <w:sz w:val="15"/>
          <w:szCs w:val="15"/>
          <w:color w:val="auto"/>
        </w:rPr>
      </w:pPr>
    </w:p>
    <w:p>
      <w:pPr>
        <w:jc w:val="both"/>
        <w:ind w:firstLine="3"/>
        <w:spacing w:after="0" w:line="259" w:lineRule="auto"/>
        <w:tabs>
          <w:tab w:leader="none" w:pos="183"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w:t>
      </w:r>
    </w:p>
    <w:p>
      <w:pPr>
        <w:spacing w:after="0" w:line="132" w:lineRule="exact"/>
        <w:rPr>
          <w:rFonts w:ascii="Times New Roman" w:cs="Times New Roman" w:eastAsia="Times New Roman" w:hAnsi="Times New Roman"/>
          <w:sz w:val="15"/>
          <w:szCs w:val="15"/>
          <w:color w:val="auto"/>
        </w:rPr>
      </w:pPr>
    </w:p>
    <w:p>
      <w:pPr>
        <w:jc w:val="both"/>
        <w:ind w:firstLine="498"/>
        <w:spacing w:after="0" w:line="259" w:lineRule="auto"/>
        <w:tabs>
          <w:tab w:leader="none" w:pos="71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Money Laundering Laws</w:t>
      </w:r>
      <w:r>
        <w:rPr>
          <w:rFonts w:ascii="Times New Roman" w:cs="Times New Roman" w:eastAsia="Times New Roman" w:hAnsi="Times New Roman"/>
          <w:sz w:val="15"/>
          <w:szCs w:val="15"/>
          <w:color w:val="auto"/>
        </w:rPr>
        <w:t>. The operations of the Company and its Subsidiaries are and have been conducted at all times since the Merger Date, and, to the Company’s knowledge, prior to the Merger Date,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5"/>
          <w:szCs w:val="15"/>
          <w:b w:val="1"/>
          <w:bCs w:val="1"/>
          <w:u w:val="single" w:color="auto"/>
          <w:color w:val="auto"/>
        </w:rPr>
        <w:t>Anti-Money Laundering Laws</w:t>
      </w:r>
      <w:r>
        <w:rPr>
          <w:rFonts w:ascii="Times New Roman" w:cs="Times New Roman" w:eastAsia="Times New Roman" w:hAnsi="Times New Roman"/>
          <w:sz w:val="15"/>
          <w:szCs w:val="15"/>
          <w:color w:val="auto"/>
        </w:rPr>
        <w:t>”), and no action, suit or proceeding by or before any court or governmental agency, authority, body or any arbitrator involving the Company or any of its Subsidiaries with respect to Anti-Money Laundering Laws is pending, or to the knowledge of the Company, threatened.</w:t>
      </w:r>
    </w:p>
    <w:p>
      <w:pPr>
        <w:spacing w:after="0" w:line="142" w:lineRule="exact"/>
        <w:rPr>
          <w:rFonts w:ascii="Times New Roman" w:cs="Times New Roman" w:eastAsia="Times New Roman" w:hAnsi="Times New Roman"/>
          <w:sz w:val="15"/>
          <w:szCs w:val="15"/>
          <w:color w:val="auto"/>
        </w:rPr>
      </w:pPr>
    </w:p>
    <w:p>
      <w:pPr>
        <w:jc w:val="both"/>
        <w:ind w:firstLine="498"/>
        <w:spacing w:after="0" w:line="256" w:lineRule="auto"/>
        <w:tabs>
          <w:tab w:leader="none" w:pos="701"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OFAC</w:t>
      </w:r>
      <w:r>
        <w:rPr>
          <w:rFonts w:ascii="Times New Roman" w:cs="Times New Roman" w:eastAsia="Times New Roman" w:hAnsi="Times New Roman"/>
          <w:sz w:val="15"/>
          <w:szCs w:val="15"/>
          <w:color w:val="auto"/>
        </w:rPr>
        <w:t>. Neither the Company nor any of its Subsidiaries, nor to the Company’s knowledge,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15"/>
          <w:szCs w:val="15"/>
          <w:b w:val="1"/>
          <w:bCs w:val="1"/>
          <w:u w:val="single" w:color="auto"/>
          <w:color w:val="auto"/>
        </w:rPr>
        <w:t>Person</w:t>
      </w:r>
      <w:r>
        <w:rPr>
          <w:rFonts w:ascii="Times New Roman" w:cs="Times New Roman" w:eastAsia="Times New Roman" w:hAnsi="Times New Roman"/>
          <w:sz w:val="15"/>
          <w:szCs w:val="15"/>
          <w:color w:val="auto"/>
        </w:rPr>
        <w:t>”) that is, or is owned or controlled by a Person that is: (i) the subject of any economic, financial or trade sanctions administered or enforced by the U.S. Department of Treasury’s Office of Foreign Assets Control (“</w:t>
      </w:r>
      <w:r>
        <w:rPr>
          <w:rFonts w:ascii="Times New Roman" w:cs="Times New Roman" w:eastAsia="Times New Roman" w:hAnsi="Times New Roman"/>
          <w:sz w:val="15"/>
          <w:szCs w:val="15"/>
          <w:b w:val="1"/>
          <w:bCs w:val="1"/>
          <w:u w:val="single" w:color="auto"/>
          <w:color w:val="auto"/>
        </w:rPr>
        <w:t>OFAC</w:t>
      </w:r>
      <w:r>
        <w:rPr>
          <w:rFonts w:ascii="Times New Roman" w:cs="Times New Roman" w:eastAsia="Times New Roman" w:hAnsi="Times New Roman"/>
          <w:sz w:val="15"/>
          <w:szCs w:val="15"/>
          <w:color w:val="auto"/>
        </w:rPr>
        <w:t>”), the United Nations Security Council, the European Union (“</w:t>
      </w:r>
      <w:r>
        <w:rPr>
          <w:rFonts w:ascii="Times New Roman" w:cs="Times New Roman" w:eastAsia="Times New Roman" w:hAnsi="Times New Roman"/>
          <w:sz w:val="15"/>
          <w:szCs w:val="15"/>
          <w:b w:val="1"/>
          <w:bCs w:val="1"/>
          <w:u w:val="single" w:color="auto"/>
          <w:color w:val="auto"/>
        </w:rPr>
        <w:t>EU</w:t>
      </w:r>
      <w:r>
        <w:rPr>
          <w:rFonts w:ascii="Times New Roman" w:cs="Times New Roman" w:eastAsia="Times New Roman" w:hAnsi="Times New Roman"/>
          <w:sz w:val="15"/>
          <w:szCs w:val="15"/>
          <w:color w:val="auto"/>
        </w:rPr>
        <w:t>”), His Majesty’s Treasury of the United Kingdom, the Swiss Secretariat of Economic Affairs, or other relevant sanctions authority (collectively, “</w:t>
      </w:r>
      <w:r>
        <w:rPr>
          <w:rFonts w:ascii="Times New Roman" w:cs="Times New Roman" w:eastAsia="Times New Roman" w:hAnsi="Times New Roman"/>
          <w:sz w:val="15"/>
          <w:szCs w:val="15"/>
          <w:b w:val="1"/>
          <w:bCs w:val="1"/>
          <w:u w:val="single" w:color="auto"/>
          <w:color w:val="auto"/>
        </w:rPr>
        <w:t>Sanctions</w:t>
      </w:r>
      <w:r>
        <w:rPr>
          <w:rFonts w:ascii="Times New Roman" w:cs="Times New Roman" w:eastAsia="Times New Roman" w:hAnsi="Times New Roman"/>
          <w:sz w:val="15"/>
          <w:szCs w:val="15"/>
          <w:color w:val="auto"/>
        </w:rPr>
        <w:t>”), nor (ii) located, organized, or resident in a country or territory that is the subject of Sanctions (including, without limitation, the so-called Donetsk People’s Republic, the so-called Luhansk People’s Republic, the Crimea Region of Ukraine, the non-government controlled areas of the Zaporizhzhia and Kherson Regions, Cuba, Iran and North Korea).</w:t>
      </w:r>
    </w:p>
    <w:p>
      <w:pPr>
        <w:spacing w:after="0" w:line="146" w:lineRule="exact"/>
        <w:rPr>
          <w:rFonts w:ascii="Times New Roman" w:cs="Times New Roman" w:eastAsia="Times New Roman" w:hAnsi="Times New Roman"/>
          <w:sz w:val="15"/>
          <w:szCs w:val="15"/>
          <w:color w:val="auto"/>
        </w:rPr>
      </w:pPr>
    </w:p>
    <w:p>
      <w:pPr>
        <w:jc w:val="both"/>
        <w:ind w:left="1480" w:hanging="486"/>
        <w:spacing w:after="0" w:line="268" w:lineRule="auto"/>
        <w:tabs>
          <w:tab w:leader="none" w:pos="1475" w:val="left"/>
        </w:tabs>
        <w:numPr>
          <w:ilvl w:val="2"/>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53" w:lineRule="exact"/>
        <w:rPr>
          <w:rFonts w:ascii="Times New Roman" w:cs="Times New Roman" w:eastAsia="Times New Roman" w:hAnsi="Times New Roman"/>
          <w:sz w:val="14"/>
          <w:szCs w:val="14"/>
          <w:color w:val="auto"/>
        </w:rPr>
      </w:pPr>
    </w:p>
    <w:p>
      <w:pPr>
        <w:ind w:left="5580" w:hanging="85"/>
        <w:spacing w:after="0"/>
        <w:tabs>
          <w:tab w:leader="none" w:pos="5580" w:val="left"/>
        </w:tabs>
        <w:numPr>
          <w:ilvl w:val="3"/>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ectPr>
          <w:pgSz w:w="11900" w:h="16838" w:orient="portrait"/>
          <w:cols w:equalWidth="0" w:num="1">
            <w:col w:w="11280"/>
          </w:cols>
          <w:pgMar w:left="300" w:top="1114" w:right="319" w:bottom="1440" w:gutter="0" w:footer="0" w:header="0"/>
        </w:sectPr>
      </w:pPr>
    </w:p>
    <w:bookmarkStart w:id="64" w:name="page65"/>
    <w:bookmarkEnd w:id="64"/>
    <w:p>
      <w:pPr>
        <w:ind w:left="982"/>
        <w:spacing w:after="0"/>
        <w:rPr>
          <w:sz w:val="20"/>
          <w:szCs w:val="20"/>
          <w:color w:val="auto"/>
        </w:rPr>
      </w:pPr>
      <w:r>
        <w:rPr>
          <w:rFonts w:ascii="Times New Roman" w:cs="Times New Roman" w:eastAsia="Times New Roman" w:hAnsi="Times New Roman"/>
          <w:sz w:val="15"/>
          <w:szCs w:val="15"/>
          <w:color w:val="auto"/>
        </w:rPr>
        <w:t>other manner that will result in a violation of Sanctions by any Person (including TD Cowen).</w:t>
      </w:r>
    </w:p>
    <w:p>
      <w:pPr>
        <w:spacing w:after="0" w:line="178" w:lineRule="exact"/>
        <w:rPr>
          <w:sz w:val="20"/>
          <w:szCs w:val="20"/>
          <w:color w:val="auto"/>
        </w:rPr>
      </w:pPr>
    </w:p>
    <w:p>
      <w:pPr>
        <w:jc w:val="both"/>
        <w:ind w:left="982" w:hanging="486"/>
        <w:spacing w:after="0" w:line="268" w:lineRule="auto"/>
        <w:tabs>
          <w:tab w:leader="none" w:pos="9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target of Sanctions.</w:t>
      </w:r>
    </w:p>
    <w:p>
      <w:pPr>
        <w:spacing w:after="0" w:line="124" w:lineRule="exact"/>
        <w:rPr>
          <w:rFonts w:ascii="Times New Roman" w:cs="Times New Roman" w:eastAsia="Times New Roman" w:hAnsi="Times New Roman"/>
          <w:sz w:val="14"/>
          <w:szCs w:val="14"/>
          <w:color w:val="auto"/>
        </w:rPr>
      </w:pPr>
    </w:p>
    <w:p>
      <w:pPr>
        <w:jc w:val="both"/>
        <w:ind w:left="-498" w:firstLine="498"/>
        <w:spacing w:after="0" w:line="257" w:lineRule="auto"/>
        <w:tabs>
          <w:tab w:leader="none" w:pos="281"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Company’s Accounting System</w:t>
      </w:r>
      <w:r>
        <w:rPr>
          <w:rFonts w:ascii="Times New Roman" w:cs="Times New Roman" w:eastAsia="Times New Roman" w:hAnsi="Times New Roman"/>
          <w:sz w:val="15"/>
          <w:szCs w:val="15"/>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15"/>
          <w:szCs w:val="15"/>
          <w:b w:val="1"/>
          <w:bCs w:val="1"/>
          <w:u w:val="single" w:color="auto"/>
          <w:color w:val="auto"/>
        </w:rPr>
        <w:t>Exchange Act Rules</w:t>
      </w:r>
      <w:r>
        <w:rPr>
          <w:rFonts w:ascii="Times New Roman" w:cs="Times New Roman" w:eastAsia="Times New Roman" w:hAnsi="Times New Roman"/>
          <w:sz w:val="15"/>
          <w:szCs w:val="15"/>
          <w:color w:val="auto"/>
        </w:rPr>
        <w:t>”))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internal control over financial reporting is effective.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maintains and will continue to maintain a standard system of accounting established and administered in accordance with U.S. GAAP and the applicable requirements of the Exchange Act.</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59" w:lineRule="auto"/>
        <w:tabs>
          <w:tab w:leader="none" w:pos="287"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Sarbanes-Oxley; Disclosure Controls</w:t>
      </w:r>
      <w:r>
        <w:rPr>
          <w:rFonts w:ascii="Times New Roman" w:cs="Times New Roman" w:eastAsia="Times New Roman" w:hAnsi="Times New Roman"/>
          <w:sz w:val="15"/>
          <w:szCs w:val="15"/>
          <w:color w:val="auto"/>
        </w:rPr>
        <w:t>. The Company is in compliance in all material respects with the applicable provisions of the Sarbanes-Oxley Act of 2002 and the rules and regulations promulgated thereunder. The Company has established and maintains disclosure controls and procedures (as defined in Exchange Act Rules 13a-15(e) and 15d-15(e)) designed to ensure that (a) material information relating to the Company and its Subsidiaries is made known to the Company’s principal executive officer and its principal financial officer by others within those entities and (b) information required to be disclosed by the Company in reports that it files, furnishes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conducted evaluations of the effectiveness of its disclosure controls as required by Rule 13a-15 of the Exchange Act.</w:t>
      </w:r>
    </w:p>
    <w:p>
      <w:pPr>
        <w:spacing w:after="0" w:line="131" w:lineRule="exact"/>
        <w:rPr>
          <w:rFonts w:ascii="Times New Roman" w:cs="Times New Roman" w:eastAsia="Times New Roman" w:hAnsi="Times New Roman"/>
          <w:sz w:val="15"/>
          <w:szCs w:val="15"/>
          <w:color w:val="auto"/>
        </w:rPr>
      </w:pPr>
    </w:p>
    <w:p>
      <w:pPr>
        <w:jc w:val="both"/>
        <w:ind w:left="-498" w:firstLine="498"/>
        <w:spacing w:after="0" w:line="260" w:lineRule="auto"/>
        <w:tabs>
          <w:tab w:leader="none" w:pos="281"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Environmental Laws</w:t>
      </w:r>
      <w:r>
        <w:rPr>
          <w:rFonts w:ascii="Times New Roman" w:cs="Times New Roman" w:eastAsia="Times New Roman" w:hAnsi="Times New Roman"/>
          <w:sz w:val="15"/>
          <w:szCs w:val="15"/>
          <w:color w:val="auto"/>
        </w:rPr>
        <w:t>.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5"/>
          <w:szCs w:val="15"/>
          <w:b w:val="1"/>
          <w:bCs w:val="1"/>
          <w:u w:val="single" w:color="auto"/>
          <w:color w:val="auto"/>
        </w:rPr>
        <w:t>Materials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Environmental Concern</w:t>
      </w:r>
      <w:r>
        <w:rPr>
          <w:rFonts w:ascii="Times New Roman" w:cs="Times New Roman" w:eastAsia="Times New Roman" w:hAnsi="Times New Roman"/>
          <w:sz w:val="15"/>
          <w:szCs w:val="15"/>
          <w:color w:val="auto"/>
        </w:rPr>
        <w:t>”), or otherwise relating to the manufacture, processing, distribution, use, treatment, storage, disposal, transport or handling of Materials of Environmental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Concern (collectively,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4" w:lineRule="exact"/>
        <w:rPr>
          <w:rFonts w:ascii="Times New Roman" w:cs="Times New Roman" w:eastAsia="Times New Roman" w:hAnsi="Times New Roman"/>
          <w:sz w:val="15"/>
          <w:szCs w:val="15"/>
          <w:color w:val="auto"/>
        </w:rPr>
      </w:pPr>
    </w:p>
    <w:p>
      <w:pPr>
        <w:ind w:left="5082" w:hanging="82"/>
        <w:spacing w:after="0"/>
        <w:tabs>
          <w:tab w:leader="none" w:pos="5082"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ectPr>
          <w:pgSz w:w="11900" w:h="16838" w:orient="portrait"/>
          <w:cols w:equalWidth="0" w:num="1">
            <w:col w:w="10782"/>
          </w:cols>
          <w:pgMar w:left="798" w:top="1114" w:right="319" w:bottom="1440" w:gutter="0" w:footer="0" w:header="0"/>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Environmental Laws</w:t>
      </w:r>
      <w:r>
        <w:rPr>
          <w:rFonts w:ascii="Times New Roman" w:cs="Times New Roman" w:eastAsia="Times New Roman" w:hAnsi="Times New Roman"/>
          <w:sz w:val="15"/>
          <w:szCs w:val="15"/>
          <w:color w:val="auto"/>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15"/>
          <w:szCs w:val="15"/>
          <w:b w:val="1"/>
          <w:bCs w:val="1"/>
          <w:u w:val="single" w:color="auto"/>
          <w:color w:val="auto"/>
        </w:rPr>
        <w:t>Environmental Claims</w:t>
      </w:r>
      <w:r>
        <w:rPr>
          <w:rFonts w:ascii="Times New Roman" w:cs="Times New Roman" w:eastAsia="Times New Roman" w:hAnsi="Times New Roman"/>
          <w:sz w:val="15"/>
          <w:szCs w:val="15"/>
          <w:color w:val="auto"/>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spacing w:after="0" w:line="139" w:lineRule="exact"/>
        <w:rPr>
          <w:sz w:val="20"/>
          <w:szCs w:val="20"/>
          <w:color w:val="auto"/>
        </w:rPr>
      </w:pPr>
    </w:p>
    <w:p>
      <w:pPr>
        <w:jc w:val="both"/>
        <w:ind w:firstLine="498"/>
        <w:spacing w:after="0" w:line="255" w:lineRule="auto"/>
        <w:tabs>
          <w:tab w:leader="none" w:pos="785"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 The Company and its Subsidiaries own, possess, have valid license rights or can acquire on a reasonable terms, adequate rights to use all (i) patents, patent applications, trademarks, trademark registrations, service marks, service mark registrations, Internet domain name registrations, copyrights, copyright registrations, licenses, trade secret rights (“</w:t>
      </w:r>
      <w:r>
        <w:rPr>
          <w:rFonts w:ascii="Times New Roman" w:cs="Times New Roman" w:eastAsia="Times New Roman" w:hAnsi="Times New Roman"/>
          <w:sz w:val="15"/>
          <w:szCs w:val="15"/>
          <w:b w:val="1"/>
          <w:bCs w:val="1"/>
          <w:u w:val="single" w:color="auto"/>
          <w:color w:val="auto"/>
        </w:rPr>
        <w:t>Intellectual Property Rights</w:t>
      </w:r>
      <w:r>
        <w:rPr>
          <w:rFonts w:ascii="Times New Roman" w:cs="Times New Roman" w:eastAsia="Times New Roman" w:hAnsi="Times New Roman"/>
          <w:sz w:val="15"/>
          <w:szCs w:val="15"/>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15"/>
          <w:szCs w:val="15"/>
          <w:b w:val="1"/>
          <w:bCs w:val="1"/>
          <w:u w:val="single" w:color="auto"/>
          <w:color w:val="auto"/>
        </w:rPr>
        <w:t>Intellectual Property Assets</w:t>
      </w:r>
      <w:r>
        <w:rPr>
          <w:rFonts w:ascii="Times New Roman" w:cs="Times New Roman" w:eastAsia="Times New Roman" w:hAnsi="Times New Roman"/>
          <w:sz w:val="15"/>
          <w:szCs w:val="15"/>
          <w:color w:val="auto"/>
        </w:rPr>
        <w:t>”)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knowledge of the Company, the Company and its Subsidiaries’ respective businesses as now conducted do not give rise to any infringement of, any misappropriation of, or other violation of, any valid and enforceable Intellectual Property Rights of any other person in any material respect. All licenses for the use of the Intellectual Property Rights described in the Prospectus are valid, binding upon, and enforceable by or against the parties thereto in accordance to their terms. Since the Merger Date, and, to the Company’s knowledge, prior to the Merger Date, the Company has complied in all material respects with, and is not in breach of, any intellectual property license and has not received any asserted or threatened claim of breach of any intellectual property license. The Company has no knowledge of any breach or anticipated breach by any other person to any intellectual property license. Since the Merger Date, and, to the Company’s knowledge, prior to the Merger Date, no written claim has been made against the Company alleging the infringement by the Company of any patent, trademark, service mark, trade name, copyright, trade secret, license in or other intellectual property right or franchise right of any person. The Company has taken all reasonable steps to</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6"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ectPr>
          <w:pgSz w:w="11900" w:h="16838" w:orient="portrait"/>
          <w:cols w:equalWidth="0" w:num="1">
            <w:col w:w="11280"/>
          </w:cols>
          <w:pgMar w:left="300" w:top="1110" w:right="319" w:bottom="1440" w:gutter="0" w:footer="0" w:header="0"/>
        </w:sectPr>
      </w:pPr>
    </w:p>
    <w:bookmarkStart w:id="66" w:name="page67"/>
    <w:bookmarkEnd w:id="66"/>
    <w:p>
      <w:pPr>
        <w:jc w:val="both"/>
        <w:spacing w:after="0" w:line="268" w:lineRule="auto"/>
        <w:rPr>
          <w:sz w:val="20"/>
          <w:szCs w:val="20"/>
          <w:color w:val="auto"/>
        </w:rPr>
      </w:pPr>
      <w:r>
        <w:rPr>
          <w:rFonts w:ascii="Times New Roman" w:cs="Times New Roman" w:eastAsia="Times New Roman" w:hAnsi="Times New Roman"/>
          <w:sz w:val="15"/>
          <w:szCs w:val="15"/>
          <w:color w:val="auto"/>
        </w:rPr>
        <w:t>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spacing w:after="0" w:line="134" w:lineRule="exact"/>
        <w:rPr>
          <w:sz w:val="20"/>
          <w:szCs w:val="20"/>
          <w:color w:val="auto"/>
        </w:rPr>
      </w:pPr>
    </w:p>
    <w:p>
      <w:pPr>
        <w:jc w:val="both"/>
        <w:ind w:firstLine="498"/>
        <w:spacing w:after="0" w:line="259" w:lineRule="auto"/>
        <w:tabs>
          <w:tab w:leader="none" w:pos="77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Listing</w:t>
      </w:r>
      <w:r>
        <w:rPr>
          <w:rFonts w:ascii="Times New Roman" w:cs="Times New Roman" w:eastAsia="Times New Roman" w:hAnsi="Times New Roman"/>
          <w:sz w:val="15"/>
          <w:szCs w:val="15"/>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Nasdaq, subject to official notice of issuance;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w:t>
      </w:r>
    </w:p>
    <w:p>
      <w:pPr>
        <w:spacing w:after="0" w:line="132" w:lineRule="exact"/>
        <w:rPr>
          <w:rFonts w:ascii="Times New Roman" w:cs="Times New Roman" w:eastAsia="Times New Roman" w:hAnsi="Times New Roman"/>
          <w:sz w:val="15"/>
          <w:szCs w:val="15"/>
          <w:color w:val="auto"/>
        </w:rPr>
      </w:pPr>
    </w:p>
    <w:p>
      <w:pPr>
        <w:ind w:firstLine="498"/>
        <w:spacing w:after="0" w:line="292" w:lineRule="auto"/>
        <w:tabs>
          <w:tab w:leader="none" w:pos="732"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Brokers</w:t>
      </w:r>
      <w:r>
        <w:rPr>
          <w:rFonts w:ascii="Times New Roman" w:cs="Times New Roman" w:eastAsia="Times New Roman" w:hAnsi="Times New Roman"/>
          <w:sz w:val="15"/>
          <w:szCs w:val="15"/>
          <w:color w:val="auto"/>
        </w:rPr>
        <w:t>. Except for TD Cowen, there is no broker, finder or other party that is entitled to receive from the Company any brokerage or finder’s fee or other fee or commission as a result of any transactions contemplated by this Agreement.</w:t>
      </w:r>
    </w:p>
    <w:p>
      <w:pPr>
        <w:spacing w:after="0" w:line="117" w:lineRule="exact"/>
        <w:rPr>
          <w:rFonts w:ascii="Times New Roman" w:cs="Times New Roman" w:eastAsia="Times New Roman" w:hAnsi="Times New Roman"/>
          <w:sz w:val="15"/>
          <w:szCs w:val="15"/>
          <w:color w:val="auto"/>
        </w:rPr>
      </w:pPr>
    </w:p>
    <w:p>
      <w:pPr>
        <w:ind w:firstLine="498"/>
        <w:spacing w:after="0" w:line="278" w:lineRule="auto"/>
        <w:tabs>
          <w:tab w:leader="none" w:pos="785"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Outstanding Loans or Other Indebtedness</w:t>
      </w:r>
      <w:r>
        <w:rPr>
          <w:rFonts w:ascii="Times New Roman" w:cs="Times New Roman" w:eastAsia="Times New Roman" w:hAnsi="Times New Roman"/>
          <w:sz w:val="15"/>
          <w:szCs w:val="15"/>
          <w:color w:val="auto"/>
        </w:rPr>
        <w:t>. There are no outstanding loans, advances (except normal advances for business expenses in the ordinary course of business) or guarantees or indebtedness by the Company to or for the benefit of any of the officers or directors of the Company.</w:t>
      </w:r>
    </w:p>
    <w:p>
      <w:pPr>
        <w:spacing w:after="0" w:line="126" w:lineRule="exact"/>
        <w:rPr>
          <w:rFonts w:ascii="Times New Roman" w:cs="Times New Roman" w:eastAsia="Times New Roman" w:hAnsi="Times New Roman"/>
          <w:sz w:val="15"/>
          <w:szCs w:val="15"/>
          <w:color w:val="auto"/>
        </w:rPr>
      </w:pPr>
    </w:p>
    <w:p>
      <w:pPr>
        <w:ind w:firstLine="498"/>
        <w:spacing w:after="0" w:line="278" w:lineRule="auto"/>
        <w:tabs>
          <w:tab w:leader="none" w:pos="785"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Reliance</w:t>
      </w:r>
      <w:r>
        <w:rPr>
          <w:rFonts w:ascii="Times New Roman" w:cs="Times New Roman" w:eastAsia="Times New Roman" w:hAnsi="Times New Roman"/>
          <w:sz w:val="15"/>
          <w:szCs w:val="15"/>
          <w:color w:val="auto"/>
        </w:rPr>
        <w:t>. The Company has not relied upon TD Cowen or legal counsel for TD Cowen for any legal, tax or accounting advice in connection with the offering and sale of the Placement Shares.</w:t>
      </w:r>
    </w:p>
    <w:p>
      <w:pPr>
        <w:spacing w:after="0" w:line="126" w:lineRule="exact"/>
        <w:rPr>
          <w:rFonts w:ascii="Times New Roman" w:cs="Times New Roman" w:eastAsia="Times New Roman" w:hAnsi="Times New Roman"/>
          <w:sz w:val="15"/>
          <w:szCs w:val="15"/>
          <w:color w:val="auto"/>
        </w:rPr>
      </w:pPr>
    </w:p>
    <w:p>
      <w:pPr>
        <w:ind w:firstLine="498"/>
        <w:spacing w:after="0" w:line="292" w:lineRule="auto"/>
        <w:tabs>
          <w:tab w:leader="none" w:pos="718"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Lending Relationship</w:t>
      </w:r>
      <w:r>
        <w:rPr>
          <w:rFonts w:ascii="Times New Roman" w:cs="Times New Roman" w:eastAsia="Times New Roman" w:hAnsi="Times New Roman"/>
          <w:sz w:val="15"/>
          <w:szCs w:val="15"/>
          <w:color w:val="auto"/>
        </w:rPr>
        <w:t>. The Company does not intend to use any of the proceeds from the sale of the Placement Shares to repay any outstanding debt owed to TD Cowen or any affiliate of TD Cowen.</w:t>
      </w:r>
    </w:p>
    <w:p>
      <w:pPr>
        <w:spacing w:after="0" w:line="106" w:lineRule="exact"/>
        <w:rPr>
          <w:rFonts w:ascii="Times New Roman" w:cs="Times New Roman" w:eastAsia="Times New Roman" w:hAnsi="Times New Roman"/>
          <w:sz w:val="15"/>
          <w:szCs w:val="15"/>
          <w:color w:val="auto"/>
        </w:rPr>
      </w:pPr>
    </w:p>
    <w:p>
      <w:pPr>
        <w:ind w:firstLine="498"/>
        <w:spacing w:after="0" w:line="292" w:lineRule="auto"/>
        <w:tabs>
          <w:tab w:leader="none" w:pos="718"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FINRA Exemption</w:t>
      </w:r>
      <w:r>
        <w:rPr>
          <w:rFonts w:ascii="Times New Roman" w:cs="Times New Roman" w:eastAsia="Times New Roman" w:hAnsi="Times New Roman"/>
          <w:sz w:val="15"/>
          <w:szCs w:val="15"/>
          <w:color w:val="auto"/>
        </w:rPr>
        <w:t>. The Company qualifies as an “experienced issuer” (within the meaning of FINRA Conduct Rule 5110(j)(6)) for purposes of the exemption from filing under FINRA Conduct Rule 5110(h)(1)(C).</w:t>
      </w:r>
    </w:p>
    <w:p>
      <w:pPr>
        <w:spacing w:after="0" w:line="106" w:lineRule="exact"/>
        <w:rPr>
          <w:rFonts w:ascii="Times New Roman" w:cs="Times New Roman" w:eastAsia="Times New Roman" w:hAnsi="Times New Roman"/>
          <w:sz w:val="15"/>
          <w:szCs w:val="15"/>
          <w:color w:val="auto"/>
        </w:rPr>
      </w:pPr>
    </w:p>
    <w:p>
      <w:pPr>
        <w:jc w:val="both"/>
        <w:ind w:firstLine="498"/>
        <w:spacing w:after="0" w:line="277" w:lineRule="auto"/>
        <w:tabs>
          <w:tab w:leader="none" w:pos="785"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Laws</w:t>
      </w:r>
      <w:r>
        <w:rPr>
          <w:rFonts w:ascii="Times New Roman" w:cs="Times New Roman" w:eastAsia="Times New Roman" w:hAnsi="Times New Roman"/>
          <w:sz w:val="15"/>
          <w:szCs w:val="15"/>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314" w:lineRule="exact"/>
        <w:rPr>
          <w:rFonts w:ascii="Times New Roman" w:cs="Times New Roman" w:eastAsia="Times New Roman" w:hAnsi="Times New Roman"/>
          <w:sz w:val="15"/>
          <w:szCs w:val="15"/>
          <w:color w:val="auto"/>
        </w:rPr>
      </w:pPr>
    </w:p>
    <w:p>
      <w:pPr>
        <w:jc w:val="both"/>
        <w:ind w:firstLine="498"/>
        <w:spacing w:after="0" w:line="259" w:lineRule="auto"/>
        <w:tabs>
          <w:tab w:leader="none" w:pos="728"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Privacy Laws</w:t>
      </w:r>
      <w:r>
        <w:rPr>
          <w:rFonts w:ascii="Times New Roman" w:cs="Times New Roman" w:eastAsia="Times New Roman" w:hAnsi="Times New Roman"/>
          <w:sz w:val="15"/>
          <w:szCs w:val="15"/>
          <w:color w:val="auto"/>
        </w:rPr>
        <w:t>. To the Company’s knowledge, the Company and each of its Subsidiaries are, and at all prior times have been, in material compliance with all applicable Privacy Laws. “</w:t>
      </w:r>
      <w:r>
        <w:rPr>
          <w:rFonts w:ascii="Times New Roman" w:cs="Times New Roman" w:eastAsia="Times New Roman" w:hAnsi="Times New Roman"/>
          <w:sz w:val="15"/>
          <w:szCs w:val="15"/>
          <w:b w:val="1"/>
          <w:bCs w:val="1"/>
          <w:u w:val="single" w:color="auto"/>
          <w:color w:val="auto"/>
        </w:rPr>
        <w:t>Privacy Laws</w:t>
      </w:r>
      <w:r>
        <w:rPr>
          <w:rFonts w:ascii="Times New Roman" w:cs="Times New Roman" w:eastAsia="Times New Roman" w:hAnsi="Times New Roman"/>
          <w:sz w:val="15"/>
          <w:szCs w:val="15"/>
          <w:color w:val="auto"/>
        </w:rPr>
        <w:t>” means data privacy and security laws and regulations, including, without limitation, the Health Insurance Portability and Accountability Act (“</w:t>
      </w:r>
      <w:r>
        <w:rPr>
          <w:rFonts w:ascii="Times New Roman" w:cs="Times New Roman" w:eastAsia="Times New Roman" w:hAnsi="Times New Roman"/>
          <w:sz w:val="15"/>
          <w:szCs w:val="15"/>
          <w:b w:val="1"/>
          <w:bCs w:val="1"/>
          <w:u w:val="single" w:color="auto"/>
          <w:color w:val="auto"/>
        </w:rPr>
        <w:t>HIPAA</w:t>
      </w:r>
      <w:r>
        <w:rPr>
          <w:rFonts w:ascii="Times New Roman" w:cs="Times New Roman" w:eastAsia="Times New Roman" w:hAnsi="Times New Roman"/>
          <w:sz w:val="15"/>
          <w:szCs w:val="15"/>
          <w:color w:val="auto"/>
        </w:rPr>
        <w:t>”), as amended by the Health Information Technology for Economic and Clinical Health Act (42 U.S.C. Section 17921 et seq.), and the European Union General Data Protection Regulation (“</w:t>
      </w:r>
      <w:r>
        <w:rPr>
          <w:rFonts w:ascii="Times New Roman" w:cs="Times New Roman" w:eastAsia="Times New Roman" w:hAnsi="Times New Roman"/>
          <w:sz w:val="15"/>
          <w:szCs w:val="15"/>
          <w:b w:val="1"/>
          <w:bCs w:val="1"/>
          <w:u w:val="single" w:color="auto"/>
          <w:color w:val="auto"/>
        </w:rPr>
        <w:t>GDPR</w:t>
      </w:r>
      <w:r>
        <w:rPr>
          <w:rFonts w:ascii="Times New Roman" w:cs="Times New Roman" w:eastAsia="Times New Roman" w:hAnsi="Times New Roman"/>
          <w:sz w:val="15"/>
          <w:szCs w:val="15"/>
          <w:color w:val="auto"/>
        </w:rPr>
        <w:t>”) (EU 2016/679), in each case, to the extent applicable to the Company, if at all. To ensure compliance with the Privacy Laws, the Company and each of its Subsidiaries have in place, comply with, and take appropriate steps reasonably designed to ensure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ectPr>
          <w:pgSz w:w="11900" w:h="16838" w:orient="portrait"/>
          <w:cols w:equalWidth="0" w:num="1">
            <w:col w:w="11280"/>
          </w:cols>
          <w:pgMar w:left="300" w:top="1114" w:right="31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5"/>
          <w:szCs w:val="15"/>
          <w:color w:val="auto"/>
        </w:rPr>
        <w:t>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5"/>
          <w:szCs w:val="15"/>
          <w:b w:val="1"/>
          <w:bCs w:val="1"/>
          <w:u w:val="single" w:color="auto"/>
          <w:color w:val="auto"/>
        </w:rPr>
        <w:t>Policies</w:t>
      </w:r>
      <w:r>
        <w:rPr>
          <w:rFonts w:ascii="Times New Roman" w:cs="Times New Roman" w:eastAsia="Times New Roman" w:hAnsi="Times New Roman"/>
          <w:sz w:val="15"/>
          <w:szCs w:val="15"/>
          <w:color w:val="auto"/>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Times New Roman" w:cs="Times New Roman" w:eastAsia="Times New Roman" w:hAnsi="Times New Roman"/>
          <w:sz w:val="15"/>
          <w:szCs w:val="15"/>
          <w:b w:val="1"/>
          <w:bCs w:val="1"/>
          <w:u w:val="single" w:color="auto"/>
          <w:color w:val="auto"/>
        </w:rPr>
        <w:t>Personal Data</w:t>
      </w:r>
      <w:r>
        <w:rPr>
          <w:rFonts w:ascii="Times New Roman" w:cs="Times New Roman" w:eastAsia="Times New Roman" w:hAnsi="Times New Roman"/>
          <w:sz w:val="15"/>
          <w:szCs w:val="15"/>
          <w:color w:val="auto"/>
        </w:rPr>
        <w:t>” means (i) a natural persons’ name, street address, telephone number, email address, social security number, or customer or account number in combination with any required password or log in information that would permit access to the financial account;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household,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by the Company. Neither the Company nor any of its Subsidiaries, (i) since the Merger Date, and, to the Company’s knowledge, prior to the Merger Date,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spacing w:after="0" w:line="147" w:lineRule="exact"/>
        <w:rPr>
          <w:sz w:val="20"/>
          <w:szCs w:val="20"/>
          <w:color w:val="auto"/>
        </w:rPr>
      </w:pPr>
    </w:p>
    <w:p>
      <w:pPr>
        <w:jc w:val="both"/>
        <w:ind w:firstLine="498"/>
        <w:spacing w:after="0" w:line="255" w:lineRule="auto"/>
        <w:tabs>
          <w:tab w:leader="none" w:pos="8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IT Systems</w:t>
      </w:r>
      <w:r>
        <w:rPr>
          <w:rFonts w:ascii="Times New Roman" w:cs="Times New Roman" w:eastAsia="Times New Roman" w:hAnsi="Times New Roman"/>
          <w:sz w:val="15"/>
          <w:szCs w:val="15"/>
          <w:color w:val="auto"/>
        </w:rPr>
        <w:t>. (i) (x) To the Company’s knowledge, there has been no material security breach, attack or other compromise of or relating to any of the Company’s and its Subsidiaries’ information technology and computer systems, networks, hardware, software, personal data, or other confidential, regulated, or sensitive data (including the data of their respective customers, employees, suppliers, vendors and any third party data maintained by or on behalf of them), equipment or technology (“</w:t>
      </w:r>
      <w:r>
        <w:rPr>
          <w:rFonts w:ascii="Times New Roman" w:cs="Times New Roman" w:eastAsia="Times New Roman" w:hAnsi="Times New Roman"/>
          <w:sz w:val="15"/>
          <w:szCs w:val="15"/>
          <w:b w:val="1"/>
          <w:bCs w:val="1"/>
          <w:u w:val="single" w:color="auto"/>
          <w:color w:val="auto"/>
        </w:rPr>
        <w:t>IT Systems and Data</w:t>
      </w:r>
      <w:r>
        <w:rPr>
          <w:rFonts w:ascii="Times New Roman" w:cs="Times New Roman" w:eastAsia="Times New Roman" w:hAnsi="Times New Roman"/>
          <w:sz w:val="15"/>
          <w:szCs w:val="15"/>
          <w:color w:val="auto"/>
        </w:rPr>
        <w:t>”), and (y) since the Merger Date, and, to the Company’s knowledge, prior to the Merger Date, the Company and its Subsidiaries have not been notified of, and have or had no knowledge of, any event or condition that would reasonably be expected to result in any security breach, attack or compromise to their IT Systems and Data, (ii) the Company and each of its Subsidiaries have complied since the Merger Date, and, to the Company’s knowledge, prior to the Merger Date, and are presently in compliance with, all applicable laws, statutes, judgments, orders, rules or regulations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practices.</w:t>
      </w:r>
    </w:p>
    <w:p>
      <w:pPr>
        <w:spacing w:after="0" w:line="146" w:lineRule="exact"/>
        <w:rPr>
          <w:rFonts w:ascii="Times New Roman" w:cs="Times New Roman" w:eastAsia="Times New Roman" w:hAnsi="Times New Roman"/>
          <w:sz w:val="15"/>
          <w:szCs w:val="15"/>
          <w:color w:val="auto"/>
        </w:rPr>
      </w:pPr>
    </w:p>
    <w:p>
      <w:pPr>
        <w:jc w:val="both"/>
        <w:ind w:firstLine="498"/>
        <w:spacing w:after="0" w:line="259" w:lineRule="auto"/>
        <w:tabs>
          <w:tab w:leader="none" w:pos="785"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Export and Import Laws</w:t>
      </w:r>
      <w:r>
        <w:rPr>
          <w:rFonts w:ascii="Times New Roman" w:cs="Times New Roman" w:eastAsia="Times New Roman" w:hAnsi="Times New Roman"/>
          <w:sz w:val="15"/>
          <w:szCs w:val="15"/>
          <w:color w:val="auto"/>
        </w:rPr>
        <w:t>. (i) Since the Merger Date, and, to the Company’s knowledge, prior to the Merger Date, each of the Company and the Subsidiaries has, and (ii)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5"/>
          <w:szCs w:val="15"/>
          <w:b w:val="1"/>
          <w:bCs w:val="1"/>
          <w:u w:val="single" w:color="auto"/>
          <w:color w:val="auto"/>
        </w:rPr>
        <w:t>Export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Import Laws</w:t>
      </w:r>
      <w:r>
        <w:rPr>
          <w:rFonts w:ascii="Times New Roman" w:cs="Times New Roman" w:eastAsia="Times New Roman" w:hAnsi="Times New Roman"/>
          <w:sz w:val="15"/>
          <w:szCs w:val="15"/>
          <w:color w:val="auto"/>
        </w:rPr>
        <w:t>” means the Arms Export Control Act, the International Traffic in Arms Regulations, the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ectPr>
          <w:pgSz w:w="11900" w:h="16838" w:orient="portrait"/>
          <w:cols w:equalWidth="0" w:num="1">
            <w:col w:w="11280"/>
          </w:cols>
          <w:pgMar w:left="300" w:top="1114" w:right="319" w:bottom="1440" w:gutter="0" w:footer="0" w:header="0"/>
        </w:sectPr>
      </w:pPr>
    </w:p>
    <w:bookmarkStart w:id="68" w:name="page69"/>
    <w:bookmarkEnd w:id="68"/>
    <w:p>
      <w:pPr>
        <w:jc w:val="both"/>
        <w:spacing w:after="0" w:line="265" w:lineRule="auto"/>
        <w:rPr>
          <w:sz w:val="20"/>
          <w:szCs w:val="20"/>
          <w:color w:val="auto"/>
        </w:rPr>
      </w:pPr>
      <w:r>
        <w:rPr>
          <w:rFonts w:ascii="Times New Roman" w:cs="Times New Roman" w:eastAsia="Times New Roman" w:hAnsi="Times New Roman"/>
          <w:sz w:val="15"/>
          <w:szCs w:val="15"/>
          <w:color w:val="auto"/>
        </w:rPr>
        <w:t>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26" w:lineRule="exact"/>
        <w:rPr>
          <w:sz w:val="20"/>
          <w:szCs w:val="20"/>
          <w:color w:val="auto"/>
        </w:rPr>
      </w:pPr>
    </w:p>
    <w:p>
      <w:pPr>
        <w:jc w:val="both"/>
        <w:ind w:firstLine="498"/>
        <w:spacing w:after="0" w:line="257" w:lineRule="auto"/>
        <w:tabs>
          <w:tab w:leader="none" w:pos="785"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Healthcare Laws</w:t>
      </w:r>
      <w:r>
        <w:rPr>
          <w:rFonts w:ascii="Times New Roman" w:cs="Times New Roman" w:eastAsia="Times New Roman" w:hAnsi="Times New Roman"/>
          <w:sz w:val="15"/>
          <w:szCs w:val="15"/>
          <w:color w:val="auto"/>
        </w:rPr>
        <w:t>. The Company and each of its Subsidiaries have operated since the Merger Date, and, to the Company’s knowledge, prior to the Merger Date, and currently are in material compliance with all applicable Health Care Laws. “</w:t>
      </w:r>
      <w:r>
        <w:rPr>
          <w:rFonts w:ascii="Times New Roman" w:cs="Times New Roman" w:eastAsia="Times New Roman" w:hAnsi="Times New Roman"/>
          <w:sz w:val="15"/>
          <w:szCs w:val="15"/>
          <w:b w:val="1"/>
          <w:bCs w:val="1"/>
          <w:u w:val="single" w:color="auto"/>
          <w:color w:val="auto"/>
        </w:rPr>
        <w:t>Health Care Laws</w:t>
      </w:r>
      <w:r>
        <w:rPr>
          <w:rFonts w:ascii="Times New Roman" w:cs="Times New Roman" w:eastAsia="Times New Roman" w:hAnsi="Times New Roman"/>
          <w:sz w:val="15"/>
          <w:szCs w:val="15"/>
          <w:color w:val="auto"/>
        </w:rPr>
        <w:t>” means health care laws, rules, regulations, accreditations and ethical standards, including, without limitation, (i) the Federal, Food, Drug, and Cosmetic Act (21 U.S.C. § 301 et seq.); (ii) the Public Health Service Act (42 U.S.C. § 201 et seq.); (iii) all applicable rules and regulations of the U.S. Food and Drug Administration (“</w:t>
      </w:r>
      <w:r>
        <w:rPr>
          <w:rFonts w:ascii="Times New Roman" w:cs="Times New Roman" w:eastAsia="Times New Roman" w:hAnsi="Times New Roman"/>
          <w:sz w:val="15"/>
          <w:szCs w:val="15"/>
          <w:b w:val="1"/>
          <w:bCs w:val="1"/>
          <w:u w:val="single" w:color="auto"/>
          <w:color w:val="auto"/>
        </w:rPr>
        <w:t>FDA</w:t>
      </w:r>
      <w:r>
        <w:rPr>
          <w:rFonts w:ascii="Times New Roman" w:cs="Times New Roman" w:eastAsia="Times New Roman" w:hAnsi="Times New Roman"/>
          <w:sz w:val="15"/>
          <w:szCs w:val="15"/>
          <w:color w:val="auto"/>
        </w:rPr>
        <w:t>”), including, to the extent applicable, those requirements relating to investigational use, premarket notification and premarket approval, establishment registration, complaint handling, reporting of corrections and removals, and FDA’s Quality System Regulation at 21 C.F.R. Part 820;</w:t>
      </w:r>
    </w:p>
    <w:p>
      <w:pPr>
        <w:ind w:left="260" w:hanging="257"/>
        <w:spacing w:after="0"/>
        <w:tabs>
          <w:tab w:leader="none" w:pos="26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applicable laws governing licensure, accreditation, certification and operation of clinical laboratories and the performance of laboratory-developed tests, including but not limited</w:t>
      </w:r>
    </w:p>
    <w:p>
      <w:pPr>
        <w:spacing w:after="0" w:line="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to the U.S. Clinical Laboratory Improvement Amendments of 1988, 42 U.S.C. § 263a, and its implemental regulations at 42 C.F.R. Part 493, and state laws governing the operation of clinical laboratories; (v) all applicable federal, state, local and all applicable foreign healthcare related fraud and abuse laws, including, without limitation, the federal Anti-kickback Statute (42 U.S.C. § 1320a-7b(b)), the federal Ethics in Patient Referrals or the “Stark Law” (42 U.S.C. §1395nn), the U.S. Physician Payments Sunshine Act (42 U.S.C. § 1320a-7h), as well as any corollary state statutes governing disclosure of payments by manufacturers or suppliers to healthcare professionals, the Eliminating Kickbacks in Recovery Act (18 U.S.C. §220),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HIPAA, the exclusion laws (42 U.S.C. § 1320a-7), and the civil monetary penalties law (42 U.S.C. § 1320a-7a); (vi) and any other applicable federal or corollary state laws pertaining to the privacy and security of patient information, including laws pertaining to the protection of genetic data or biospecimens; (vii) the Medicare program (Title XVIII of the Social Security Act, including the amendments implemented by the Medicare Prescription Drug, Improvement, and Modernization Act of 2003 and the Medicare Improvements for Patients and Providers Act of 2008), (viii) the Medicaid program (Title XIX of the Social Security Act), (ix) the Patient Protection and Affordable Care Act (Pub. L. 111-148) as amended by the Health Care and Education Reconciliation Act of 2010 (Pub. L. 111-152), (x) laws applicable to clinical research, including but not limited to the federal Policy for Protection of Human Subjects (42 C.F.R. Part 46), the FDCA and its applicable implementing regulations at 21 C.F.R. Parts 50, 54, 56, 58 and 312, the United States Animal Welfare Act,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 in which the Company operates; and (xi) all applicable federal or state laws pertaining to genetic counseling and telehealth services (including but not limited to federal and state licensure requirements and informed consent requirements), in each case for clauses (i)-(xi), to the extent applicable to the Company, if at all. Since the Merger Date, and, to the Company’s knowledge, prior to the Merger Date, the Company and each of its Subsidiaries have timely filed all material reports, applications, statements, documents, registrations, filings, corrections, updates, amendments, supplements, and submissions required to be filed by them under applicable Health Care Laws. Since the Merger Date, and, to the Company’s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- 15 -</w:t>
      </w:r>
    </w:p>
    <w:p>
      <w:pPr>
        <w:sectPr>
          <w:pgSz w:w="11900" w:h="16838" w:orient="portrait"/>
          <w:cols w:equalWidth="0" w:num="1">
            <w:col w:w="11280"/>
          </w:cols>
          <w:pgMar w:left="300" w:top="1114" w:right="319" w:bottom="1440" w:gutter="0" w:footer="0" w:header="0"/>
        </w:sectPr>
      </w:pPr>
    </w:p>
    <w:bookmarkStart w:id="69" w:name="page70"/>
    <w:bookmarkEnd w:id="69"/>
    <w:p>
      <w:pPr>
        <w:jc w:val="both"/>
        <w:spacing w:after="0" w:line="255" w:lineRule="auto"/>
        <w:rPr>
          <w:sz w:val="20"/>
          <w:szCs w:val="20"/>
          <w:color w:val="auto"/>
        </w:rPr>
      </w:pPr>
      <w:r>
        <w:rPr>
          <w:rFonts w:ascii="Times New Roman" w:cs="Times New Roman" w:eastAsia="Times New Roman" w:hAnsi="Times New Roman"/>
          <w:sz w:val="15"/>
          <w:szCs w:val="15"/>
          <w:color w:val="auto"/>
        </w:rPr>
        <w:t>prior to the Merger Date, each such filing was true and correct in all material respects as of the date of submission, or was corrected in or supplemented by a subsequent filing, and any material and legally necessary or required updates, changes, corrections, amendments, supplements, or modifications to such filings have been submitted to the applicable governmental or regulatory authorities. The Company maintains an operational healthcare compliance program that governs all employees and contractors and is consistent with guidance by the U.S. Department of Health and Human Services Office of Inspector General for effective compliance programs. The Company and its Subsidiaries further operates in material compliance with such healthcare compliance program. Since the Merger Date, and, to the Company’s knowledge, prior to the Merger Date, the Company and each of its Subsidiaries have not received written notice or other correspondence of any claim, action, suit, audit, or survey finding, proceeding, hearing, enforcement, investigation, arbitration or other action (“</w:t>
      </w:r>
      <w:r>
        <w:rPr>
          <w:rFonts w:ascii="Times New Roman" w:cs="Times New Roman" w:eastAsia="Times New Roman" w:hAnsi="Times New Roman"/>
          <w:sz w:val="15"/>
          <w:szCs w:val="15"/>
          <w:b w:val="1"/>
          <w:bCs w:val="1"/>
          <w:u w:val="single" w:color="auto"/>
          <w:color w:val="auto"/>
        </w:rPr>
        <w:t>Health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Care Action</w:t>
      </w:r>
      <w:r>
        <w:rPr>
          <w:rFonts w:ascii="Times New Roman" w:cs="Times New Roman" w:eastAsia="Times New Roman" w:hAnsi="Times New Roman"/>
          <w:sz w:val="15"/>
          <w:szCs w:val="15"/>
          <w:color w:val="auto"/>
        </w:rPr>
        <w:t>”) from any court or arbitrator or governmental or regulatory authority or third party alleging that any of their product, operation or activity is in material violation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Health Care Laws, and, to the Company’s knowledge, no such Health Care Action is threatened. Neither the Company nor any of its Subsidiaries are a party to or have any ongoing reporting obligations pursuant to any corporate integrity agreement, deferred prosecution agreement, monitoring agreement, consent decree, settlement order, plan of correction or similar agreement imposed by any governmental or regulatory authority. Since the Merger Date, and, to the Company’s knowledge, prior to the Merger Date, neither the Company nor any of its Subsidiaries have received any FDA Form 483, notice of adverse finding, warning letter, untitled letter or other correspondence or notice from the FDA or any other governmental or regulatory authority alleging or asserting any material noncompliance with any Health Care Laws. Additionally, (i) since the Merger Date, and, to the Company’s knowledge, prior to the Merger Date, neither the Company nor any of its Subsidiaries has, and (ii) to the Company’s knowledge, none of its employees, officers or directors has, been excluded, suspended or debarred from participation in any U.S. state or federal health care program or human clinical research. To the Company’s knowledge, none of the Company, any of its Subsidiaries, or any of its employees, officers or directors, is subject to a governmental inquiry, investigation, proceeding, or other similar action that could reasonably be expected to result in debarment, suspension, or exclusion.</w:t>
      </w:r>
    </w:p>
    <w:p>
      <w:pPr>
        <w:spacing w:after="0" w:line="144" w:lineRule="exact"/>
        <w:rPr>
          <w:sz w:val="20"/>
          <w:szCs w:val="20"/>
          <w:color w:val="auto"/>
        </w:rPr>
      </w:pPr>
    </w:p>
    <w:p>
      <w:pPr>
        <w:jc w:val="both"/>
        <w:ind w:firstLine="498"/>
        <w:spacing w:after="0" w:line="257" w:lineRule="auto"/>
        <w:tabs>
          <w:tab w:leader="none" w:pos="78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Studies and Tests</w:t>
      </w:r>
      <w:r>
        <w:rPr>
          <w:rFonts w:ascii="Times New Roman" w:cs="Times New Roman" w:eastAsia="Times New Roman" w:hAnsi="Times New Roman"/>
          <w:sz w:val="15"/>
          <w:szCs w:val="15"/>
          <w:color w:val="auto"/>
        </w:rPr>
        <w:t>. Since the Merger Date, and, to the Company’s knowledge, prior to the Merger Date, the studies and tests conducted by or, to the Company’s knowledge, on behalf of the Company, were and, if still ongoing, are being conducted in all material respects in accordance with all permits and applicable laws, including, without limitation, the Federal Food, Drug, and Cosmetic Act and the rules and regulations promulgated thereunder; the descriptions, if any, of the results of such studies and tests contained in the Registration Statement and the Prospectus are, to the Company’s knowledge, accurate in all material respects and fairly present, in all material aspects, the data derived from such studies and tests; the Company is not aware of any studies or tests,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the Company has not received any written notices or correspondence from the FDA or any governmental entity requiring the termination or suspension of any studies or tests conducted by or on behalf of the Company, other than ordinary course communications with respect to modifications in connection with the design and implementation of such studies or tests.</w:t>
      </w:r>
    </w:p>
    <w:p>
      <w:pPr>
        <w:spacing w:after="0" w:line="132" w:lineRule="exact"/>
        <w:rPr>
          <w:rFonts w:ascii="Times New Roman" w:cs="Times New Roman" w:eastAsia="Times New Roman" w:hAnsi="Times New Roman"/>
          <w:sz w:val="15"/>
          <w:szCs w:val="15"/>
          <w:color w:val="auto"/>
        </w:rPr>
      </w:pPr>
    </w:p>
    <w:p>
      <w:pPr>
        <w:jc w:val="both"/>
        <w:ind w:firstLine="498"/>
        <w:spacing w:after="0" w:line="268" w:lineRule="auto"/>
        <w:tabs>
          <w:tab w:leader="none" w:pos="78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 Balance Sheet Arrangements</w:t>
      </w:r>
      <w:r>
        <w:rPr>
          <w:rFonts w:ascii="Times New Roman" w:cs="Times New Roman" w:eastAsia="Times New Roman" w:hAnsi="Times New Roman"/>
          <w:sz w:val="15"/>
          <w:szCs w:val="15"/>
          <w:color w:val="auto"/>
        </w:rPr>
        <w:t>. There is no transaction, arrangement, or other relationship between the Company (or any Subsidiary) and an unconsolidated or other off balance sheet entity that is required to be disclosed by the Company in the Company’s reports filed with the Commission and is not so disclosed and would have or reasonably be expected to result in a Material Adverse Change.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4"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ectPr>
          <w:pgSz w:w="11900" w:h="16838" w:orient="portrait"/>
          <w:cols w:equalWidth="0" w:num="1">
            <w:col w:w="11280"/>
          </w:cols>
          <w:pgMar w:left="300" w:top="1114" w:right="319" w:bottom="1440" w:gutter="0" w:footer="0" w:header="0"/>
        </w:sectPr>
      </w:pPr>
    </w:p>
    <w:bookmarkStart w:id="70" w:name="page71"/>
    <w:bookmarkEnd w:id="70"/>
    <w:p>
      <w:pPr>
        <w:ind w:left="740" w:hanging="242"/>
        <w:spacing w:after="0"/>
        <w:tabs>
          <w:tab w:leader="none" w:pos="7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At The Market Sales Agreements</w:t>
      </w:r>
      <w:r>
        <w:rPr>
          <w:rFonts w:ascii="Times New Roman" w:cs="Times New Roman" w:eastAsia="Times New Roman" w:hAnsi="Times New Roman"/>
          <w:sz w:val="15"/>
          <w:szCs w:val="15"/>
          <w:color w:val="auto"/>
        </w:rPr>
        <w:t>. The Company is not a party to any agreement with an agent or underwriter for any other “at the market” offering.</w:t>
      </w:r>
    </w:p>
    <w:p>
      <w:pPr>
        <w:spacing w:after="0" w:line="178" w:lineRule="exact"/>
        <w:rPr>
          <w:rFonts w:ascii="Times New Roman" w:cs="Times New Roman" w:eastAsia="Times New Roman" w:hAnsi="Times New Roman"/>
          <w:sz w:val="15"/>
          <w:szCs w:val="15"/>
          <w:color w:val="auto"/>
        </w:rPr>
      </w:pPr>
    </w:p>
    <w:p>
      <w:pPr>
        <w:ind w:firstLine="498"/>
        <w:spacing w:after="0" w:line="278" w:lineRule="auto"/>
        <w:tabs>
          <w:tab w:leader="none" w:pos="762"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Actively-Traded Security</w:t>
      </w:r>
      <w:r>
        <w:rPr>
          <w:rFonts w:ascii="Times New Roman" w:cs="Times New Roman" w:eastAsia="Times New Roman" w:hAnsi="Times New Roman"/>
          <w:sz w:val="15"/>
          <w:szCs w:val="15"/>
          <w:color w:val="auto"/>
        </w:rPr>
        <w:t>. The Common Stock is an “actively-traded security” exempted from the requirements of Rule 101 of Regulation M under the Exchange Act by subsection (c)(1) of such rule.</w:t>
      </w:r>
    </w:p>
    <w:p>
      <w:pPr>
        <w:spacing w:after="0" w:line="126" w:lineRule="exact"/>
        <w:rPr>
          <w:rFonts w:ascii="Times New Roman" w:cs="Times New Roman" w:eastAsia="Times New Roman" w:hAnsi="Times New Roman"/>
          <w:sz w:val="15"/>
          <w:szCs w:val="15"/>
          <w:color w:val="auto"/>
        </w:rPr>
      </w:pPr>
    </w:p>
    <w:p>
      <w:pPr>
        <w:jc w:val="both"/>
        <w:ind w:firstLine="498"/>
        <w:spacing w:after="0" w:line="259" w:lineRule="auto"/>
        <w:tabs>
          <w:tab w:leader="none" w:pos="72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Outbound Investment Security Program</w:t>
      </w:r>
      <w:r>
        <w:rPr>
          <w:rFonts w:ascii="Times New Roman" w:cs="Times New Roman" w:eastAsia="Times New Roman" w:hAnsi="Times New Roman"/>
          <w:sz w:val="15"/>
          <w:szCs w:val="15"/>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5"/>
          <w:szCs w:val="15"/>
          <w:b w:val="1"/>
          <w:bCs w:val="1"/>
          <w:u w:val="single" w:color="auto"/>
          <w:color w:val="auto"/>
        </w:rPr>
        <w:t>Covered Activity</w:t>
      </w:r>
      <w:r>
        <w:rPr>
          <w:rFonts w:ascii="Times New Roman" w:cs="Times New Roman" w:eastAsia="Times New Roman" w:hAnsi="Times New Roman"/>
          <w:sz w:val="15"/>
          <w:szCs w:val="15"/>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 or plan to engage in any Covered Activity.</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Any certificate signed by an officer of the Company and delivered to TD Cowen or to counsel for TD Cowen pursuant to or in connection with this Agreement shall be deemed to be a representation by the Company to TD Cowen as to the matters set forth therein.</w:t>
      </w:r>
    </w:p>
    <w:p>
      <w:pPr>
        <w:spacing w:after="0" w:line="1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5"/>
          <w:szCs w:val="15"/>
          <w:color w:val="auto"/>
        </w:rPr>
        <w:t xml:space="preserve">The Company acknowledges that TD Cowen and, for purposes of the opinions to be delivered pursuant to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hereof, counsel to the Company and counsel to TD Cowen, will rely upon the accuracy and truthfulness of the foregoing representations and hereby consents to such reliance.</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7. </w:t>
      </w:r>
      <w:r>
        <w:rPr>
          <w:rFonts w:ascii="Times New Roman" w:cs="Times New Roman" w:eastAsia="Times New Roman" w:hAnsi="Times New Roman"/>
          <w:sz w:val="15"/>
          <w:szCs w:val="15"/>
          <w:u w:val="single" w:color="auto"/>
          <w:color w:val="auto"/>
        </w:rPr>
        <w:t>Covenants of the Company</w:t>
      </w:r>
      <w:r>
        <w:rPr>
          <w:rFonts w:ascii="Times New Roman" w:cs="Times New Roman" w:eastAsia="Times New Roman" w:hAnsi="Times New Roman"/>
          <w:sz w:val="15"/>
          <w:szCs w:val="15"/>
          <w:color w:val="auto"/>
        </w:rPr>
        <w:t>. The Company covenants and agrees with TD Cowen that:</w:t>
      </w:r>
    </w:p>
    <w:p>
      <w:pPr>
        <w:spacing w:after="0" w:line="178" w:lineRule="exact"/>
        <w:rPr>
          <w:sz w:val="20"/>
          <w:szCs w:val="20"/>
          <w:color w:val="auto"/>
        </w:rPr>
      </w:pPr>
    </w:p>
    <w:p>
      <w:pPr>
        <w:jc w:val="both"/>
        <w:ind w:firstLine="498"/>
        <w:spacing w:after="0" w:line="254" w:lineRule="auto"/>
        <w:tabs>
          <w:tab w:leader="none" w:pos="722"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 Amendments</w:t>
      </w:r>
      <w:r>
        <w:rPr>
          <w:rFonts w:ascii="Times New Roman" w:cs="Times New Roman" w:eastAsia="Times New Roman" w:hAnsi="Times New Roman"/>
          <w:sz w:val="15"/>
          <w:szCs w:val="15"/>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or amendments not related to the transactions contemplated hereby, has been filed with the Commission and/or has become effective or any subsequent supplement to the Prospectus, other than documents incorporated by reference, has been filed and of any request by the Commission for any amendment or supplement to the Registration Statement or Prospectus or for additional information (in each case, insofar as it relates to the transactions contemplated hereby),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(x) the failure of TD Cowen to make such request shall not relieve the Company of any obligation or liability hereunder, or affect TD Cowen’s right to rely on the representations and warranties made by the Company in this Agreement and (y) the only remedy TD Cowen shall have with respect to the failure by the Company to make such filings (other than TD Cowen’s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(A) the failure of TD Cowen to make such objection shall not relieve the Company of any obligation or liability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1"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ectPr>
          <w:pgSz w:w="11900" w:h="16838" w:orient="portrait"/>
          <w:cols w:equalWidth="0" w:num="1">
            <w:col w:w="11280"/>
          </w:cols>
          <w:pgMar w:left="300" w:top="1114" w:right="319" w:bottom="1440" w:gutter="0" w:footer="0" w:header="0"/>
        </w:sectPr>
      </w:pPr>
    </w:p>
    <w:bookmarkStart w:id="71" w:name="page72"/>
    <w:bookmarkEnd w:id="71"/>
    <w:p>
      <w:pPr>
        <w:spacing w:after="0" w:line="262" w:lineRule="auto"/>
        <w:rPr>
          <w:sz w:val="20"/>
          <w:szCs w:val="20"/>
          <w:color w:val="auto"/>
        </w:rPr>
      </w:pPr>
      <w:r>
        <w:rPr>
          <w:rFonts w:ascii="Times New Roman" w:cs="Times New Roman" w:eastAsia="Times New Roman" w:hAnsi="Times New Roman"/>
          <w:sz w:val="15"/>
          <w:szCs w:val="15"/>
          <w:color w:val="auto"/>
        </w:rPr>
        <w:t>hereunder, or affect TD Cowen’s right to rely on the representations and warranties made by the Company in this Agreement, (B) the Company has no obligation to provide TD Cowen any advance copy of such filing or to provide TD Cowen an opportunity to object to such filing if the filing does not name TD Cowen and does not relate to the transaction herein and</w:t>
      </w:r>
    </w:p>
    <w:p>
      <w:pPr>
        <w:spacing w:after="0" w:line="1" w:lineRule="exact"/>
        <w:rPr>
          <w:sz w:val="20"/>
          <w:szCs w:val="20"/>
          <w:color w:val="auto"/>
        </w:rPr>
      </w:pPr>
    </w:p>
    <w:p>
      <w:pPr>
        <w:jc w:val="both"/>
        <w:ind w:firstLine="3"/>
        <w:spacing w:after="0" w:line="255" w:lineRule="auto"/>
        <w:tabs>
          <w:tab w:leader="none" w:pos="245"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only remedy TD Cowen shall have with respect to the failure by the Company to provide TD Cowen with such copy or the filing of such amendment or supplement despite TD Cowen’s objection (other than TD Cowen’s rights under Section 9 hereof) shall be to cease making sales under this Agreement until such amendment or supplement is filed)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the Prospectus Supplement pursuant to Rule 424(b) relating to the Placement Shares.</w:t>
      </w:r>
    </w:p>
    <w:p>
      <w:pPr>
        <w:spacing w:after="0" w:line="135" w:lineRule="exact"/>
        <w:rPr>
          <w:rFonts w:ascii="Times New Roman" w:cs="Times New Roman" w:eastAsia="Times New Roman" w:hAnsi="Times New Roman"/>
          <w:sz w:val="15"/>
          <w:szCs w:val="15"/>
          <w:color w:val="auto"/>
        </w:rPr>
      </w:pPr>
    </w:p>
    <w:p>
      <w:pPr>
        <w:jc w:val="both"/>
        <w:ind w:firstLine="498"/>
        <w:spacing w:after="0" w:line="265" w:lineRule="auto"/>
        <w:tabs>
          <w:tab w:leader="none" w:pos="720"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Commission Stop Orders</w:t>
      </w:r>
      <w:r>
        <w:rPr>
          <w:rFonts w:ascii="Times New Roman" w:cs="Times New Roman" w:eastAsia="Times New Roman" w:hAnsi="Times New Roman"/>
          <w:sz w:val="15"/>
          <w:szCs w:val="15"/>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36" w:lineRule="exact"/>
        <w:rPr>
          <w:rFonts w:ascii="Times New Roman" w:cs="Times New Roman" w:eastAsia="Times New Roman" w:hAnsi="Times New Roman"/>
          <w:sz w:val="15"/>
          <w:szCs w:val="15"/>
          <w:color w:val="auto"/>
        </w:rPr>
      </w:pPr>
    </w:p>
    <w:p>
      <w:pPr>
        <w:jc w:val="both"/>
        <w:ind w:firstLine="498"/>
        <w:spacing w:after="0" w:line="255" w:lineRule="auto"/>
        <w:tabs>
          <w:tab w:leader="none" w:pos="701"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Prospectus; Subsequent Changes</w:t>
      </w:r>
      <w:r>
        <w:rPr>
          <w:rFonts w:ascii="Times New Roman" w:cs="Times New Roman" w:eastAsia="Times New Roman" w:hAnsi="Times New Roman"/>
          <w:sz w:val="15"/>
          <w:szCs w:val="15"/>
          <w:color w:val="auto"/>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best reasonable efforts to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may delay the filing of any amendment or supplement if, in the judgment of the Company, it is in the its best interests to do so.</w:t>
      </w:r>
    </w:p>
    <w:p>
      <w:pPr>
        <w:spacing w:after="0" w:line="149" w:lineRule="exact"/>
        <w:rPr>
          <w:rFonts w:ascii="Times New Roman" w:cs="Times New Roman" w:eastAsia="Times New Roman" w:hAnsi="Times New Roman"/>
          <w:sz w:val="15"/>
          <w:szCs w:val="15"/>
          <w:color w:val="auto"/>
        </w:rPr>
      </w:pPr>
    </w:p>
    <w:p>
      <w:pPr>
        <w:jc w:val="both"/>
        <w:ind w:firstLine="498"/>
        <w:spacing w:after="0" w:line="268" w:lineRule="auto"/>
        <w:tabs>
          <w:tab w:leader="none" w:pos="710"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Listing of Placement Shares</w:t>
      </w:r>
      <w:r>
        <w:rPr>
          <w:rFonts w:ascii="Times New Roman" w:cs="Times New Roman" w:eastAsia="Times New Roman" w:hAnsi="Times New Roman"/>
          <w:sz w:val="15"/>
          <w:szCs w:val="15"/>
          <w:color w:val="auto"/>
        </w:rPr>
        <w:t>.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3"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ectPr>
          <w:pgSz w:w="11900" w:h="16838" w:orient="portrait"/>
          <w:cols w:equalWidth="0" w:num="1">
            <w:col w:w="11280"/>
          </w:cols>
          <w:pgMar w:left="300" w:top="1114" w:right="319" w:bottom="1440" w:gutter="0" w:footer="0" w:header="0"/>
        </w:sectPr>
      </w:pPr>
    </w:p>
    <w:bookmarkStart w:id="72" w:name="page73"/>
    <w:bookmarkEnd w:id="72"/>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the Company shall not be required in connection therewith to qualify as a foreign corporation or dealer in securities or file a general consent to service of process in any jurisdiction or be subject to taxation as a foreign corporation in any jurisdiction.</w:t>
      </w:r>
    </w:p>
    <w:p>
      <w:pPr>
        <w:spacing w:after="0" w:line="134" w:lineRule="exact"/>
        <w:rPr>
          <w:sz w:val="20"/>
          <w:szCs w:val="20"/>
          <w:color w:val="auto"/>
        </w:rPr>
      </w:pPr>
    </w:p>
    <w:p>
      <w:pPr>
        <w:jc w:val="both"/>
        <w:ind w:firstLine="498"/>
        <w:spacing w:after="0" w:line="259" w:lineRule="auto"/>
        <w:tabs>
          <w:tab w:leader="none" w:pos="711"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Registration Statement and Prospectus</w:t>
      </w:r>
      <w:r>
        <w:rPr>
          <w:rFonts w:ascii="Times New Roman" w:cs="Times New Roman" w:eastAsia="Times New Roman" w:hAnsi="Times New Roman"/>
          <w:sz w:val="15"/>
          <w:szCs w:val="15"/>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the Company shall not be required to furnish any document (other than the Prospectus) to TD Cowen to the extent such document is available on EDGAR.</w:t>
      </w:r>
    </w:p>
    <w:p>
      <w:pPr>
        <w:spacing w:after="0" w:line="132" w:lineRule="exact"/>
        <w:rPr>
          <w:rFonts w:ascii="Times New Roman" w:cs="Times New Roman" w:eastAsia="Times New Roman" w:hAnsi="Times New Roman"/>
          <w:sz w:val="15"/>
          <w:szCs w:val="15"/>
          <w:color w:val="auto"/>
        </w:rPr>
      </w:pPr>
    </w:p>
    <w:p>
      <w:pPr>
        <w:jc w:val="both"/>
        <w:ind w:firstLine="498"/>
        <w:spacing w:after="0" w:line="275" w:lineRule="auto"/>
        <w:tabs>
          <w:tab w:leader="none" w:pos="68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Earnings Statement</w:t>
      </w:r>
      <w:r>
        <w:rPr>
          <w:rFonts w:ascii="Times New Roman" w:cs="Times New Roman" w:eastAsia="Times New Roman" w:hAnsi="Times New Roman"/>
          <w:sz w:val="15"/>
          <w:szCs w:val="15"/>
          <w:color w:val="auto"/>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will be deemed to have furnished any such statement to its security holders to the extent it is filed on EDGAR.</w:t>
      </w:r>
    </w:p>
    <w:p>
      <w:pPr>
        <w:spacing w:after="0" w:line="119" w:lineRule="exact"/>
        <w:rPr>
          <w:rFonts w:ascii="Times New Roman" w:cs="Times New Roman" w:eastAsia="Times New Roman" w:hAnsi="Times New Roman"/>
          <w:sz w:val="15"/>
          <w:szCs w:val="15"/>
          <w:color w:val="auto"/>
        </w:rPr>
      </w:pPr>
    </w:p>
    <w:p>
      <w:pPr>
        <w:jc w:val="both"/>
        <w:ind w:firstLine="498"/>
        <w:spacing w:after="0" w:line="258" w:lineRule="auto"/>
        <w:tabs>
          <w:tab w:leader="none" w:pos="7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Expenses</w:t>
      </w:r>
      <w:r>
        <w:rPr>
          <w:rFonts w:ascii="Times New Roman" w:cs="Times New Roman" w:eastAsia="Times New Roman" w:hAnsi="Times New Roman"/>
          <w:sz w:val="15"/>
          <w:szCs w:val="15"/>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15"/>
          <w:szCs w:val="15"/>
          <w:u w:val="single" w:color="auto"/>
          <w:color w:val="auto"/>
        </w:rPr>
        <w:t>Section 7(d)</w:t>
      </w:r>
      <w:r>
        <w:rPr>
          <w:rFonts w:ascii="Times New Roman" w:cs="Times New Roman" w:eastAsia="Times New Roman" w:hAnsi="Times New Roman"/>
          <w:sz w:val="15"/>
          <w:szCs w:val="15"/>
          <w:color w:val="auto"/>
        </w:rPr>
        <w:t xml:space="preserve"> of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including filing fees (provided, however, that any fees or disbursements of counsel for TD Cowen in connection therewith shall be paid by TD Cowen except as set forth in (vii) below),</w:t>
      </w:r>
    </w:p>
    <w:p>
      <w:pPr>
        <w:spacing w:after="0" w:line="8" w:lineRule="exact"/>
        <w:rPr>
          <w:sz w:val="20"/>
          <w:szCs w:val="20"/>
          <w:color w:val="auto"/>
        </w:rPr>
      </w:pPr>
    </w:p>
    <w:p>
      <w:pPr>
        <w:jc w:val="both"/>
        <w:ind w:firstLine="3"/>
        <w:spacing w:after="0" w:line="255" w:lineRule="auto"/>
        <w:tabs>
          <w:tab w:leader="none" w:pos="275"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(vii) up to $20,000 for the term of this Agreement for the reasonable and documented fees and disbursements of TD Cowen’s outside counsel for determining the compliance of the terms of the sale of Placement Shares with the rules of FINRA and the filing fees incident to any required filing with FINRA, (viii) the reasonable and documented fees and disbursements of TD Cowen’s outside counsel in connection with the execution of this Agreement, in an amount not to exceed $100,000 (exclusive of the amount set forth in clause (vii)) and (ix) the reasonable and documented fees and disbursements of TD Cowen’s outside counsel in connection with each Bring-Down Date (as defined below) on which the Company is required to provide a certificate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in an amount not to exceed $25,000 (exclusive of the amount set forth in clause (vii).</w:t>
      </w:r>
    </w:p>
    <w:p>
      <w:pPr>
        <w:spacing w:after="0" w:line="135" w:lineRule="exact"/>
        <w:rPr>
          <w:rFonts w:ascii="Times New Roman" w:cs="Times New Roman" w:eastAsia="Times New Roman" w:hAnsi="Times New Roman"/>
          <w:sz w:val="15"/>
          <w:szCs w:val="15"/>
          <w:color w:val="auto"/>
        </w:rPr>
      </w:pPr>
    </w:p>
    <w:p>
      <w:pPr>
        <w:ind w:left="720" w:hanging="222"/>
        <w:spacing w:after="0"/>
        <w:tabs>
          <w:tab w:leader="none" w:pos="72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Use of Proceeds</w:t>
      </w:r>
      <w:r>
        <w:rPr>
          <w:rFonts w:ascii="Times New Roman" w:cs="Times New Roman" w:eastAsia="Times New Roman" w:hAnsi="Times New Roman"/>
          <w:sz w:val="15"/>
          <w:szCs w:val="15"/>
          <w:color w:val="auto"/>
        </w:rPr>
        <w:t>. The Company will use the Net Proceeds as described in the Prospectus in the section entitled “Use of Proceeds.”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8"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2"/>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w:t>
      </w:r>
    </w:p>
    <w:p>
      <w:pPr>
        <w:sectPr>
          <w:pgSz w:w="11900" w:h="16838" w:orient="portrait"/>
          <w:cols w:equalWidth="0" w:num="1">
            <w:col w:w="11280"/>
          </w:cols>
          <w:pgMar w:left="300" w:top="1114" w:right="319" w:bottom="1440" w:gutter="0" w:footer="0" w:header="0"/>
        </w:sectPr>
      </w:pPr>
    </w:p>
    <w:bookmarkStart w:id="73" w:name="page74"/>
    <w:bookmarkEnd w:id="73"/>
    <w:p>
      <w:pPr>
        <w:jc w:val="both"/>
        <w:ind w:left="-498" w:firstLine="498"/>
        <w:spacing w:after="0" w:line="256" w:lineRule="auto"/>
        <w:tabs>
          <w:tab w:leader="none" w:pos="17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Other Sales</w:t>
      </w:r>
      <w:r>
        <w:rPr>
          <w:rFonts w:ascii="Times New Roman" w:cs="Times New Roman" w:eastAsia="Times New Roman" w:hAnsi="Times New Roman"/>
          <w:sz w:val="15"/>
          <w:szCs w:val="15"/>
          <w:color w:val="auto"/>
        </w:rPr>
        <w:t xml:space="preserve">. During the pendency of any Placement Notice given hereunder, and for two (2)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such notice shall not be required in connection with the (i) issuance, grant or sale of Common Stock, options to purchase shares of Common Stock, restricted stock units, stock awards, warrants, rights or other equity awards or Common Stock issuable upon the exercise, conversion, settlement, exchange, redemption or vesting of options, restricted stock units, stock awards, warrants, rights or other equity awards pursuant to any stock option, stock bonus or other equity incentive or stock purchase plan or arrangement described in the Prospectus or pursuant to any inducement awards in accordance with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or sale of any shares of Common Stock issuable upon the exchange, conversion or redemption of securities or the exercise of warrants, options or other rights in effect or outstanding or (v) the issuance or sale of Common Stock, or securities convertible into or exercisable for Common Stock offered and sold in a private placement transaction to vendors, customers, strategic partners or potential strategic partners if the primary purpose is not a capital raising transaction and is otherwise conducted in a manner so as not to be integrated with the offering of the shares of Common Stock hereby.</w:t>
      </w:r>
    </w:p>
    <w:p>
      <w:pPr>
        <w:spacing w:after="0" w:line="135"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17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of Circumstances</w:t>
      </w:r>
      <w:r>
        <w:rPr>
          <w:rFonts w:ascii="Times New Roman" w:cs="Times New Roman" w:eastAsia="Times New Roman" w:hAnsi="Times New Roman"/>
          <w:sz w:val="15"/>
          <w:szCs w:val="15"/>
          <w:color w:val="auto"/>
        </w:rPr>
        <w:t>. The Company will, at any time during the pendency of a Placement Notice or sale of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212"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Diligence Cooperation</w:t>
      </w:r>
      <w:r>
        <w:rPr>
          <w:rFonts w:ascii="Times New Roman" w:cs="Times New Roman" w:eastAsia="Times New Roman" w:hAnsi="Times New Roman"/>
          <w:sz w:val="15"/>
          <w:szCs w:val="15"/>
          <w:color w:val="auto"/>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59" w:lineRule="auto"/>
        <w:tabs>
          <w:tab w:leader="none" w:pos="17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Required Filings Relating to Placement of Placement Shares</w:t>
      </w:r>
      <w:r>
        <w:rPr>
          <w:rFonts w:ascii="Times New Roman" w:cs="Times New Roman" w:eastAsia="Times New Roman" w:hAnsi="Times New Roman"/>
          <w:sz w:val="15"/>
          <w:szCs w:val="15"/>
          <w:color w:val="auto"/>
        </w:rPr>
        <w:t>. The Company agrees that on or prior to such dates as the Securities Act shall require, the Company will (i) file a prospectus supplement with the Commission under the applicable paragraph of Rule 424(b) under the Securities Act,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spacing w:after="0" w:line="132"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26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Bring-Down Dates; Certificate</w:t>
      </w:r>
      <w:r>
        <w:rPr>
          <w:rFonts w:ascii="Times New Roman" w:cs="Times New Roman" w:eastAsia="Times New Roman" w:hAnsi="Times New Roman"/>
          <w:sz w:val="15"/>
          <w:szCs w:val="15"/>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of this Agreement) by means of a post-effective amendment, sticker, or supplement but not by means of incorporation of document(s) by reference to the Registration Statement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4" w:lineRule="exact"/>
        <w:rPr>
          <w:rFonts w:ascii="Times New Roman" w:cs="Times New Roman" w:eastAsia="Times New Roman" w:hAnsi="Times New Roman"/>
          <w:sz w:val="15"/>
          <w:szCs w:val="15"/>
          <w:color w:val="auto"/>
        </w:rPr>
      </w:pPr>
    </w:p>
    <w:p>
      <w:pPr>
        <w:ind w:left="5082" w:hanging="85"/>
        <w:spacing w:after="0"/>
        <w:tabs>
          <w:tab w:leader="none" w:pos="5082"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ectPr>
          <w:pgSz w:w="11900" w:h="16838" w:orient="portrait"/>
          <w:cols w:equalWidth="0" w:num="1">
            <w:col w:w="10782"/>
          </w:cols>
          <w:pgMar w:left="798" w:top="1114" w:right="31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15"/>
          <w:szCs w:val="15"/>
          <w:color w:val="auto"/>
        </w:rPr>
        <w:t>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financial information “furnished” pursuant to Items 2.02 or 7.01 of Form 8-K) under the Exchange Act (each date of filing of one or more of the documents referred to in clauses (i) through (iv) shall be a “</w:t>
      </w:r>
      <w:r>
        <w:rPr>
          <w:rFonts w:ascii="Times New Roman" w:cs="Times New Roman" w:eastAsia="Times New Roman" w:hAnsi="Times New Roman"/>
          <w:sz w:val="15"/>
          <w:szCs w:val="15"/>
          <w:b w:val="1"/>
          <w:bCs w:val="1"/>
          <w:u w:val="single" w:color="auto"/>
          <w:color w:val="auto"/>
        </w:rPr>
        <w:t>Bring-Down Date</w:t>
      </w:r>
      <w:r>
        <w:rPr>
          <w:rFonts w:ascii="Times New Roman" w:cs="Times New Roman" w:eastAsia="Times New Roman" w:hAnsi="Times New Roman"/>
          <w:sz w:val="15"/>
          <w:szCs w:val="15"/>
          <w:color w:val="auto"/>
        </w:rPr>
        <w:t xml:space="preserve">”); the Company shall furnish TD Cowen with a certificate, in the form attached hereto as </w:t>
      </w:r>
      <w:r>
        <w:rPr>
          <w:rFonts w:ascii="Times New Roman" w:cs="Times New Roman" w:eastAsia="Times New Roman" w:hAnsi="Times New Roman"/>
          <w:sz w:val="15"/>
          <w:szCs w:val="15"/>
          <w:u w:val="single" w:color="auto"/>
          <w:color w:val="auto"/>
        </w:rPr>
        <w:t>Exhibit 7(m)</w:t>
      </w:r>
      <w:r>
        <w:rPr>
          <w:rFonts w:ascii="Times New Roman" w:cs="Times New Roman" w:eastAsia="Times New Roman" w:hAnsi="Times New Roman"/>
          <w:sz w:val="15"/>
          <w:szCs w:val="15"/>
          <w:color w:val="auto"/>
        </w:rPr>
        <w:t xml:space="preserve"> within one (1) Trading Day of any Bring-Down Date if requested by TD Cowen. The requirement to provide a certificate under this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15"/>
          <w:szCs w:val="15"/>
          <w:u w:val="single" w:color="auto"/>
          <w:color w:val="auto"/>
        </w:rPr>
        <w:t>Exhibit 7(m)</w:t>
      </w:r>
      <w:r>
        <w:rPr>
          <w:rFonts w:ascii="Times New Roman" w:cs="Times New Roman" w:eastAsia="Times New Roman" w:hAnsi="Times New Roman"/>
          <w:sz w:val="15"/>
          <w:szCs w:val="15"/>
          <w:color w:val="auto"/>
        </w:rPr>
        <w:t>, dated the date of the Placement Notice.</w:t>
      </w:r>
    </w:p>
    <w:p>
      <w:pPr>
        <w:spacing w:after="0" w:line="326" w:lineRule="exact"/>
        <w:rPr>
          <w:sz w:val="20"/>
          <w:szCs w:val="20"/>
          <w:color w:val="auto"/>
        </w:rPr>
      </w:pPr>
    </w:p>
    <w:p>
      <w:pPr>
        <w:jc w:val="both"/>
        <w:ind w:firstLine="498"/>
        <w:spacing w:after="0" w:line="257" w:lineRule="auto"/>
        <w:tabs>
          <w:tab w:leader="none" w:pos="71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Legal Opinions</w:t>
      </w:r>
      <w:r>
        <w:rPr>
          <w:rFonts w:ascii="Times New Roman" w:cs="Times New Roman" w:eastAsia="Times New Roman" w:hAnsi="Times New Roman"/>
          <w:sz w:val="15"/>
          <w:szCs w:val="15"/>
          <w:color w:val="auto"/>
        </w:rPr>
        <w:t xml:space="preserve">. On or prior to the First Delivery Date and within one (1) Trading Day of each subsequent Bring-Down Date with respect to which the Company is obligated to deliver a certificate in the form attached hereto as </w:t>
      </w:r>
      <w:r>
        <w:rPr>
          <w:rFonts w:ascii="Times New Roman" w:cs="Times New Roman" w:eastAsia="Times New Roman" w:hAnsi="Times New Roman"/>
          <w:sz w:val="15"/>
          <w:szCs w:val="15"/>
          <w:u w:val="single" w:color="auto"/>
          <w:color w:val="auto"/>
        </w:rPr>
        <w:t>Exhibit 7(m)</w:t>
      </w:r>
      <w:r>
        <w:rPr>
          <w:rFonts w:ascii="Times New Roman" w:cs="Times New Roman" w:eastAsia="Times New Roman" w:hAnsi="Times New Roman"/>
          <w:sz w:val="15"/>
          <w:szCs w:val="15"/>
          <w:color w:val="auto"/>
        </w:rPr>
        <w:t xml:space="preserve"> for which no waiver is applicable, the Company shall cause to be furnished to TD Cowen a (i) written opinion and negative assurance letter of Ropes &amp; Gray LLP (“</w:t>
      </w:r>
      <w:r>
        <w:rPr>
          <w:rFonts w:ascii="Times New Roman" w:cs="Times New Roman" w:eastAsia="Times New Roman" w:hAnsi="Times New Roman"/>
          <w:sz w:val="15"/>
          <w:szCs w:val="15"/>
          <w:b w:val="1"/>
          <w:bCs w:val="1"/>
          <w:u w:val="single" w:color="auto"/>
          <w:color w:val="auto"/>
        </w:rPr>
        <w:t>Company Counsel</w:t>
      </w:r>
      <w:r>
        <w:rPr>
          <w:rFonts w:ascii="Times New Roman" w:cs="Times New Roman" w:eastAsia="Times New Roman" w:hAnsi="Times New Roman"/>
          <w:sz w:val="15"/>
          <w:szCs w:val="15"/>
          <w:color w:val="auto"/>
        </w:rPr>
        <w:t>”) or other counsel reasonably satisfactory to TD Cowen, in form and substance reasonably satisfactory to TD Cowen and its counsel, dated the date that the opinion is required to be delivered, modified, as necessary, to relate to the Registration Statement and the Prospectus as then amended or supplemented, and (ii) written opinion of Greenberg Traurig, LLP, counsel for the Company with respect to intellectual property matters (“</w:t>
      </w:r>
      <w:r>
        <w:rPr>
          <w:rFonts w:ascii="Times New Roman" w:cs="Times New Roman" w:eastAsia="Times New Roman" w:hAnsi="Times New Roman"/>
          <w:sz w:val="15"/>
          <w:szCs w:val="15"/>
          <w:b w:val="1"/>
          <w:bCs w:val="1"/>
          <w:u w:val="single" w:color="auto"/>
          <w:color w:val="auto"/>
        </w:rPr>
        <w:t>IP Counsel</w:t>
      </w:r>
      <w:r>
        <w:rPr>
          <w:rFonts w:ascii="Times New Roman" w:cs="Times New Roman" w:eastAsia="Times New Roman" w:hAnsi="Times New Roman"/>
          <w:sz w:val="15"/>
          <w:szCs w:val="15"/>
          <w:color w:val="auto"/>
        </w:rPr>
        <w:t xml:space="preserve">”), or other counsel reasonably satisfactory to TD Cowen, in form and substance reasonably satisfactory to TD Cowen and its counsel, dated the date that the opinion is required to be delivered;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in lieu of such opinions for subsequent Bring-Down Dates, each such counsel may furnish TD Cowen with a letter (a “</w:t>
      </w:r>
      <w:r>
        <w:rPr>
          <w:rFonts w:ascii="Times New Roman" w:cs="Times New Roman" w:eastAsia="Times New Roman" w:hAnsi="Times New Roman"/>
          <w:sz w:val="15"/>
          <w:szCs w:val="15"/>
          <w:b w:val="1"/>
          <w:bCs w:val="1"/>
          <w:u w:val="single" w:color="auto"/>
          <w:color w:val="auto"/>
        </w:rPr>
        <w:t>Reliance Letter</w:t>
      </w:r>
      <w:r>
        <w:rPr>
          <w:rFonts w:ascii="Times New Roman" w:cs="Times New Roman" w:eastAsia="Times New Roman" w:hAnsi="Times New Roman"/>
          <w:sz w:val="15"/>
          <w:szCs w:val="15"/>
          <w:color w:val="auto"/>
        </w:rPr>
        <w:t xml:space="preserve">”) to the effect that TD Cowen may rely on a prior opinion delivered under this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33" w:lineRule="exact"/>
        <w:rPr>
          <w:rFonts w:ascii="Times New Roman" w:cs="Times New Roman" w:eastAsia="Times New Roman" w:hAnsi="Times New Roman"/>
          <w:sz w:val="15"/>
          <w:szCs w:val="15"/>
          <w:color w:val="auto"/>
        </w:rPr>
      </w:pPr>
    </w:p>
    <w:p>
      <w:pPr>
        <w:jc w:val="both"/>
        <w:ind w:firstLine="498"/>
        <w:spacing w:after="0" w:line="257" w:lineRule="auto"/>
        <w:tabs>
          <w:tab w:leader="none" w:pos="71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Comfort Letters</w:t>
      </w:r>
      <w:r>
        <w:rPr>
          <w:rFonts w:ascii="Times New Roman" w:cs="Times New Roman" w:eastAsia="Times New Roman" w:hAnsi="Times New Roman"/>
          <w:sz w:val="15"/>
          <w:szCs w:val="15"/>
          <w:color w:val="auto"/>
        </w:rPr>
        <w:t xml:space="preserve">. On or prior to the First Delivery Date and within one (1) Trading Day of each subsequent Bring-Down Date with respect to which the Company is obligated to deliver a certificate in the form attached hereto as </w:t>
      </w:r>
      <w:r>
        <w:rPr>
          <w:rFonts w:ascii="Times New Roman" w:cs="Times New Roman" w:eastAsia="Times New Roman" w:hAnsi="Times New Roman"/>
          <w:sz w:val="15"/>
          <w:szCs w:val="15"/>
          <w:u w:val="single" w:color="auto"/>
          <w:color w:val="auto"/>
        </w:rPr>
        <w:t>Exhibit 7(m)</w:t>
      </w:r>
      <w:r>
        <w:rPr>
          <w:rFonts w:ascii="Times New Roman" w:cs="Times New Roman" w:eastAsia="Times New Roman" w:hAnsi="Times New Roman"/>
          <w:sz w:val="15"/>
          <w:szCs w:val="15"/>
          <w:color w:val="auto"/>
        </w:rPr>
        <w:t xml:space="preserve"> for which no waiver is applicable, the Company shall cause KPMG LLP and PricewaterhouseCoopers LLP, its current and former independent accountants, respectively, to furnish TD Cowen letters (the “</w:t>
      </w:r>
      <w:r>
        <w:rPr>
          <w:rFonts w:ascii="Times New Roman" w:cs="Times New Roman" w:eastAsia="Times New Roman" w:hAnsi="Times New Roman"/>
          <w:sz w:val="15"/>
          <w:szCs w:val="15"/>
          <w:b w:val="1"/>
          <w:bCs w:val="1"/>
          <w:u w:val="single" w:color="auto"/>
          <w:color w:val="auto"/>
        </w:rPr>
        <w:t>Comfort Letters</w:t>
      </w:r>
      <w:r>
        <w:rPr>
          <w:rFonts w:ascii="Times New Roman" w:cs="Times New Roman" w:eastAsia="Times New Roman" w:hAnsi="Times New Roman"/>
          <w:sz w:val="15"/>
          <w:szCs w:val="15"/>
          <w:color w:val="auto"/>
        </w:rPr>
        <w:t>”), dated the date the Comfort Letters are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of each such set of letters, the “</w:t>
      </w:r>
      <w:r>
        <w:rPr>
          <w:rFonts w:ascii="Times New Roman" w:cs="Times New Roman" w:eastAsia="Times New Roman" w:hAnsi="Times New Roman"/>
          <w:sz w:val="15"/>
          <w:szCs w:val="15"/>
          <w:b w:val="1"/>
          <w:bCs w:val="1"/>
          <w:u w:val="single" w:color="auto"/>
          <w:color w:val="auto"/>
        </w:rPr>
        <w:t>Initial Comfort Letters</w:t>
      </w:r>
      <w:r>
        <w:rPr>
          <w:rFonts w:ascii="Times New Roman" w:cs="Times New Roman" w:eastAsia="Times New Roman" w:hAnsi="Times New Roman"/>
          <w:sz w:val="15"/>
          <w:szCs w:val="15"/>
          <w:color w:val="auto"/>
        </w:rPr>
        <w:t>”) and (iii) updating the Initial Comfort Letters with any information that would have been included in the Initial Comfort Letters had they been given on such date and modified as necessary to relate to the Registration Statement and the Prospectus, as amended and supplemented to the date of such letters.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ectPr>
          <w:pgSz w:w="11900" w:h="16838" w:orient="portrait"/>
          <w:cols w:equalWidth="0" w:num="1">
            <w:col w:w="11280"/>
          </w:cols>
          <w:pgMar w:left="300" w:top="1114" w:right="319" w:bottom="1440" w:gutter="0" w:footer="0" w:header="0"/>
        </w:sectPr>
      </w:pPr>
    </w:p>
    <w:bookmarkStart w:id="75" w:name="page76"/>
    <w:bookmarkEnd w:id="75"/>
    <w:p>
      <w:pPr>
        <w:jc w:val="both"/>
        <w:ind w:left="-498" w:firstLine="498"/>
        <w:spacing w:after="0" w:line="268" w:lineRule="auto"/>
        <w:tabs>
          <w:tab w:leader="none" w:pos="21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Chief Financial Officer’s Certificate</w:t>
      </w:r>
      <w:r>
        <w:rPr>
          <w:rFonts w:ascii="Times New Roman" w:cs="Times New Roman" w:eastAsia="Times New Roman" w:hAnsi="Times New Roman"/>
          <w:sz w:val="15"/>
          <w:szCs w:val="15"/>
          <w:color w:val="auto"/>
        </w:rPr>
        <w:t>. If applicable, on or prior to the First Delivery Date and within one (1) Trading Day of each subsequent Bring-Down Date with respect to which the Company is obligated to deliver a certificate in the form attached hereto as Exhibit 7(m) for which no waiver is applicable, the Company shall have delivered to TD Cowen a certificate executed by the Chief Financial Officer of the Company (“</w:t>
      </w:r>
      <w:r>
        <w:rPr>
          <w:rFonts w:ascii="Times New Roman" w:cs="Times New Roman" w:eastAsia="Times New Roman" w:hAnsi="Times New Roman"/>
          <w:sz w:val="15"/>
          <w:szCs w:val="15"/>
          <w:b w:val="1"/>
          <w:bCs w:val="1"/>
          <w:u w:val="single" w:color="auto"/>
          <w:color w:val="auto"/>
        </w:rPr>
        <w:t>CFO Certificate</w:t>
      </w:r>
      <w:r>
        <w:rPr>
          <w:rFonts w:ascii="Times New Roman" w:cs="Times New Roman" w:eastAsia="Times New Roman" w:hAnsi="Times New Roman"/>
          <w:sz w:val="15"/>
          <w:szCs w:val="15"/>
          <w:color w:val="auto"/>
        </w:rPr>
        <w:t>”), dated as of such date, in form and substance satisfactory to TD Cowen.</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65" w:lineRule="auto"/>
        <w:tabs>
          <w:tab w:leader="none" w:pos="22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Market Activities</w:t>
      </w:r>
      <w:r>
        <w:rPr>
          <w:rFonts w:ascii="Times New Roman" w:cs="Times New Roman" w:eastAsia="Times New Roman" w:hAnsi="Times New Roman"/>
          <w:sz w:val="15"/>
          <w:szCs w:val="15"/>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Company may bid for and purchase shares of its Common Stock in accordance with Rule 10b-18 under the Exchange Act.</w:t>
      </w:r>
    </w:p>
    <w:p>
      <w:pPr>
        <w:spacing w:after="0" w:line="125" w:lineRule="exact"/>
        <w:rPr>
          <w:rFonts w:ascii="Times New Roman" w:cs="Times New Roman" w:eastAsia="Times New Roman" w:hAnsi="Times New Roman"/>
          <w:sz w:val="15"/>
          <w:szCs w:val="15"/>
          <w:color w:val="auto"/>
        </w:rPr>
      </w:pPr>
    </w:p>
    <w:p>
      <w:pPr>
        <w:ind w:left="-498" w:firstLine="498"/>
        <w:spacing w:after="0" w:line="292" w:lineRule="auto"/>
        <w:tabs>
          <w:tab w:leader="none" w:pos="186"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and its Subsidiaries shall maintain, or cause to be maintained, insurance in such amounts and covering such risks as is reasonable and customary for the business for which it is engaged.</w:t>
      </w:r>
    </w:p>
    <w:p>
      <w:pPr>
        <w:spacing w:after="0" w:line="106" w:lineRule="exact"/>
        <w:rPr>
          <w:rFonts w:ascii="Times New Roman" w:cs="Times New Roman" w:eastAsia="Times New Roman" w:hAnsi="Times New Roman"/>
          <w:sz w:val="15"/>
          <w:szCs w:val="15"/>
          <w:color w:val="auto"/>
        </w:rPr>
      </w:pPr>
    </w:p>
    <w:p>
      <w:pPr>
        <w:jc w:val="both"/>
        <w:ind w:left="-498" w:firstLine="498"/>
        <w:spacing w:after="0" w:line="265" w:lineRule="auto"/>
        <w:tabs>
          <w:tab w:leader="none" w:pos="216"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Laws</w:t>
      </w:r>
      <w:r>
        <w:rPr>
          <w:rFonts w:ascii="Times New Roman" w:cs="Times New Roman" w:eastAsia="Times New Roman" w:hAnsi="Times New Roman"/>
          <w:sz w:val="15"/>
          <w:szCs w:val="15"/>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36"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17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34"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21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Act and Exchange Act</w:t>
      </w:r>
      <w:r>
        <w:rPr>
          <w:rFonts w:ascii="Times New Roman" w:cs="Times New Roman" w:eastAsia="Times New Roman" w:hAnsi="Times New Roman"/>
          <w:sz w:val="15"/>
          <w:szCs w:val="15"/>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24"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21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Offer to Sell</w:t>
      </w:r>
      <w:r>
        <w:rPr>
          <w:rFonts w:ascii="Times New Roman" w:cs="Times New Roman" w:eastAsia="Times New Roman" w:hAnsi="Times New Roman"/>
          <w:sz w:val="15"/>
          <w:szCs w:val="15"/>
          <w:color w:val="auto"/>
        </w:rPr>
        <w:t>. Other than the Prospectus or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34" w:lineRule="exact"/>
        <w:rPr>
          <w:rFonts w:ascii="Times New Roman" w:cs="Times New Roman" w:eastAsia="Times New Roman" w:hAnsi="Times New Roman"/>
          <w:sz w:val="15"/>
          <w:szCs w:val="15"/>
          <w:color w:val="auto"/>
        </w:rPr>
      </w:pPr>
    </w:p>
    <w:p>
      <w:pPr>
        <w:ind w:left="242" w:hanging="242"/>
        <w:spacing w:after="0"/>
        <w:tabs>
          <w:tab w:leader="none" w:pos="24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Sarbanes-Oxley Act</w:t>
      </w:r>
      <w:r>
        <w:rPr>
          <w:rFonts w:ascii="Times New Roman" w:cs="Times New Roman" w:eastAsia="Times New Roman" w:hAnsi="Times New Roman"/>
          <w:sz w:val="15"/>
          <w:szCs w:val="15"/>
          <w:color w:val="auto"/>
        </w:rPr>
        <w:t>. The Company and its Subsidiaries will use their reasonable best efforts to comply with all effective applicable provisions of the Sarbanes-Oxley Act.</w:t>
      </w:r>
    </w:p>
    <w:p>
      <w:pPr>
        <w:spacing w:after="0" w:line="178" w:lineRule="exact"/>
        <w:rPr>
          <w:rFonts w:ascii="Times New Roman" w:cs="Times New Roman" w:eastAsia="Times New Roman" w:hAnsi="Times New Roman"/>
          <w:sz w:val="15"/>
          <w:szCs w:val="15"/>
          <w:color w:val="auto"/>
        </w:rPr>
      </w:pPr>
    </w:p>
    <w:p>
      <w:pPr>
        <w:ind w:left="-498" w:firstLine="498"/>
        <w:spacing w:after="0" w:line="278" w:lineRule="auto"/>
        <w:tabs>
          <w:tab w:leader="none" w:pos="21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Affirmation</w:t>
      </w:r>
      <w:r>
        <w:rPr>
          <w:rFonts w:ascii="Times New Roman" w:cs="Times New Roman" w:eastAsia="Times New Roman" w:hAnsi="Times New Roman"/>
          <w:sz w:val="15"/>
          <w:szCs w:val="15"/>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6" w:lineRule="exact"/>
        <w:rPr>
          <w:rFonts w:ascii="Times New Roman" w:cs="Times New Roman" w:eastAsia="Times New Roman" w:hAnsi="Times New Roman"/>
          <w:sz w:val="15"/>
          <w:szCs w:val="15"/>
          <w:color w:val="auto"/>
        </w:rPr>
      </w:pPr>
    </w:p>
    <w:p>
      <w:pPr>
        <w:ind w:left="5082" w:hanging="85"/>
        <w:spacing w:after="0"/>
        <w:tabs>
          <w:tab w:leader="none" w:pos="5082"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ectPr>
          <w:pgSz w:w="11900" w:h="16838" w:orient="portrait"/>
          <w:cols w:equalWidth="0" w:num="1">
            <w:col w:w="10782"/>
          </w:cols>
          <w:pgMar w:left="798" w:top="1114" w:right="319" w:bottom="1440" w:gutter="0" w:footer="0" w:header="0"/>
        </w:sectPr>
      </w:pPr>
    </w:p>
    <w:bookmarkStart w:id="76" w:name="page77"/>
    <w:bookmarkEnd w:id="76"/>
    <w:p>
      <w:pPr>
        <w:jc w:val="both"/>
        <w:spacing w:after="0" w:line="268" w:lineRule="auto"/>
        <w:rPr>
          <w:sz w:val="20"/>
          <w:szCs w:val="20"/>
          <w:color w:val="auto"/>
        </w:rPr>
      </w:pPr>
      <w:r>
        <w:rPr>
          <w:rFonts w:ascii="Times New Roman" w:cs="Times New Roman" w:eastAsia="Times New Roman" w:hAnsi="Times New Roman"/>
          <w:sz w:val="15"/>
          <w:szCs w:val="15"/>
          <w:color w:val="auto"/>
        </w:rPr>
        <w:t>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34" w:lineRule="exact"/>
        <w:rPr>
          <w:sz w:val="20"/>
          <w:szCs w:val="20"/>
          <w:color w:val="auto"/>
        </w:rPr>
      </w:pPr>
    </w:p>
    <w:p>
      <w:pPr>
        <w:jc w:val="both"/>
        <w:ind w:firstLine="498"/>
        <w:spacing w:after="0" w:line="265" w:lineRule="auto"/>
        <w:tabs>
          <w:tab w:leader="none" w:pos="67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TD Cowen’s Obligations</w:t>
      </w:r>
      <w:r>
        <w:rPr>
          <w:rFonts w:ascii="Times New Roman" w:cs="Times New Roman" w:eastAsia="Times New Roman" w:hAnsi="Times New Roman"/>
          <w:sz w:val="15"/>
          <w:szCs w:val="15"/>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26" w:lineRule="exact"/>
        <w:rPr>
          <w:sz w:val="20"/>
          <w:szCs w:val="20"/>
          <w:color w:val="auto"/>
        </w:rPr>
      </w:pPr>
    </w:p>
    <w:p>
      <w:pPr>
        <w:ind w:firstLine="498"/>
        <w:spacing w:after="0" w:line="292" w:lineRule="auto"/>
        <w:tabs>
          <w:tab w:leader="none" w:pos="722"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 Effective</w:t>
      </w:r>
      <w:r>
        <w:rPr>
          <w:rFonts w:ascii="Times New Roman" w:cs="Times New Roman" w:eastAsia="Times New Roman" w:hAnsi="Times New Roman"/>
          <w:sz w:val="15"/>
          <w:szCs w:val="15"/>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06" w:lineRule="exact"/>
        <w:rPr>
          <w:rFonts w:ascii="Times New Roman" w:cs="Times New Roman" w:eastAsia="Times New Roman" w:hAnsi="Times New Roman"/>
          <w:sz w:val="15"/>
          <w:szCs w:val="15"/>
          <w:color w:val="auto"/>
        </w:rPr>
      </w:pPr>
    </w:p>
    <w:p>
      <w:pPr>
        <w:jc w:val="both"/>
        <w:ind w:firstLine="498"/>
        <w:spacing w:after="0" w:line="257" w:lineRule="auto"/>
        <w:tabs>
          <w:tab w:leader="none" w:pos="71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Notices</w:t>
      </w:r>
      <w:r>
        <w:rPr>
          <w:rFonts w:ascii="Times New Roman" w:cs="Times New Roman" w:eastAsia="Times New Roman" w:hAnsi="Times New Roman"/>
          <w:sz w:val="15"/>
          <w:szCs w:val="15"/>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34" w:lineRule="exact"/>
        <w:rPr>
          <w:rFonts w:ascii="Times New Roman" w:cs="Times New Roman" w:eastAsia="Times New Roman" w:hAnsi="Times New Roman"/>
          <w:sz w:val="15"/>
          <w:szCs w:val="15"/>
          <w:color w:val="auto"/>
        </w:rPr>
      </w:pPr>
    </w:p>
    <w:p>
      <w:pPr>
        <w:jc w:val="both"/>
        <w:ind w:firstLine="498"/>
        <w:spacing w:after="0" w:line="268" w:lineRule="auto"/>
        <w:tabs>
          <w:tab w:leader="none" w:pos="711"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Misstatement or Material Omission</w:t>
      </w:r>
      <w:r>
        <w:rPr>
          <w:rFonts w:ascii="Times New Roman" w:cs="Times New Roman" w:eastAsia="Times New Roman" w:hAnsi="Times New Roman"/>
          <w:sz w:val="15"/>
          <w:szCs w:val="15"/>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spacing w:after="0" w:line="134" w:lineRule="exact"/>
        <w:rPr>
          <w:rFonts w:ascii="Times New Roman" w:cs="Times New Roman" w:eastAsia="Times New Roman" w:hAnsi="Times New Roman"/>
          <w:sz w:val="15"/>
          <w:szCs w:val="15"/>
          <w:color w:val="auto"/>
        </w:rPr>
      </w:pPr>
    </w:p>
    <w:p>
      <w:pPr>
        <w:jc w:val="both"/>
        <w:ind w:firstLine="498"/>
        <w:spacing w:after="0" w:line="268" w:lineRule="auto"/>
        <w:tabs>
          <w:tab w:leader="none" w:pos="71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Material Changes</w:t>
      </w:r>
      <w:r>
        <w:rPr>
          <w:rFonts w:ascii="Times New Roman" w:cs="Times New Roman" w:eastAsia="Times New Roman" w:hAnsi="Times New Roman"/>
          <w:sz w:val="15"/>
          <w:szCs w:val="15"/>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4"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w:t>
      </w:r>
    </w:p>
    <w:p>
      <w:pPr>
        <w:sectPr>
          <w:pgSz w:w="11900" w:h="16838" w:orient="portrait"/>
          <w:cols w:equalWidth="0" w:num="1">
            <w:col w:w="11280"/>
          </w:cols>
          <w:pgMar w:left="300" w:top="1114" w:right="319" w:bottom="1440" w:gutter="0" w:footer="0" w:header="0"/>
        </w:sectPr>
      </w:pPr>
    </w:p>
    <w:bookmarkStart w:id="77" w:name="page78"/>
    <w:bookmarkEnd w:id="77"/>
    <w:p>
      <w:pPr>
        <w:ind w:left="-498" w:firstLine="498"/>
        <w:spacing w:after="0" w:line="292" w:lineRule="auto"/>
        <w:tabs>
          <w:tab w:leader="none" w:pos="20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Counsel Legal Opinion</w:t>
      </w:r>
      <w:r>
        <w:rPr>
          <w:rFonts w:ascii="Times New Roman" w:cs="Times New Roman" w:eastAsia="Times New Roman" w:hAnsi="Times New Roman"/>
          <w:sz w:val="15"/>
          <w:szCs w:val="15"/>
          <w:color w:val="auto"/>
        </w:rPr>
        <w:t xml:space="preserve">. TD Cowen shall have received the opinions of Company Counsel and IP Counsel required to be delivered pursuant to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 xml:space="preserve"> on or before the date on which such delivery of such opinions is required pursuant to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jc w:val="both"/>
        <w:ind w:left="-498" w:firstLine="498"/>
        <w:spacing w:after="0" w:line="268" w:lineRule="auto"/>
        <w:tabs>
          <w:tab w:leader="none" w:pos="186"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TD Cowen Counsel Legal Opinion</w:t>
      </w:r>
      <w:r>
        <w:rPr>
          <w:rFonts w:ascii="Times New Roman" w:cs="Times New Roman" w:eastAsia="Times New Roman" w:hAnsi="Times New Roman"/>
          <w:sz w:val="15"/>
          <w:szCs w:val="15"/>
          <w:color w:val="auto"/>
        </w:rPr>
        <w:t xml:space="preserve">. TD Cowen shall have received from Paul Hastings LLP, counsel for TD Cowen, such opinion or opinions, on or before the date on which the delivery of the Company Counsel and IP Counsel legal opinions are required pursuant to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 with respect to such matters as TD Cowen may reasonably require, and the Company shall have furnished to such counsel such documents as they request for enabling them to pass upon such matters.</w:t>
      </w:r>
    </w:p>
    <w:p>
      <w:pPr>
        <w:spacing w:after="0" w:line="134" w:lineRule="exact"/>
        <w:rPr>
          <w:rFonts w:ascii="Times New Roman" w:cs="Times New Roman" w:eastAsia="Times New Roman" w:hAnsi="Times New Roman"/>
          <w:sz w:val="15"/>
          <w:szCs w:val="15"/>
          <w:color w:val="auto"/>
        </w:rPr>
      </w:pPr>
    </w:p>
    <w:p>
      <w:pPr>
        <w:ind w:left="-498" w:firstLine="498"/>
        <w:spacing w:after="0" w:line="292" w:lineRule="auto"/>
        <w:tabs>
          <w:tab w:leader="none" w:pos="21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Comfort Letters</w:t>
      </w:r>
      <w:r>
        <w:rPr>
          <w:rFonts w:ascii="Times New Roman" w:cs="Times New Roman" w:eastAsia="Times New Roman" w:hAnsi="Times New Roman"/>
          <w:sz w:val="15"/>
          <w:szCs w:val="15"/>
          <w:color w:val="auto"/>
        </w:rPr>
        <w:t xml:space="preserve">. TD Cowen shall have received the Comfort Letters required to be delivered pursuant to </w:t>
      </w:r>
      <w:r>
        <w:rPr>
          <w:rFonts w:ascii="Times New Roman" w:cs="Times New Roman" w:eastAsia="Times New Roman" w:hAnsi="Times New Roman"/>
          <w:sz w:val="15"/>
          <w:szCs w:val="15"/>
          <w:u w:val="single" w:color="auto"/>
          <w:color w:val="auto"/>
        </w:rPr>
        <w:t>Section 7(o)</w:t>
      </w:r>
      <w:r>
        <w:rPr>
          <w:rFonts w:ascii="Times New Roman" w:cs="Times New Roman" w:eastAsia="Times New Roman" w:hAnsi="Times New Roman"/>
          <w:sz w:val="15"/>
          <w:szCs w:val="15"/>
          <w:color w:val="auto"/>
        </w:rPr>
        <w:t xml:space="preserve"> on or before the date on which such delivery of such Comfort Letters is required pursuant to </w:t>
      </w:r>
      <w:r>
        <w:rPr>
          <w:rFonts w:ascii="Times New Roman" w:cs="Times New Roman" w:eastAsia="Times New Roman" w:hAnsi="Times New Roman"/>
          <w:sz w:val="15"/>
          <w:szCs w:val="15"/>
          <w:u w:val="single" w:color="auto"/>
          <w:color w:val="auto"/>
        </w:rPr>
        <w:t>Section 7(o)</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left="-498" w:firstLine="498"/>
        <w:spacing w:after="0" w:line="292" w:lineRule="auto"/>
        <w:tabs>
          <w:tab w:leader="none" w:pos="21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 Certificate</w:t>
      </w:r>
      <w:r>
        <w:rPr>
          <w:rFonts w:ascii="Times New Roman" w:cs="Times New Roman" w:eastAsia="Times New Roman" w:hAnsi="Times New Roman"/>
          <w:sz w:val="15"/>
          <w:szCs w:val="15"/>
          <w:color w:val="auto"/>
        </w:rPr>
        <w:t xml:space="preserve">. TD Cowen shall have received the certificate required to be delivered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on or before the date on which delivery of such certificate is required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left="-498" w:firstLine="498"/>
        <w:spacing w:after="0" w:line="292" w:lineRule="auto"/>
        <w:tabs>
          <w:tab w:leader="none" w:pos="17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Secretary’s Certificate</w:t>
      </w:r>
      <w:r>
        <w:rPr>
          <w:rFonts w:ascii="Times New Roman" w:cs="Times New Roman" w:eastAsia="Times New Roman" w:hAnsi="Times New Roman"/>
          <w:sz w:val="15"/>
          <w:szCs w:val="15"/>
          <w:color w:val="auto"/>
        </w:rPr>
        <w:t>. On or prior to the First Delivery Date, TD Cowen shall have received a certificate, signed on behalf of the Company by its corporate secretary, in form and substance satisfactory to TD Cowen and its counsel.</w:t>
      </w:r>
    </w:p>
    <w:p>
      <w:pPr>
        <w:spacing w:after="0" w:line="117" w:lineRule="exact"/>
        <w:rPr>
          <w:rFonts w:ascii="Times New Roman" w:cs="Times New Roman" w:eastAsia="Times New Roman" w:hAnsi="Times New Roman"/>
          <w:sz w:val="15"/>
          <w:szCs w:val="15"/>
          <w:color w:val="auto"/>
        </w:rPr>
      </w:pPr>
    </w:p>
    <w:p>
      <w:pPr>
        <w:ind w:left="-498" w:firstLine="498"/>
        <w:spacing w:after="0" w:line="278" w:lineRule="auto"/>
        <w:tabs>
          <w:tab w:leader="none" w:pos="17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CFO Certificate</w:t>
      </w:r>
      <w:r>
        <w:rPr>
          <w:rFonts w:ascii="Times New Roman" w:cs="Times New Roman" w:eastAsia="Times New Roman" w:hAnsi="Times New Roman"/>
          <w:sz w:val="15"/>
          <w:szCs w:val="15"/>
          <w:color w:val="auto"/>
        </w:rPr>
        <w:t>. If applicable, TD Cowen shall have received the CFO Certificate required to be delivered pursuant to Section 7(p) on or before the date on which delivery of such certificate is required pursuant to Section 7(p).</w:t>
      </w:r>
    </w:p>
    <w:p>
      <w:pPr>
        <w:spacing w:after="0" w:line="126" w:lineRule="exact"/>
        <w:rPr>
          <w:rFonts w:ascii="Times New Roman" w:cs="Times New Roman" w:eastAsia="Times New Roman" w:hAnsi="Times New Roman"/>
          <w:sz w:val="15"/>
          <w:szCs w:val="15"/>
          <w:color w:val="auto"/>
        </w:rPr>
      </w:pPr>
    </w:p>
    <w:p>
      <w:pPr>
        <w:ind w:left="222" w:hanging="222"/>
        <w:spacing w:after="0"/>
        <w:tabs>
          <w:tab w:leader="none" w:pos="22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Suspension</w:t>
      </w:r>
      <w:r>
        <w:rPr>
          <w:rFonts w:ascii="Times New Roman" w:cs="Times New Roman" w:eastAsia="Times New Roman" w:hAnsi="Times New Roman"/>
          <w:sz w:val="15"/>
          <w:szCs w:val="15"/>
          <w:color w:val="auto"/>
        </w:rPr>
        <w:t>. Trading in the Common Stock shall not have been suspended on Nasdaq.</w:t>
      </w:r>
    </w:p>
    <w:p>
      <w:pPr>
        <w:spacing w:after="0" w:line="168" w:lineRule="exact"/>
        <w:rPr>
          <w:rFonts w:ascii="Times New Roman" w:cs="Times New Roman" w:eastAsia="Times New Roman" w:hAnsi="Times New Roman"/>
          <w:sz w:val="15"/>
          <w:szCs w:val="15"/>
          <w:color w:val="auto"/>
        </w:rPr>
      </w:pPr>
    </w:p>
    <w:p>
      <w:pPr>
        <w:jc w:val="both"/>
        <w:ind w:left="-498" w:firstLine="498"/>
        <w:spacing w:after="0" w:line="265" w:lineRule="auto"/>
        <w:tabs>
          <w:tab w:leader="none" w:pos="18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Materials</w:t>
      </w:r>
      <w:r>
        <w:rPr>
          <w:rFonts w:ascii="Times New Roman" w:cs="Times New Roman" w:eastAsia="Times New Roman" w:hAnsi="Times New Roman"/>
          <w:sz w:val="15"/>
          <w:szCs w:val="15"/>
          <w:color w:val="auto"/>
        </w:rPr>
        <w:t xml:space="preserve">. On each date on which the Company is required to deliver a certificate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36" w:lineRule="exact"/>
        <w:rPr>
          <w:rFonts w:ascii="Times New Roman" w:cs="Times New Roman" w:eastAsia="Times New Roman" w:hAnsi="Times New Roman"/>
          <w:sz w:val="15"/>
          <w:szCs w:val="15"/>
          <w:color w:val="auto"/>
        </w:rPr>
      </w:pPr>
    </w:p>
    <w:p>
      <w:pPr>
        <w:ind w:left="-498" w:firstLine="498"/>
        <w:spacing w:after="0" w:line="278" w:lineRule="auto"/>
        <w:tabs>
          <w:tab w:leader="none" w:pos="254"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Act Filings Made</w:t>
      </w:r>
      <w:r>
        <w:rPr>
          <w:rFonts w:ascii="Times New Roman" w:cs="Times New Roman" w:eastAsia="Times New Roman" w:hAnsi="Times New Roman"/>
          <w:sz w:val="15"/>
          <w:szCs w:val="15"/>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26" w:lineRule="exact"/>
        <w:rPr>
          <w:rFonts w:ascii="Times New Roman" w:cs="Times New Roman" w:eastAsia="Times New Roman" w:hAnsi="Times New Roman"/>
          <w:sz w:val="15"/>
          <w:szCs w:val="15"/>
          <w:color w:val="auto"/>
        </w:rPr>
      </w:pPr>
    </w:p>
    <w:p>
      <w:pPr>
        <w:ind w:left="-498" w:firstLine="498"/>
        <w:spacing w:after="0" w:line="278" w:lineRule="auto"/>
        <w:tabs>
          <w:tab w:leader="none" w:pos="21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Approval for Listing</w:t>
      </w:r>
      <w:r>
        <w:rPr>
          <w:rFonts w:ascii="Times New Roman" w:cs="Times New Roman" w:eastAsia="Times New Roman" w:hAnsi="Times New Roman"/>
          <w:sz w:val="15"/>
          <w:szCs w:val="15"/>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26" w:lineRule="exact"/>
        <w:rPr>
          <w:rFonts w:ascii="Times New Roman" w:cs="Times New Roman" w:eastAsia="Times New Roman" w:hAnsi="Times New Roman"/>
          <w:sz w:val="15"/>
          <w:szCs w:val="15"/>
          <w:color w:val="auto"/>
        </w:rPr>
      </w:pPr>
    </w:p>
    <w:p>
      <w:pPr>
        <w:ind w:left="222" w:hanging="222"/>
        <w:spacing w:after="0"/>
        <w:tabs>
          <w:tab w:leader="none" w:pos="22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Termination Event</w:t>
      </w:r>
      <w:r>
        <w:rPr>
          <w:rFonts w:ascii="Times New Roman" w:cs="Times New Roman" w:eastAsia="Times New Roman" w:hAnsi="Times New Roman"/>
          <w:sz w:val="15"/>
          <w:szCs w:val="15"/>
          <w:color w:val="auto"/>
        </w:rPr>
        <w:t xml:space="preserve">. There shall not have occurred any event that would permit TD Cowen to terminate this Agreement pursuant to </w:t>
      </w:r>
      <w:r>
        <w:rPr>
          <w:rFonts w:ascii="Times New Roman" w:cs="Times New Roman" w:eastAsia="Times New Roman" w:hAnsi="Times New Roman"/>
          <w:sz w:val="15"/>
          <w:szCs w:val="15"/>
          <w:u w:val="single" w:color="auto"/>
          <w:color w:val="auto"/>
        </w:rPr>
        <w:t>Section 11(a)</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ind w:left="142" w:hanging="142"/>
        <w:spacing w:after="0"/>
        <w:tabs>
          <w:tab w:leader="none" w:pos="142"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and Contribution</w:t>
      </w:r>
      <w:r>
        <w:rPr>
          <w:rFonts w:ascii="Times New Roman" w:cs="Times New Roman" w:eastAsia="Times New Roman" w:hAnsi="Times New Roman"/>
          <w:sz w:val="15"/>
          <w:szCs w:val="15"/>
          <w:color w:val="auto"/>
        </w:rPr>
        <w:t>.</w:t>
      </w:r>
    </w:p>
    <w:p>
      <w:pPr>
        <w:spacing w:after="0" w:line="168" w:lineRule="exact"/>
        <w:rPr>
          <w:sz w:val="20"/>
          <w:szCs w:val="20"/>
          <w:color w:val="auto"/>
        </w:rPr>
      </w:pPr>
    </w:p>
    <w:p>
      <w:pPr>
        <w:ind w:left="-498" w:firstLine="498"/>
        <w:spacing w:after="0" w:line="292" w:lineRule="auto"/>
        <w:tabs>
          <w:tab w:leader="none" w:pos="203"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Indemnification</w:t>
      </w:r>
      <w:r>
        <w:rPr>
          <w:rFonts w:ascii="Times New Roman" w:cs="Times New Roman" w:eastAsia="Times New Roman" w:hAnsi="Times New Roman"/>
          <w:sz w:val="15"/>
          <w:szCs w:val="15"/>
          <w:color w:val="auto"/>
        </w:rPr>
        <w:t>. The Company agrees to indemnify and hold harmless TD Cowen, its affiliates and each of their respective directors, officers, partners, employees and agents of TD Cowen</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36" w:lineRule="exact"/>
        <w:rPr>
          <w:rFonts w:ascii="Times New Roman" w:cs="Times New Roman" w:eastAsia="Times New Roman" w:hAnsi="Times New Roman"/>
          <w:sz w:val="15"/>
          <w:szCs w:val="15"/>
          <w:color w:val="auto"/>
        </w:rPr>
      </w:pPr>
    </w:p>
    <w:p>
      <w:pPr>
        <w:ind w:left="5082" w:hanging="85"/>
        <w:spacing w:after="0"/>
        <w:tabs>
          <w:tab w:leader="none" w:pos="5082"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w:t>
      </w:r>
    </w:p>
    <w:p>
      <w:pPr>
        <w:sectPr>
          <w:pgSz w:w="11900" w:h="16838" w:orient="portrait"/>
          <w:cols w:equalWidth="0" w:num="1">
            <w:col w:w="10782"/>
          </w:cols>
          <w:pgMar w:left="798" w:top="1114" w:right="31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5"/>
          <w:szCs w:val="15"/>
          <w:u w:val="single" w:color="auto"/>
          <w:color w:val="auto"/>
        </w:rPr>
        <w:t>Section 9(c)</w:t>
      </w:r>
      <w:r>
        <w:rPr>
          <w:rFonts w:ascii="Times New Roman" w:cs="Times New Roman" w:eastAsia="Times New Roman" w:hAnsi="Times New Roman"/>
          <w:sz w:val="15"/>
          <w:szCs w:val="15"/>
          <w:color w:val="auto"/>
        </w:rPr>
        <w:t xml:space="preserve">) of, any action, suit or proceeding between any of the indemnified parties and any indemnifying parties or between any indemnified party and any third party, or otherwise, or any claim asserted),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this indemnity agreement shall not apply to the extent that such loss, claim, liability, expense or damage arises from the sale of the Placement Shares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this Agreement and is caused directly or indirectly by an untrue statement or omission, or alleged untrue statement or omission, made in reliance upon and in conformity with solely Agent’s Information. “</w:t>
      </w:r>
      <w:r>
        <w:rPr>
          <w:rFonts w:ascii="Times New Roman" w:cs="Times New Roman" w:eastAsia="Times New Roman" w:hAnsi="Times New Roman"/>
          <w:sz w:val="15"/>
          <w:szCs w:val="15"/>
          <w:b w:val="1"/>
          <w:bCs w:val="1"/>
          <w:u w:val="single" w:color="auto"/>
          <w:color w:val="auto"/>
        </w:rPr>
        <w:t>Agent’s Information</w:t>
      </w:r>
      <w:r>
        <w:rPr>
          <w:rFonts w:ascii="Times New Roman" w:cs="Times New Roman" w:eastAsia="Times New Roman" w:hAnsi="Times New Roman"/>
          <w:sz w:val="15"/>
          <w:szCs w:val="15"/>
          <w:color w:val="auto"/>
        </w:rPr>
        <w:t>” means, solely, the following information in the Prospectus: the third sentence of the ninth paragraph under the caption “Plan of Distribution” in the Prospectus. This indemnity agreement will be in addition to any liability that the Company might otherwise have.</w:t>
      </w:r>
    </w:p>
    <w:p>
      <w:pPr>
        <w:spacing w:after="0" w:line="139" w:lineRule="exact"/>
        <w:rPr>
          <w:sz w:val="20"/>
          <w:szCs w:val="20"/>
          <w:color w:val="auto"/>
        </w:rPr>
      </w:pPr>
    </w:p>
    <w:p>
      <w:pPr>
        <w:jc w:val="both"/>
        <w:ind w:firstLine="498"/>
        <w:spacing w:after="0" w:line="263" w:lineRule="auto"/>
        <w:tabs>
          <w:tab w:leader="none" w:pos="71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TD Cowen Indemnification</w:t>
      </w:r>
      <w:r>
        <w:rPr>
          <w:rFonts w:ascii="Times New Roman" w:cs="Times New Roman" w:eastAsia="Times New Roman" w:hAnsi="Times New Roman"/>
          <w:sz w:val="15"/>
          <w:szCs w:val="15"/>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5"/>
          <w:szCs w:val="15"/>
          <w:u w:val="single" w:color="auto"/>
          <w:color w:val="auto"/>
        </w:rPr>
        <w:t>Section 9(a)</w:t>
      </w:r>
      <w:r>
        <w:rPr>
          <w:rFonts w:ascii="Times New Roman" w:cs="Times New Roman" w:eastAsia="Times New Roman" w:hAnsi="Times New Roman"/>
          <w:sz w:val="15"/>
          <w:szCs w:val="15"/>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28" w:lineRule="exact"/>
        <w:rPr>
          <w:rFonts w:ascii="Times New Roman" w:cs="Times New Roman" w:eastAsia="Times New Roman" w:hAnsi="Times New Roman"/>
          <w:sz w:val="15"/>
          <w:szCs w:val="15"/>
          <w:color w:val="auto"/>
        </w:rPr>
      </w:pPr>
    </w:p>
    <w:p>
      <w:pPr>
        <w:jc w:val="both"/>
        <w:ind w:firstLine="498"/>
        <w:spacing w:after="0" w:line="257" w:lineRule="auto"/>
        <w:tabs>
          <w:tab w:leader="none" w:pos="711"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w:t>
      </w:r>
      <w:r>
        <w:rPr>
          <w:rFonts w:ascii="Times New Roman" w:cs="Times New Roman" w:eastAsia="Times New Roman" w:hAnsi="Times New Roman"/>
          <w:sz w:val="15"/>
          <w:szCs w:val="15"/>
          <w:color w:val="auto"/>
        </w:rPr>
        <w:t xml:space="preserve">. Any party that proposes to assert the right to be indemnified under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will, promptly after receipt of written notice of commencement of any action against such party in respect of which a claim is to be made against an indemnifying party or parties under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notify in writing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and (ii) any liability that it may have to any indemnified party under the foregoing provision of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w:t>
      </w:r>
    </w:p>
    <w:p>
      <w:pPr>
        <w:sectPr>
          <w:pgSz w:w="11900" w:h="16838" w:orient="portrait"/>
          <w:cols w:equalWidth="0" w:num="1">
            <w:col w:w="11280"/>
          </w:cols>
          <w:pgMar w:left="300" w:top="1114" w:right="31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within 30 days after the indemnifying party receives a reasonably detailed written invoice relating to such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 and does not include a statement as to or an admission of fault, culpability or a failure to act by or on behalf of any indemnified party.</w:t>
      </w:r>
    </w:p>
    <w:p>
      <w:pPr>
        <w:spacing w:after="0" w:line="144" w:lineRule="exact"/>
        <w:rPr>
          <w:sz w:val="20"/>
          <w:szCs w:val="20"/>
          <w:color w:val="auto"/>
        </w:rPr>
      </w:pPr>
    </w:p>
    <w:p>
      <w:pPr>
        <w:jc w:val="both"/>
        <w:ind w:firstLine="498"/>
        <w:spacing w:after="0" w:line="255" w:lineRule="auto"/>
        <w:tabs>
          <w:tab w:leader="none" w:pos="71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hand, with respect to the statements or omission that resulted in such loss, claim, liability, expense or damage, or action in respect thereof, as well as any other relevant equitable considerations with respect to such offering. Such relative fault shall be</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3"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26 -</w:t>
      </w:r>
    </w:p>
    <w:p>
      <w:pPr>
        <w:sectPr>
          <w:pgSz w:w="11900" w:h="16838" w:orient="portrait"/>
          <w:cols w:equalWidth="0" w:num="1">
            <w:col w:w="11280"/>
          </w:cols>
          <w:pgMar w:left="300" w:top="1114" w:right="31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shall be deemed to include, for the purpose of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any reasonable and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5"/>
          <w:szCs w:val="15"/>
          <w:u w:val="single" w:color="auto"/>
          <w:color w:val="auto"/>
        </w:rPr>
        <w:t>Section 9(c)</w:t>
      </w:r>
      <w:r>
        <w:rPr>
          <w:rFonts w:ascii="Times New Roman" w:cs="Times New Roman" w:eastAsia="Times New Roman" w:hAnsi="Times New Roman"/>
          <w:sz w:val="15"/>
          <w:szCs w:val="15"/>
          <w:color w:val="auto"/>
        </w:rPr>
        <w:t xml:space="preserve"> hereof. Notwithstanding the foregoing provisions of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found guilty of such fraudulent misrepresentation. For purposes of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any person who controls a party to this Agreement within the meaning of the Securities Act, and any officers, directors, partners, employees or agents of TD Cowen,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5"/>
          <w:szCs w:val="15"/>
          <w:u w:val="single" w:color="auto"/>
          <w:color w:val="auto"/>
        </w:rPr>
        <w:t>Section 9(d)</w:t>
      </w:r>
      <w:r>
        <w:rPr>
          <w:rFonts w:ascii="Times New Roman" w:cs="Times New Roman" w:eastAsia="Times New Roman" w:hAnsi="Times New Roman"/>
          <w:sz w:val="15"/>
          <w:szCs w:val="15"/>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5"/>
          <w:szCs w:val="15"/>
          <w:u w:val="single" w:color="auto"/>
          <w:color w:val="auto"/>
        </w:rPr>
        <w:t>Section 9(c)</w:t>
      </w:r>
      <w:r>
        <w:rPr>
          <w:rFonts w:ascii="Times New Roman" w:cs="Times New Roman" w:eastAsia="Times New Roman" w:hAnsi="Times New Roman"/>
          <w:sz w:val="15"/>
          <w:szCs w:val="15"/>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5"/>
          <w:szCs w:val="15"/>
          <w:u w:val="single" w:color="auto"/>
          <w:color w:val="auto"/>
        </w:rPr>
        <w:t>Section 9(c)</w:t>
      </w:r>
      <w:r>
        <w:rPr>
          <w:rFonts w:ascii="Times New Roman" w:cs="Times New Roman" w:eastAsia="Times New Roman" w:hAnsi="Times New Roman"/>
          <w:sz w:val="15"/>
          <w:szCs w:val="15"/>
          <w:color w:val="auto"/>
        </w:rPr>
        <w:t xml:space="preserve"> hereof.</w:t>
      </w:r>
    </w:p>
    <w:p>
      <w:pPr>
        <w:spacing w:after="0" w:line="144" w:lineRule="exact"/>
        <w:rPr>
          <w:sz w:val="20"/>
          <w:szCs w:val="20"/>
          <w:color w:val="auto"/>
        </w:rPr>
      </w:pPr>
    </w:p>
    <w:p>
      <w:pPr>
        <w:jc w:val="both"/>
        <w:ind w:firstLine="498"/>
        <w:spacing w:after="0" w:line="260" w:lineRule="auto"/>
        <w:tabs>
          <w:tab w:leader="none" w:pos="733"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Agreements to Survive Delivery</w:t>
      </w:r>
      <w:r>
        <w:rPr>
          <w:rFonts w:ascii="Times New Roman" w:cs="Times New Roman" w:eastAsia="Times New Roman" w:hAnsi="Times New Roman"/>
          <w:sz w:val="15"/>
          <w:szCs w:val="15"/>
          <w:color w:val="auto"/>
        </w:rPr>
        <w:t xml:space="preserve">. The indemnity and contribution agreements contained in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40" w:lineRule="exact"/>
        <w:rPr>
          <w:rFonts w:ascii="Times New Roman" w:cs="Times New Roman" w:eastAsia="Times New Roman" w:hAnsi="Times New Roman"/>
          <w:sz w:val="15"/>
          <w:szCs w:val="15"/>
          <w:color w:val="auto"/>
        </w:rPr>
      </w:pPr>
    </w:p>
    <w:p>
      <w:pPr>
        <w:ind w:left="720" w:hanging="222"/>
        <w:spacing w:after="0"/>
        <w:tabs>
          <w:tab w:leader="none" w:pos="7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w:t>
      </w:r>
    </w:p>
    <w:p>
      <w:pPr>
        <w:spacing w:after="0" w:line="168" w:lineRule="exact"/>
        <w:rPr>
          <w:sz w:val="20"/>
          <w:szCs w:val="20"/>
          <w:color w:val="auto"/>
        </w:rPr>
      </w:pPr>
    </w:p>
    <w:p>
      <w:pPr>
        <w:jc w:val="both"/>
        <w:ind w:firstLine="498"/>
        <w:spacing w:after="0" w:line="259" w:lineRule="auto"/>
        <w:tabs>
          <w:tab w:leader="none" w:pos="727"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TD 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 xml:space="preserve"> (Expenses),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(Indemnification and Contribution),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(Representations and Agreements to Survive Delivery),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(Applicable Law; Consent to Jurisdiction) and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(Waiver of Jury Trial) hereof shall remain in full force and effect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1"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27 -</w:t>
      </w:r>
    </w:p>
    <w:p>
      <w:pPr>
        <w:sectPr>
          <w:pgSz w:w="11900" w:h="16838" w:orient="portrait"/>
          <w:cols w:equalWidth="0" w:num="1">
            <w:col w:w="11280"/>
          </w:cols>
          <w:pgMar w:left="300" w:top="1114" w:right="319" w:bottom="1440" w:gutter="0" w:footer="0" w:header="0"/>
        </w:sectPr>
      </w:pPr>
    </w:p>
    <w:bookmarkStart w:id="81" w:name="page82"/>
    <w:bookmarkEnd w:id="81"/>
    <w:p>
      <w:pPr>
        <w:spacing w:after="0" w:line="292" w:lineRule="auto"/>
        <w:rPr>
          <w:sz w:val="20"/>
          <w:szCs w:val="20"/>
          <w:color w:val="auto"/>
        </w:rPr>
      </w:pPr>
      <w:r>
        <w:rPr>
          <w:rFonts w:ascii="Times New Roman" w:cs="Times New Roman" w:eastAsia="Times New Roman" w:hAnsi="Times New Roman"/>
          <w:sz w:val="15"/>
          <w:szCs w:val="15"/>
          <w:color w:val="auto"/>
        </w:rPr>
        <w:t xml:space="preserve">notwithstanding such termination. If TD Cowen elects to terminate this Agreement as provided in this </w:t>
      </w:r>
      <w:r>
        <w:rPr>
          <w:rFonts w:ascii="Times New Roman" w:cs="Times New Roman" w:eastAsia="Times New Roman" w:hAnsi="Times New Roman"/>
          <w:sz w:val="15"/>
          <w:szCs w:val="15"/>
          <w:u w:val="single" w:color="auto"/>
          <w:color w:val="auto"/>
        </w:rPr>
        <w:t>Section 11(a)</w:t>
      </w:r>
      <w:r>
        <w:rPr>
          <w:rFonts w:ascii="Times New Roman" w:cs="Times New Roman" w:eastAsia="Times New Roman" w:hAnsi="Times New Roman"/>
          <w:sz w:val="15"/>
          <w:szCs w:val="15"/>
          <w:color w:val="auto"/>
        </w:rPr>
        <w:t xml:space="preserve">, TD Cowen shall provide the required notice as specified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(Notices).</w:t>
      </w:r>
    </w:p>
    <w:p>
      <w:pPr>
        <w:spacing w:after="0" w:line="107" w:lineRule="exact"/>
        <w:rPr>
          <w:sz w:val="20"/>
          <w:szCs w:val="20"/>
          <w:color w:val="auto"/>
        </w:rPr>
      </w:pPr>
    </w:p>
    <w:p>
      <w:pPr>
        <w:jc w:val="both"/>
        <w:ind w:firstLine="498"/>
        <w:spacing w:after="0" w:line="268" w:lineRule="auto"/>
        <w:tabs>
          <w:tab w:leader="none" w:pos="71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hereof shall remain in full force and effect notwithstanding such termination.</w:t>
      </w:r>
    </w:p>
    <w:p>
      <w:pPr>
        <w:spacing w:after="0" w:line="134" w:lineRule="exact"/>
        <w:rPr>
          <w:rFonts w:ascii="Times New Roman" w:cs="Times New Roman" w:eastAsia="Times New Roman" w:hAnsi="Times New Roman"/>
          <w:sz w:val="15"/>
          <w:szCs w:val="15"/>
          <w:color w:val="auto"/>
        </w:rPr>
      </w:pPr>
    </w:p>
    <w:p>
      <w:pPr>
        <w:jc w:val="both"/>
        <w:ind w:firstLine="498"/>
        <w:spacing w:after="0" w:line="268" w:lineRule="auto"/>
        <w:tabs>
          <w:tab w:leader="none" w:pos="713"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hereof shall remain in full force and effect notwithstanding such termination.</w:t>
      </w:r>
    </w:p>
    <w:p>
      <w:pPr>
        <w:spacing w:after="0" w:line="134" w:lineRule="exact"/>
        <w:rPr>
          <w:rFonts w:ascii="Times New Roman" w:cs="Times New Roman" w:eastAsia="Times New Roman" w:hAnsi="Times New Roman"/>
          <w:sz w:val="15"/>
          <w:szCs w:val="15"/>
          <w:color w:val="auto"/>
        </w:rPr>
      </w:pPr>
    </w:p>
    <w:p>
      <w:pPr>
        <w:jc w:val="both"/>
        <w:ind w:firstLine="498"/>
        <w:spacing w:after="0" w:line="268" w:lineRule="auto"/>
        <w:tabs>
          <w:tab w:leader="none" w:pos="723"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earlier terminated pursuant to this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provisions of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hereof shall remain in full force and effect notwithstanding such termination.</w:t>
      </w:r>
    </w:p>
    <w:p>
      <w:pPr>
        <w:spacing w:after="0" w:line="134" w:lineRule="exact"/>
        <w:rPr>
          <w:rFonts w:ascii="Times New Roman" w:cs="Times New Roman" w:eastAsia="Times New Roman" w:hAnsi="Times New Roman"/>
          <w:sz w:val="15"/>
          <w:szCs w:val="15"/>
          <w:color w:val="auto"/>
        </w:rPr>
      </w:pPr>
    </w:p>
    <w:p>
      <w:pPr>
        <w:jc w:val="both"/>
        <w:ind w:firstLine="498"/>
        <w:spacing w:after="0" w:line="259" w:lineRule="auto"/>
        <w:tabs>
          <w:tab w:leader="none" w:pos="71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shall remain in full force and effect unless terminated pursuant to </w:t>
      </w:r>
      <w:r>
        <w:rPr>
          <w:rFonts w:ascii="Times New Roman" w:cs="Times New Roman" w:eastAsia="Times New Roman" w:hAnsi="Times New Roman"/>
          <w:sz w:val="15"/>
          <w:szCs w:val="15"/>
          <w:u w:val="single" w:color="auto"/>
          <w:color w:val="auto"/>
        </w:rPr>
        <w:t>Sections 11(a)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above or otherwise by mutual agreement of the parties; </w:t>
      </w: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any such termination by mutual agreement shall in all cases be deemed to provide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7(g)</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remain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full force and effect. Upon termination of this Agreement, the Company shall not have any liability to TD Cowen for any discount, commission or other compensation with respect to any Placement Shares not otherwise sold by TD Cowen under this Agreement, except with respect to reimbursement of expenses actually incurred by TD Cowen, if any, to the extent provided for pursuant to Section 7(g)(vii), Section 7(g)(viii) and Section 7(g)(ix).</w:t>
      </w:r>
    </w:p>
    <w:p>
      <w:pPr>
        <w:spacing w:after="0" w:line="140" w:lineRule="exact"/>
        <w:rPr>
          <w:rFonts w:ascii="Times New Roman" w:cs="Times New Roman" w:eastAsia="Times New Roman" w:hAnsi="Times New Roman"/>
          <w:sz w:val="15"/>
          <w:szCs w:val="15"/>
          <w:color w:val="auto"/>
        </w:rPr>
      </w:pPr>
    </w:p>
    <w:p>
      <w:pPr>
        <w:jc w:val="both"/>
        <w:ind w:firstLine="498"/>
        <w:spacing w:after="0" w:line="269" w:lineRule="auto"/>
        <w:tabs>
          <w:tab w:leader="none" w:pos="691"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termination of this Agreement shall be effective on the date specified in such notice of termination;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spacing w:after="0" w:line="124" w:lineRule="exact"/>
        <w:rPr>
          <w:sz w:val="20"/>
          <w:szCs w:val="20"/>
          <w:color w:val="auto"/>
        </w:rPr>
      </w:pPr>
    </w:p>
    <w:p>
      <w:pPr>
        <w:jc w:val="both"/>
        <w:ind w:firstLine="498"/>
        <w:spacing w:after="0" w:line="257" w:lineRule="auto"/>
        <w:tabs>
          <w:tab w:leader="none" w:pos="722"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email: atm-team@tdsecurities.com, with a copy to CIBLegal@tdsecurities.com, with a copy to Paul Hastings LLP, the MetLife Building, 200 Park Avenue, New York, New York 10166, Attention: Siavosh Salimi, email: seosalimi@paulhastings.com and William A. Magioncalda, email: willmagioncalda@paulhastings.com; or if sent to the Company, shall be delivered to the Company at 221 Crescent Street, Building 23, Suite 105, Waltham, MA 02453, attention: Scott Burrows, Chief Financial Officer, email: , with a copy to Ropes &amp; Gray LLP, Prudential Tower, 800 Boylston Street, Boston, MA 02453, Attention: Thomas J. Danielski, email: thomas.danielski@ropesgray.com. Each party to this Agreement may change such address for notices by sending to the parties to this Agreement written notice of a new address for such purpose. Each such notice or other communication shall be deemed given (i) when delivered personally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28 -</w:t>
      </w:r>
    </w:p>
    <w:p>
      <w:pPr>
        <w:sectPr>
          <w:pgSz w:w="11900" w:h="16838" w:orient="portrait"/>
          <w:cols w:equalWidth="0" w:num="1">
            <w:col w:w="11280"/>
          </w:cols>
          <w:pgMar w:left="300" w:top="1114" w:right="319" w:bottom="1440" w:gutter="0" w:footer="0" w:header="0"/>
        </w:sectPr>
      </w:pPr>
    </w:p>
    <w:bookmarkStart w:id="82" w:name="page83"/>
    <w:bookmarkEnd w:id="82"/>
    <w:p>
      <w:pPr>
        <w:jc w:val="both"/>
        <w:spacing w:after="0" w:line="265" w:lineRule="auto"/>
        <w:rPr>
          <w:sz w:val="20"/>
          <w:szCs w:val="20"/>
          <w:color w:val="auto"/>
        </w:rPr>
      </w:pPr>
      <w:r>
        <w:rPr>
          <w:rFonts w:ascii="Times New Roman" w:cs="Times New Roman" w:eastAsia="Times New Roman" w:hAnsi="Times New Roman"/>
          <w:sz w:val="15"/>
          <w:szCs w:val="15"/>
          <w:color w:val="auto"/>
        </w:rPr>
        <w:t>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5"/>
          <w:szCs w:val="15"/>
          <w:b w:val="1"/>
          <w:bCs w:val="1"/>
          <w:u w:val="single" w:color="auto"/>
          <w:color w:val="auto"/>
        </w:rPr>
        <w:t>Business Day</w:t>
      </w:r>
      <w:r>
        <w:rPr>
          <w:rFonts w:ascii="Times New Roman" w:cs="Times New Roman" w:eastAsia="Times New Roman" w:hAnsi="Times New Roman"/>
          <w:sz w:val="15"/>
          <w:szCs w:val="15"/>
          <w:color w:val="auto"/>
        </w:rPr>
        <w:t>” shall mean any day on which Nasdaq and commercial banks in the City of New York are open for business.</w:t>
      </w:r>
    </w:p>
    <w:p>
      <w:pPr>
        <w:spacing w:after="0" w:line="126" w:lineRule="exact"/>
        <w:rPr>
          <w:sz w:val="20"/>
          <w:szCs w:val="20"/>
          <w:color w:val="auto"/>
        </w:rPr>
      </w:pPr>
    </w:p>
    <w:p>
      <w:pPr>
        <w:jc w:val="both"/>
        <w:ind w:firstLine="498"/>
        <w:spacing w:after="0" w:line="259" w:lineRule="auto"/>
        <w:tabs>
          <w:tab w:leader="none" w:pos="733"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TD Cowen may assign its rights and obligations hereunder to an affiliate of TD Cowen without obtaining the Company’s consent.</w:t>
      </w:r>
    </w:p>
    <w:p>
      <w:pPr>
        <w:spacing w:after="0" w:line="142" w:lineRule="exact"/>
        <w:rPr>
          <w:rFonts w:ascii="Times New Roman" w:cs="Times New Roman" w:eastAsia="Times New Roman" w:hAnsi="Times New Roman"/>
          <w:sz w:val="15"/>
          <w:szCs w:val="15"/>
          <w:color w:val="auto"/>
        </w:rPr>
      </w:pPr>
    </w:p>
    <w:p>
      <w:pPr>
        <w:ind w:firstLine="498"/>
        <w:spacing w:after="0" w:line="292" w:lineRule="auto"/>
        <w:tabs>
          <w:tab w:leader="none" w:pos="72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 for Share Splits</w:t>
      </w:r>
      <w:r>
        <w:rPr>
          <w:rFonts w:ascii="Times New Roman" w:cs="Times New Roman" w:eastAsia="Times New Roman" w:hAnsi="Times New Roman"/>
          <w:sz w:val="15"/>
          <w:szCs w:val="15"/>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06" w:lineRule="exact"/>
        <w:rPr>
          <w:rFonts w:ascii="Times New Roman" w:cs="Times New Roman" w:eastAsia="Times New Roman" w:hAnsi="Times New Roman"/>
          <w:sz w:val="15"/>
          <w:szCs w:val="15"/>
          <w:color w:val="auto"/>
        </w:rPr>
      </w:pPr>
    </w:p>
    <w:p>
      <w:pPr>
        <w:jc w:val="both"/>
        <w:ind w:firstLine="498"/>
        <w:spacing w:after="0" w:line="257" w:lineRule="auto"/>
        <w:tabs>
          <w:tab w:leader="none" w:pos="72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 Amendment; Severability</w:t>
      </w:r>
      <w:r>
        <w:rPr>
          <w:rFonts w:ascii="Times New Roman" w:cs="Times New Roman" w:eastAsia="Times New Roman" w:hAnsi="Times New Roman"/>
          <w:sz w:val="15"/>
          <w:szCs w:val="15"/>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43" w:lineRule="exact"/>
        <w:rPr>
          <w:rFonts w:ascii="Times New Roman" w:cs="Times New Roman" w:eastAsia="Times New Roman" w:hAnsi="Times New Roman"/>
          <w:sz w:val="15"/>
          <w:szCs w:val="15"/>
          <w:color w:val="auto"/>
        </w:rPr>
      </w:pPr>
    </w:p>
    <w:p>
      <w:pPr>
        <w:jc w:val="both"/>
        <w:ind w:firstLine="498"/>
        <w:spacing w:after="0" w:line="256" w:lineRule="auto"/>
        <w:tabs>
          <w:tab w:leader="none" w:pos="72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Applicable Law; Consent to Jurisdiction</w:t>
      </w:r>
      <w:r>
        <w:rPr>
          <w:rFonts w:ascii="Times New Roman" w:cs="Times New Roman" w:eastAsia="Times New Roman" w:hAnsi="Times New Roman"/>
          <w:sz w:val="15"/>
          <w:szCs w:val="15"/>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6"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29 -</w:t>
      </w:r>
    </w:p>
    <w:p>
      <w:pPr>
        <w:sectPr>
          <w:pgSz w:w="11900" w:h="16838" w:orient="portrait"/>
          <w:cols w:equalWidth="0" w:num="1">
            <w:col w:w="11280"/>
          </w:cols>
          <w:pgMar w:left="300" w:top="111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color w:val="auto"/>
        </w:rPr>
        <w:t>sufficient service of process and notice thereof. Nothing contained herein shall be deemed to limit in any way any right to serve process in any manner permitted by law.</w:t>
      </w:r>
    </w:p>
    <w:p>
      <w:pPr>
        <w:spacing w:after="0" w:line="178" w:lineRule="exact"/>
        <w:rPr>
          <w:sz w:val="20"/>
          <w:szCs w:val="20"/>
          <w:color w:val="auto"/>
        </w:rPr>
      </w:pPr>
    </w:p>
    <w:p>
      <w:pPr>
        <w:ind w:firstLine="498"/>
        <w:spacing w:after="0" w:line="278" w:lineRule="auto"/>
        <w:tabs>
          <w:tab w:leader="none" w:pos="722"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The Company and TD Cowen each hereby irrevocably waives any right it may have to a trial by jury in respect of any claim based upon or arising out of this Agreement or any transaction contemplated hereby.</w:t>
      </w:r>
    </w:p>
    <w:p>
      <w:pPr>
        <w:spacing w:after="0" w:line="124" w:lineRule="exact"/>
        <w:rPr>
          <w:rFonts w:ascii="Times New Roman" w:cs="Times New Roman" w:eastAsia="Times New Roman" w:hAnsi="Times New Roman"/>
          <w:sz w:val="15"/>
          <w:szCs w:val="15"/>
          <w:color w:val="auto"/>
        </w:rPr>
      </w:pPr>
    </w:p>
    <w:p>
      <w:pPr>
        <w:ind w:left="720" w:hanging="222"/>
        <w:spacing w:after="0"/>
        <w:tabs>
          <w:tab w:leader="none" w:pos="7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Fiduciary Relationship</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Company acknowledges and agrees that:</w:t>
      </w:r>
    </w:p>
    <w:p>
      <w:pPr>
        <w:spacing w:after="0" w:line="170" w:lineRule="exact"/>
        <w:rPr>
          <w:sz w:val="20"/>
          <w:szCs w:val="20"/>
          <w:color w:val="auto"/>
        </w:rPr>
      </w:pPr>
    </w:p>
    <w:p>
      <w:pPr>
        <w:jc w:val="both"/>
        <w:ind w:firstLine="498"/>
        <w:spacing w:after="0" w:line="275" w:lineRule="auto"/>
        <w:tabs>
          <w:tab w:leader="none" w:pos="716"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119" w:lineRule="exact"/>
        <w:rPr>
          <w:rFonts w:ascii="Times New Roman" w:cs="Times New Roman" w:eastAsia="Times New Roman" w:hAnsi="Times New Roman"/>
          <w:sz w:val="15"/>
          <w:szCs w:val="15"/>
          <w:color w:val="auto"/>
        </w:rPr>
      </w:pPr>
    </w:p>
    <w:p>
      <w:pPr>
        <w:ind w:left="720" w:hanging="222"/>
        <w:spacing w:after="0"/>
        <w:tabs>
          <w:tab w:leader="none" w:pos="72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capable of evaluating and understanding and understands and accepts the terms, risks and conditions of the transactions contemplated by this Agreement;</w:t>
      </w:r>
    </w:p>
    <w:p>
      <w:pPr>
        <w:spacing w:after="0" w:line="178" w:lineRule="exact"/>
        <w:rPr>
          <w:rFonts w:ascii="Times New Roman" w:cs="Times New Roman" w:eastAsia="Times New Roman" w:hAnsi="Times New Roman"/>
          <w:sz w:val="15"/>
          <w:szCs w:val="15"/>
          <w:color w:val="auto"/>
        </w:rPr>
      </w:pPr>
    </w:p>
    <w:p>
      <w:pPr>
        <w:ind w:firstLine="498"/>
        <w:spacing w:after="0" w:line="278" w:lineRule="auto"/>
        <w:tabs>
          <w:tab w:leader="none" w:pos="721"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26" w:lineRule="exact"/>
        <w:rPr>
          <w:rFonts w:ascii="Times New Roman" w:cs="Times New Roman" w:eastAsia="Times New Roman" w:hAnsi="Times New Roman"/>
          <w:sz w:val="15"/>
          <w:szCs w:val="15"/>
          <w:color w:val="auto"/>
        </w:rPr>
      </w:pPr>
    </w:p>
    <w:p>
      <w:pPr>
        <w:jc w:val="both"/>
        <w:ind w:firstLine="498"/>
        <w:spacing w:after="0" w:line="268" w:lineRule="auto"/>
        <w:tabs>
          <w:tab w:leader="none" w:pos="717"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34" w:lineRule="exact"/>
        <w:rPr>
          <w:sz w:val="20"/>
          <w:szCs w:val="20"/>
          <w:color w:val="auto"/>
        </w:rPr>
      </w:pPr>
    </w:p>
    <w:p>
      <w:pPr>
        <w:jc w:val="both"/>
        <w:ind w:firstLine="498"/>
        <w:spacing w:after="0" w:line="265" w:lineRule="auto"/>
        <w:tabs>
          <w:tab w:leader="none" w:pos="722"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two or more counterparts, each of which shall be deemed an original, but all of which together shall constitute one and the same instrument. Delivery of an executed Agreement by one party to the other may be made by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25" w:lineRule="exact"/>
        <w:rPr>
          <w:rFonts w:ascii="Times New Roman" w:cs="Times New Roman" w:eastAsia="Times New Roman" w:hAnsi="Times New Roman"/>
          <w:sz w:val="15"/>
          <w:szCs w:val="15"/>
          <w:color w:val="auto"/>
        </w:rPr>
      </w:pPr>
    </w:p>
    <w:p>
      <w:pPr>
        <w:ind w:left="720" w:hanging="222"/>
        <w:spacing w:after="0"/>
        <w:tabs>
          <w:tab w:leader="none" w:pos="72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Recognition of the U.S. Special Resolution Regimes</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both"/>
        <w:ind w:firstLine="498"/>
        <w:spacing w:after="0" w:line="268" w:lineRule="auto"/>
        <w:tabs>
          <w:tab w:leader="none" w:pos="726"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4" w:lineRule="exact"/>
        <w:rPr>
          <w:rFonts w:ascii="Times New Roman" w:cs="Times New Roman" w:eastAsia="Times New Roman" w:hAnsi="Times New Roman"/>
          <w:sz w:val="15"/>
          <w:szCs w:val="15"/>
          <w:color w:val="auto"/>
        </w:rPr>
      </w:pPr>
    </w:p>
    <w:p>
      <w:pPr>
        <w:jc w:val="both"/>
        <w:ind w:firstLine="498"/>
        <w:spacing w:after="0" w:line="275" w:lineRule="auto"/>
        <w:tabs>
          <w:tab w:leader="none" w:pos="724"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49" w:lineRule="exact"/>
        <w:rPr>
          <w:rFonts w:ascii="Times New Roman" w:cs="Times New Roman" w:eastAsia="Times New Roman" w:hAnsi="Times New Roman"/>
          <w:sz w:val="15"/>
          <w:szCs w:val="15"/>
          <w:color w:val="auto"/>
        </w:rPr>
      </w:pPr>
    </w:p>
    <w:p>
      <w:pPr>
        <w:ind w:left="5580" w:hanging="85"/>
        <w:spacing w:after="0"/>
        <w:tabs>
          <w:tab w:leader="none" w:pos="558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w:t>
      </w:r>
    </w:p>
    <w:p>
      <w:pPr>
        <w:sectPr>
          <w:pgSz w:w="11900" w:h="16838" w:orient="portrait"/>
          <w:cols w:equalWidth="0" w:num="1">
            <w:col w:w="11280"/>
          </w:cols>
          <w:pgMar w:left="300" w:top="1114" w:right="319" w:bottom="1440" w:gutter="0" w:footer="0" w:header="0"/>
        </w:sectPr>
      </w:pPr>
    </w:p>
    <w:bookmarkStart w:id="84" w:name="page85"/>
    <w:bookmarkEnd w:id="84"/>
    <w:p>
      <w:pPr>
        <w:ind w:left="700" w:hanging="202"/>
        <w:spacing w:after="0"/>
        <w:tabs>
          <w:tab w:leader="none" w:pos="70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20; (a) “</w:t>
      </w:r>
      <w:r>
        <w:rPr>
          <w:rFonts w:ascii="Times New Roman" w:cs="Times New Roman" w:eastAsia="Times New Roman" w:hAnsi="Times New Roman"/>
          <w:sz w:val="15"/>
          <w:szCs w:val="15"/>
          <w:b w:val="1"/>
          <w:bCs w:val="1"/>
          <w:u w:val="single" w:color="auto"/>
          <w:color w:val="auto"/>
        </w:rPr>
        <w:t>BHC Act Affiliate</w:t>
      </w:r>
      <w:r>
        <w:rPr>
          <w:rFonts w:ascii="Times New Roman" w:cs="Times New Roman" w:eastAsia="Times New Roman" w:hAnsi="Times New Roman"/>
          <w:sz w:val="15"/>
          <w:szCs w:val="15"/>
          <w:color w:val="auto"/>
        </w:rPr>
        <w:t>” has the meaning assigned to the term “affiliate” in, and shall be interpreted in accordance with, 12 U.S.C. § 1841(k),</w:t>
      </w:r>
    </w:p>
    <w:p>
      <w:pPr>
        <w:spacing w:after="0" w:line="28" w:lineRule="exact"/>
        <w:rPr>
          <w:rFonts w:ascii="Times New Roman" w:cs="Times New Roman" w:eastAsia="Times New Roman" w:hAnsi="Times New Roman"/>
          <w:sz w:val="15"/>
          <w:szCs w:val="15"/>
          <w:color w:val="auto"/>
        </w:rPr>
      </w:pPr>
    </w:p>
    <w:p>
      <w:pPr>
        <w:jc w:val="both"/>
        <w:ind w:firstLine="3"/>
        <w:spacing w:after="0" w:line="251" w:lineRule="auto"/>
        <w:tabs>
          <w:tab w:leader="none" w:pos="214"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Covered Entity</w:t>
      </w:r>
      <w:r>
        <w:rPr>
          <w:rFonts w:ascii="Times New Roman" w:cs="Times New Roman" w:eastAsia="Times New Roman" w:hAnsi="Times New Roman"/>
          <w:sz w:val="15"/>
          <w:szCs w:val="15"/>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jc w:val="both"/>
        <w:ind w:firstLine="3"/>
        <w:spacing w:after="0" w:line="260" w:lineRule="auto"/>
        <w:tabs>
          <w:tab w:leader="none" w:pos="216"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Default Right</w:t>
      </w:r>
      <w:r>
        <w:rPr>
          <w:rFonts w:ascii="Times New Roman" w:cs="Times New Roman" w:eastAsia="Times New Roman" w:hAnsi="Times New Roman"/>
          <w:sz w:val="15"/>
          <w:szCs w:val="15"/>
          <w:color w:val="auto"/>
        </w:rPr>
        <w:t>” has the meaning assigned to that term in, and shall be interpreted in accordance with, 12 C.F.R. §§ 252.81, 47.2 or 382.1, as applicable, and (d) “</w:t>
      </w:r>
      <w:r>
        <w:rPr>
          <w:rFonts w:ascii="Times New Roman" w:cs="Times New Roman" w:eastAsia="Times New Roman" w:hAnsi="Times New Roman"/>
          <w:sz w:val="15"/>
          <w:szCs w:val="15"/>
          <w:b w:val="1"/>
          <w:bCs w:val="1"/>
          <w:u w:val="single" w:color="auto"/>
          <w:color w:val="auto"/>
        </w:rPr>
        <w:t>U.S.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Resolution Regime</w:t>
      </w:r>
      <w:r>
        <w:rPr>
          <w:rFonts w:ascii="Times New Roman" w:cs="Times New Roman" w:eastAsia="Times New Roman" w:hAnsi="Times New Roman"/>
          <w:sz w:val="15"/>
          <w:szCs w:val="15"/>
          <w:color w:val="auto"/>
        </w:rPr>
        <w:t>” means each of (i) the Federal Deposit Insurance Act and the regulations promulgated thereunder and (ii) Title II of the Dodd-Frank Wall Street Reform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Consumer Protection Act and the regulations promulgated thereunder.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- 31 -</w:t>
      </w:r>
    </w:p>
    <w:p>
      <w:pPr>
        <w:sectPr>
          <w:pgSz w:w="11900" w:h="16838" w:orient="portrait"/>
          <w:cols w:equalWidth="0" w:num="1">
            <w:col w:w="11280"/>
          </w:cols>
          <w:pgMar w:left="300" w:top="1110" w:right="319" w:bottom="1440" w:gutter="0" w:footer="0" w:header="0"/>
        </w:sectPr>
      </w:pPr>
    </w:p>
    <w:bookmarkStart w:id="85" w:name="page86"/>
    <w:bookmarkEnd w:id="85"/>
    <w:p>
      <w:pPr>
        <w:ind w:firstLine="495"/>
        <w:spacing w:after="0" w:line="292" w:lineRule="auto"/>
        <w:rPr>
          <w:sz w:val="20"/>
          <w:szCs w:val="20"/>
          <w:color w:val="auto"/>
        </w:rPr>
      </w:pPr>
      <w:r>
        <w:rPr>
          <w:rFonts w:ascii="Times New Roman" w:cs="Times New Roman" w:eastAsia="Times New Roman" w:hAnsi="Times New Roman"/>
          <w:sz w:val="15"/>
          <w:szCs w:val="15"/>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13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TD SECURITIES (USA) LLC</w:t>
      </w:r>
    </w:p>
    <w:p>
      <w:pPr>
        <w:spacing w:after="0" w:line="358" w:lineRule="exact"/>
        <w:rPr>
          <w:sz w:val="20"/>
          <w:szCs w:val="20"/>
          <w:color w:val="auto"/>
        </w:rPr>
      </w:pPr>
    </w:p>
    <w:tbl>
      <w:tblPr>
        <w:tblLayout w:type="fixed"/>
        <w:tblInd w:w="5140" w:type="dxa"/>
        <w:tblCellMar>
          <w:top w:w="0" w:type="dxa"/>
          <w:left w:w="0" w:type="dxa"/>
          <w:bottom w:w="0" w:type="dxa"/>
          <w:right w:w="0" w:type="dxa"/>
        </w:tblCellMar>
      </w:tblP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Murphy</w:t>
            </w:r>
          </w:p>
        </w:tc>
      </w:tr>
      <w:tr>
        <w:trPr>
          <w:trHeight w:val="183"/>
        </w:trPr>
        <w:tc>
          <w:tcPr>
            <w:tcW w:w="92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Name: Michael Murphy</w:t>
            </w:r>
          </w:p>
        </w:tc>
      </w:tr>
      <w:tr>
        <w:trPr>
          <w:trHeight w:val="197"/>
        </w:trPr>
        <w:tc>
          <w:tcPr>
            <w:tcW w:w="9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Title: Managing Director</w:t>
            </w:r>
          </w:p>
        </w:tc>
      </w:tr>
    </w:tbl>
    <w:p>
      <w:pPr>
        <w:spacing w:after="0" w:line="1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ACCEPTED as of the date</w:t>
      </w:r>
    </w:p>
    <w:p>
      <w:pPr>
        <w:spacing w:after="0" w:line="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first-above written:</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SPYRE THERAPEUTICS, INC.</w:t>
      </w:r>
    </w:p>
    <w:p>
      <w:pPr>
        <w:spacing w:after="0" w:line="358" w:lineRule="exact"/>
        <w:rPr>
          <w:sz w:val="20"/>
          <w:szCs w:val="20"/>
          <w:color w:val="auto"/>
        </w:rPr>
      </w:pPr>
    </w:p>
    <w:tbl>
      <w:tblPr>
        <w:tblLayout w:type="fixed"/>
        <w:tblInd w:w="5140" w:type="dxa"/>
        <w:tblCellMar>
          <w:top w:w="0" w:type="dxa"/>
          <w:left w:w="0" w:type="dxa"/>
          <w:bottom w:w="0" w:type="dxa"/>
          <w:right w:w="0" w:type="dxa"/>
        </w:tblCellMar>
      </w:tblP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Scott Burrows</w:t>
            </w:r>
          </w:p>
        </w:tc>
      </w:tr>
      <w:tr>
        <w:trPr>
          <w:trHeight w:val="183"/>
        </w:trPr>
        <w:tc>
          <w:tcPr>
            <w:tcW w:w="92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Name: Scott Burrows</w:t>
            </w:r>
          </w:p>
        </w:tc>
      </w:tr>
      <w:tr>
        <w:trPr>
          <w:trHeight w:val="197"/>
        </w:trPr>
        <w:tc>
          <w:tcPr>
            <w:tcW w:w="9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Title: Chief Financial Officer</w:t>
            </w:r>
          </w:p>
        </w:tc>
      </w:tr>
    </w:tbl>
    <w:p>
      <w:pPr>
        <w:sectPr>
          <w:pgSz w:w="11900" w:h="16838" w:orient="portrait"/>
          <w:cols w:equalWidth="0" w:num="1">
            <w:col w:w="11280"/>
          </w:cols>
          <w:pgMar w:left="300" w:top="1114"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SCHEDULE 1</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40" w:type="dxa"/>
            <w:vAlign w:val="bottom"/>
          </w:tcPr>
          <w:p>
            <w:pPr>
              <w:spacing w:after="0"/>
              <w:rPr>
                <w:sz w:val="15"/>
                <w:szCs w:val="15"/>
                <w:color w:val="auto"/>
              </w:rPr>
            </w:pPr>
          </w:p>
        </w:tc>
        <w:tc>
          <w:tcPr>
            <w:tcW w:w="5760" w:type="dxa"/>
            <w:vAlign w:val="bottom"/>
            <w:gridSpan w:val="2"/>
          </w:tcPr>
          <w:p>
            <w:pPr>
              <w:ind w:left="3400"/>
              <w:spacing w:after="0"/>
              <w:rPr>
                <w:sz w:val="20"/>
                <w:szCs w:val="20"/>
                <w:color w:val="auto"/>
              </w:rPr>
            </w:pPr>
            <w:r>
              <w:rPr>
                <w:rFonts w:ascii="Times New Roman" w:cs="Times New Roman" w:eastAsia="Times New Roman" w:hAnsi="Times New Roman"/>
                <w:sz w:val="15"/>
                <w:szCs w:val="15"/>
                <w:b w:val="1"/>
                <w:bCs w:val="1"/>
                <w:color w:val="auto"/>
              </w:rPr>
              <w:t>FORM OF PLACEMENT NOTICE</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From:</w:t>
            </w:r>
          </w:p>
        </w:tc>
        <w:tc>
          <w:tcPr>
            <w:tcW w:w="3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36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Cc:</w:t>
            </w:r>
          </w:p>
        </w:tc>
        <w:tc>
          <w:tcPr>
            <w:tcW w:w="3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360" w:type="dxa"/>
            <w:vAlign w:val="bottom"/>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To:</w:t>
            </w:r>
          </w:p>
        </w:tc>
        <w:tc>
          <w:tcPr>
            <w:tcW w:w="3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360" w:type="dxa"/>
            <w:vAlign w:val="bottom"/>
          </w:tcPr>
          <w:p>
            <w:pPr>
              <w:spacing w:after="0"/>
              <w:rPr>
                <w:sz w:val="17"/>
                <w:szCs w:val="17"/>
                <w:color w:val="auto"/>
              </w:rPr>
            </w:pPr>
          </w:p>
        </w:tc>
      </w:tr>
      <w:tr>
        <w:trPr>
          <w:trHeight w:val="197"/>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Subject:</w:t>
            </w:r>
          </w:p>
        </w:tc>
        <w:tc>
          <w:tcPr>
            <w:tcW w:w="57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TD Cowen At the Market Offering-Placement Notice</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Whom It May Concern:</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Pursuant to the terms and subject to the conditions contained in the Sales Agreement between Spyre Therapeutics,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TD Securities (USA) LLC (“</w:t>
      </w:r>
      <w:r>
        <w:rPr>
          <w:rFonts w:ascii="Times New Roman" w:cs="Times New Roman" w:eastAsia="Times New Roman" w:hAnsi="Times New Roman"/>
          <w:sz w:val="15"/>
          <w:szCs w:val="15"/>
          <w:u w:val="single" w:color="auto"/>
          <w:color w:val="auto"/>
        </w:rPr>
        <w:t>TD Cowen</w:t>
      </w:r>
      <w:r>
        <w:rPr>
          <w:rFonts w:ascii="Times New Roman" w:cs="Times New Roman" w:eastAsia="Times New Roman" w:hAnsi="Times New Roman"/>
          <w:sz w:val="15"/>
          <w:szCs w:val="15"/>
          <w:color w:val="auto"/>
        </w:rPr>
        <w:t>”), dated June 26, 2026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 hereby request on behalf of the Company that TD Cowen sell up to [●] shares of the Company’s common stock, par value $0.0001 per share, at a minimum market price of $[●] per share. Sales should begin on the date of this Notice and shall continue until [DATE] [all shares are sold].</w:t>
      </w:r>
    </w:p>
    <w:p>
      <w:pPr>
        <w:sectPr>
          <w:pgSz w:w="11900" w:h="16838" w:orient="portrait"/>
          <w:cols w:equalWidth="0" w:num="1">
            <w:col w:w="11280"/>
          </w:cols>
          <w:pgMar w:left="300" w:top="1110" w:right="3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SCHEDULE 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Notice Parties</w:t>
            </w:r>
          </w:p>
        </w:tc>
      </w:tr>
      <w:tr>
        <w:trPr>
          <w:trHeight w:val="387"/>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28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Cameron Turtle</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Scott Burrows</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Jonathan Campbell</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VP, Corporate Controller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Heidy King-Jones</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Chief Legal Officer and Corporate Secretary</w:t>
            </w:r>
          </w:p>
        </w:tc>
      </w:tr>
      <w:tr>
        <w:trPr>
          <w:trHeight w:val="326"/>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TD Cowen</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377"/>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J. Murphy</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Managing Director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Follis</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Managing Director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Adriano Pierroz</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Director</w:t>
            </w:r>
          </w:p>
        </w:tc>
      </w:tr>
      <w:tr>
        <w:trPr>
          <w:trHeight w:val="361"/>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Megan Sanford</w:t>
            </w:r>
          </w:p>
        </w:tc>
        <w:tc>
          <w:tcPr>
            <w:tcW w:w="386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Associate</w:t>
            </w:r>
          </w:p>
        </w:tc>
      </w:tr>
    </w:tbl>
    <w:p>
      <w:pPr>
        <w:sectPr>
          <w:pgSz w:w="11900" w:h="16838" w:orient="portrait"/>
          <w:cols w:equalWidth="0" w:num="1">
            <w:col w:w="11260"/>
          </w:cols>
          <w:pgMar w:left="320" w:top="1110"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SCHEDULE 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TD Cowen shall be paid compensation up to 3.0% of the gross proceeds from the sales of Common Stock pursuant to the terms of this Agreement.</w:t>
      </w:r>
    </w:p>
    <w:p>
      <w:pPr>
        <w:sectPr>
          <w:pgSz w:w="11900" w:h="16838" w:orient="portrait"/>
          <w:cols w:equalWidth="0" w:num="1">
            <w:col w:w="11280"/>
          </w:cols>
          <w:pgMar w:left="300" w:top="1110"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Exhibit 7(m)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OFFICER CERTIFICATE</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undersigned, the duly qualified and elected [●], of Spyre Therapeutics, Inc.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xml:space="preserve">”), a Delaware corporation, does hereby certify in such capacity and on behalf of the Company,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of the Sales Agreement, dated June 26, 2026 (the “</w:t>
      </w:r>
      <w:r>
        <w:rPr>
          <w:rFonts w:ascii="Times New Roman" w:cs="Times New Roman" w:eastAsia="Times New Roman" w:hAnsi="Times New Roman"/>
          <w:sz w:val="15"/>
          <w:szCs w:val="15"/>
          <w:b w:val="1"/>
          <w:bCs w:val="1"/>
          <w:u w:val="single" w:color="auto"/>
          <w:color w:val="auto"/>
        </w:rPr>
        <w:t>Sales Agreement</w:t>
      </w:r>
      <w:r>
        <w:rPr>
          <w:rFonts w:ascii="Times New Roman" w:cs="Times New Roman" w:eastAsia="Times New Roman" w:hAnsi="Times New Roman"/>
          <w:sz w:val="15"/>
          <w:szCs w:val="15"/>
          <w:color w:val="auto"/>
        </w:rPr>
        <w:t>”), between the Company and TD Securities (USA) LLC, that to the knowledge of the undersigned:</w:t>
      </w:r>
    </w:p>
    <w:p>
      <w:pPr>
        <w:spacing w:after="0" w:line="132" w:lineRule="exact"/>
        <w:rPr>
          <w:sz w:val="20"/>
          <w:szCs w:val="20"/>
          <w:color w:val="auto"/>
        </w:rPr>
      </w:pPr>
    </w:p>
    <w:p>
      <w:pPr>
        <w:jc w:val="both"/>
        <w:ind w:firstLine="498"/>
        <w:spacing w:after="0" w:line="259" w:lineRule="auto"/>
        <w:tabs>
          <w:tab w:leader="none" w:pos="678"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Company in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42" w:lineRule="exact"/>
        <w:rPr>
          <w:rFonts w:ascii="Times New Roman" w:cs="Times New Roman" w:eastAsia="Times New Roman" w:hAnsi="Times New Roman"/>
          <w:sz w:val="15"/>
          <w:szCs w:val="15"/>
          <w:color w:val="auto"/>
        </w:rPr>
      </w:pPr>
    </w:p>
    <w:p>
      <w:pPr>
        <w:ind w:left="740" w:hanging="242"/>
        <w:spacing w:after="0"/>
        <w:tabs>
          <w:tab w:leader="none" w:pos="7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complied with all agreements and satisfied all conditions on its part to be performed or satisfied pursuant to the Sales Agreement at or prior to the date</w:t>
      </w:r>
    </w:p>
    <w:p>
      <w:pPr>
        <w:spacing w:after="0" w:line="18"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hereof.</w:t>
      </w:r>
    </w:p>
    <w:p>
      <w:pPr>
        <w:spacing w:after="0" w:line="200" w:lineRule="exact"/>
        <w:rPr>
          <w:sz w:val="20"/>
          <w:szCs w:val="20"/>
          <w:color w:val="auto"/>
        </w:rPr>
      </w:pPr>
    </w:p>
    <w:p>
      <w:pPr>
        <w:spacing w:after="0" w:line="3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19050</wp:posOffset>
            </wp:positionV>
            <wp:extent cx="297624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2976245" cy="6350"/>
                    </a:xfrm>
                    <a:prstGeom prst="rect">
                      <a:avLst/>
                    </a:prstGeom>
                    <a:noFill/>
                  </pic:spPr>
                </pic:pic>
              </a:graphicData>
            </a:graphic>
          </wp:anchor>
        </w:drawing>
      </w:r>
    </w:p>
    <w:p>
      <w:pPr>
        <w:spacing w:after="0" w:line="1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Name:</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Title: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Date:_________</w:t>
      </w:r>
    </w:p>
    <w:p>
      <w:pPr>
        <w:sectPr>
          <w:pgSz w:w="11900" w:h="16838" w:orient="portrait"/>
          <w:cols w:equalWidth="0" w:num="1">
            <w:col w:w="11280"/>
          </w:cols>
          <w:pgMar w:left="300" w:top="1110" w:right="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SPYRE THERAPEUTICS, INC.</w:t>
      </w:r>
    </w:p>
    <w:p>
      <w:pPr>
        <w:spacing w:after="0" w:line="18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Debt Securities</w:t>
      </w:r>
    </w:p>
    <w:p>
      <w:pPr>
        <w:spacing w:after="0" w:line="1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u w:val="single" w:color="auto"/>
          <w:color w:val="auto"/>
        </w:rPr>
        <w:t>Indenture</w:t>
      </w:r>
    </w:p>
    <w:p>
      <w:pPr>
        <w:spacing w:after="0" w:line="169" w:lineRule="exact"/>
        <w:rPr>
          <w:sz w:val="20"/>
          <w:szCs w:val="20"/>
          <w:color w:val="auto"/>
        </w:rPr>
      </w:pPr>
    </w:p>
    <w:tbl>
      <w:tblPr>
        <w:tblLayout w:type="fixed"/>
        <w:tblInd w:w="3640" w:type="dxa"/>
        <w:tblCellMar>
          <w:top w:w="0" w:type="dxa"/>
          <w:left w:w="0" w:type="dxa"/>
          <w:bottom w:w="0" w:type="dxa"/>
          <w:right w:w="0" w:type="dxa"/>
        </w:tblCellMar>
      </w:tblPr>
      <w:tr>
        <w:trPr>
          <w:trHeight w:val="17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Dated as of</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w:t>
            </w:r>
          </w:p>
        </w:tc>
      </w:tr>
    </w:tbl>
    <w:p>
      <w:pPr>
        <w:spacing w:after="0" w:line="152" w:lineRule="exact"/>
        <w:rPr>
          <w:sz w:val="20"/>
          <w:szCs w:val="20"/>
          <w:color w:val="auto"/>
        </w:rPr>
      </w:pPr>
    </w:p>
    <w:p>
      <w:pPr>
        <w:ind w:left="5000" w:hanging="1075"/>
        <w:spacing w:after="0"/>
        <w:tabs>
          <w:tab w:leader="none" w:pos="50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4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Trustee</w:t>
      </w:r>
    </w:p>
    <w:p>
      <w:pPr>
        <w:sectPr>
          <w:pgSz w:w="11900" w:h="16838" w:orient="portrait"/>
          <w:cols w:equalWidth="0" w:num="1">
            <w:col w:w="10140"/>
          </w:cols>
          <w:pgMar w:left="1440" w:top="123" w:right="319" w:bottom="1440" w:gutter="0" w:footer="0" w:header="0"/>
        </w:sectPr>
      </w:pPr>
    </w:p>
    <w:bookmarkStart w:id="91" w:name="page92"/>
    <w:bookmarkEnd w:id="91"/>
    <w:tbl>
      <w:tblPr>
        <w:tblLayout w:type="fixed"/>
        <w:tblInd w:w="208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5160" w:type="dxa"/>
            <w:vAlign w:val="bottom"/>
            <w:gridSpan w:val="2"/>
          </w:tcPr>
          <w:p>
            <w:pPr>
              <w:jc w:val="right"/>
              <w:ind w:right="2612"/>
              <w:spacing w:after="0"/>
              <w:rPr>
                <w:sz w:val="20"/>
                <w:szCs w:val="20"/>
                <w:color w:val="auto"/>
              </w:rPr>
            </w:pPr>
            <w:r>
              <w:rPr>
                <w:rFonts w:ascii="Times New Roman" w:cs="Times New Roman" w:eastAsia="Times New Roman" w:hAnsi="Times New Roman"/>
                <w:sz w:val="14"/>
                <w:szCs w:val="14"/>
                <w:b w:val="1"/>
                <w:bCs w:val="1"/>
                <w:color w:val="auto"/>
              </w:rPr>
              <w:t>CROSS-REFERENCE TABLE</w:t>
            </w:r>
          </w:p>
        </w:tc>
      </w:tr>
      <w:tr>
        <w:trPr>
          <w:trHeight w:val="299"/>
        </w:trPr>
        <w:tc>
          <w:tcPr>
            <w:tcW w:w="2000" w:type="dxa"/>
            <w:vAlign w:val="bottom"/>
          </w:tcPr>
          <w:p>
            <w:pPr>
              <w:spacing w:after="0"/>
              <w:rPr>
                <w:sz w:val="24"/>
                <w:szCs w:val="24"/>
                <w:color w:val="auto"/>
              </w:rPr>
            </w:pPr>
          </w:p>
        </w:tc>
        <w:tc>
          <w:tcPr>
            <w:tcW w:w="5160" w:type="dxa"/>
            <w:vAlign w:val="bottom"/>
            <w:gridSpan w:val="2"/>
          </w:tcPr>
          <w:p>
            <w:pPr>
              <w:jc w:val="right"/>
              <w:ind w:right="1972"/>
              <w:spacing w:after="0"/>
              <w:rPr>
                <w:sz w:val="20"/>
                <w:szCs w:val="20"/>
                <w:color w:val="auto"/>
              </w:rPr>
            </w:pPr>
            <w:r>
              <w:rPr>
                <w:rFonts w:ascii="Times New Roman" w:cs="Times New Roman" w:eastAsia="Times New Roman" w:hAnsi="Times New Roman"/>
                <w:sz w:val="14"/>
                <w:szCs w:val="14"/>
                <w:color w:val="auto"/>
                <w:w w:val="97"/>
              </w:rPr>
              <w:t>This Cross-Reference Table is not a part of the Indenture</w:t>
            </w:r>
          </w:p>
        </w:tc>
      </w:tr>
      <w:tr>
        <w:trPr>
          <w:trHeight w:val="177"/>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TIA Section</w:t>
            </w:r>
          </w:p>
        </w:tc>
        <w:tc>
          <w:tcPr>
            <w:tcW w:w="3120" w:type="dxa"/>
            <w:vAlign w:val="bottom"/>
            <w:tcBorders>
              <w:top w:val="single" w:sz="8" w:color="auto"/>
            </w:tcBorders>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Indenture Section</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310(a)(1)</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(a)(3)</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(a)(4)</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7.08; 7.10; 12.02</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12.03</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12.03</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(b)(1)</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(b)(2)</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12.02</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 12.02</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(c)(1)</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(c)(2)</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(c)(3)</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3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7.01(b)</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7.05; 12.02</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7.01(c)</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316(a)(last sentence)</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12.06</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(a)(1)(A)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(a)(1)(B)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31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6.07</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317(a)(1)</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20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(b)d</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7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12.01</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means Not Applicable.</w:t>
      </w:r>
    </w:p>
    <w:p>
      <w:pPr>
        <w:sectPr>
          <w:pgSz w:w="11900" w:h="16838" w:orient="portrait"/>
          <w:cols w:equalWidth="0" w:num="1">
            <w:col w:w="10159"/>
          </w:cols>
          <w:pgMar w:left="300" w:top="1114"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100" w:type="dxa"/>
            <w:vAlign w:val="bottom"/>
            <w:gridSpan w:val="2"/>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960" w:type="dxa"/>
            <w:vAlign w:val="bottom"/>
          </w:tcPr>
          <w:p>
            <w:pPr>
              <w:spacing w:after="0"/>
              <w:rPr>
                <w:sz w:val="15"/>
                <w:szCs w:val="15"/>
                <w:color w:val="auto"/>
              </w:rPr>
            </w:pPr>
          </w:p>
        </w:tc>
      </w:tr>
      <w:tr>
        <w:trPr>
          <w:trHeight w:val="299"/>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00" w:type="dxa"/>
            <w:vAlign w:val="bottom"/>
            <w:gridSpan w:val="2"/>
          </w:tcPr>
          <w:p>
            <w:pPr>
              <w:jc w:val="center"/>
              <w:ind w:right="2260"/>
              <w:spacing w:after="0"/>
              <w:rPr>
                <w:sz w:val="20"/>
                <w:szCs w:val="20"/>
                <w:color w:val="auto"/>
              </w:rPr>
            </w:pPr>
            <w:r>
              <w:rPr>
                <w:rFonts w:ascii="Times New Roman" w:cs="Times New Roman" w:eastAsia="Times New Roman" w:hAnsi="Times New Roman"/>
                <w:sz w:val="14"/>
                <w:szCs w:val="14"/>
                <w:color w:val="auto"/>
                <w:w w:val="97"/>
              </w:rPr>
              <w:t>This Table of Contents is not a part of the Indenture</w:t>
            </w:r>
          </w:p>
        </w:tc>
        <w:tc>
          <w:tcPr>
            <w:tcW w:w="1960" w:type="dxa"/>
            <w:vAlign w:val="bottom"/>
          </w:tcPr>
          <w:p>
            <w:pPr>
              <w:spacing w:after="0"/>
              <w:rPr>
                <w:sz w:val="24"/>
                <w:szCs w:val="24"/>
                <w:color w:val="auto"/>
              </w:rPr>
            </w:pPr>
          </w:p>
        </w:tc>
      </w:tr>
      <w:tr>
        <w:trPr>
          <w:trHeight w:val="383"/>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ARTICLE ONE</w:t>
            </w:r>
          </w:p>
        </w:tc>
        <w:tc>
          <w:tcPr>
            <w:tcW w:w="2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1"/>
        </w:trPr>
        <w:tc>
          <w:tcPr>
            <w:tcW w:w="800" w:type="dxa"/>
            <w:vAlign w:val="bottom"/>
          </w:tcPr>
          <w:p>
            <w:pPr>
              <w:spacing w:after="0"/>
              <w:rPr>
                <w:sz w:val="24"/>
                <w:szCs w:val="24"/>
                <w:color w:val="auto"/>
              </w:rPr>
            </w:pPr>
          </w:p>
        </w:tc>
        <w:tc>
          <w:tcPr>
            <w:tcW w:w="8500" w:type="dxa"/>
            <w:vAlign w:val="bottom"/>
            <w:gridSpan w:val="3"/>
          </w:tcPr>
          <w:p>
            <w:pPr>
              <w:jc w:val="center"/>
              <w:ind w:left="1091"/>
              <w:spacing w:after="0"/>
              <w:rPr>
                <w:sz w:val="20"/>
                <w:szCs w:val="20"/>
                <w:color w:val="auto"/>
              </w:rPr>
            </w:pPr>
            <w:r>
              <w:rPr>
                <w:rFonts w:ascii="Times New Roman" w:cs="Times New Roman" w:eastAsia="Times New Roman" w:hAnsi="Times New Roman"/>
                <w:sz w:val="14"/>
                <w:szCs w:val="14"/>
                <w:b w:val="1"/>
                <w:bCs w:val="1"/>
                <w:color w:val="auto"/>
                <w:w w:val="98"/>
              </w:rPr>
              <w:t>DEFINITIONS AND INCORPORATION BY REFERENCE</w:t>
            </w:r>
          </w:p>
        </w:tc>
        <w:tc>
          <w:tcPr>
            <w:tcW w:w="1960" w:type="dxa"/>
            <w:vAlign w:val="bottom"/>
          </w:tcPr>
          <w:p>
            <w:pPr>
              <w:spacing w:after="0"/>
              <w:rPr>
                <w:sz w:val="24"/>
                <w:szCs w:val="24"/>
                <w:color w:val="auto"/>
              </w:rPr>
            </w:pPr>
          </w:p>
        </w:tc>
      </w:tr>
      <w:tr>
        <w:trPr>
          <w:trHeight w:val="18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Definitions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Other Definitions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Rules of 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79"/>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00" w:type="dxa"/>
            <w:vAlign w:val="bottom"/>
            <w:gridSpan w:val="2"/>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w w:val="98"/>
              </w:rPr>
              <w:t>ARTICLE TWO</w:t>
            </w:r>
          </w:p>
        </w:tc>
        <w:tc>
          <w:tcPr>
            <w:tcW w:w="1960" w:type="dxa"/>
            <w:vAlign w:val="bottom"/>
          </w:tcPr>
          <w:p>
            <w:pPr>
              <w:spacing w:after="0"/>
              <w:rPr>
                <w:sz w:val="24"/>
                <w:szCs w:val="24"/>
                <w:color w:val="auto"/>
              </w:rPr>
            </w:pPr>
          </w:p>
        </w:tc>
      </w:tr>
      <w:tr>
        <w:trPr>
          <w:trHeight w:val="289"/>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00" w:type="dxa"/>
            <w:vAlign w:val="bottom"/>
            <w:gridSpan w:val="2"/>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w w:val="98"/>
              </w:rPr>
              <w:t>THE SECURITIES</w:t>
            </w:r>
          </w:p>
        </w:tc>
        <w:tc>
          <w:tcPr>
            <w:tcW w:w="1960" w:type="dxa"/>
            <w:vAlign w:val="bottom"/>
          </w:tcPr>
          <w:p>
            <w:pPr>
              <w:spacing w:after="0"/>
              <w:rPr>
                <w:sz w:val="24"/>
                <w:szCs w:val="24"/>
                <w:color w:val="auto"/>
              </w:rPr>
            </w:pP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Form and Dating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Registrar and Paying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2.04</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2.05</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Securityholder Lists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2.06</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Transfer and Exchange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2.07</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Replacement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2.08</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Outstanding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2.09</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Temporary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2.10</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Cancellation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2.11</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Defaulted Interest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2.12</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Treasury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3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2.13</w:t>
            </w:r>
          </w:p>
        </w:tc>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CUSIP/ISIN Numbers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1260"/>
          </w:cols>
          <w:pgMar w:left="320" w:top="1114" w:right="3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5"/>
                <w:szCs w:val="15"/>
                <w:color w:val="auto"/>
              </w:rPr>
            </w:pPr>
          </w:p>
        </w:tc>
        <w:tc>
          <w:tcPr>
            <w:tcW w:w="7140" w:type="dxa"/>
            <w:vAlign w:val="bottom"/>
          </w:tcPr>
          <w:p>
            <w:pPr>
              <w:spacing w:after="0"/>
              <w:rPr>
                <w:sz w:val="15"/>
                <w:szCs w:val="15"/>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2.14</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Deposit of Moneys</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2.15</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Book-Entry Provisions for Global Security</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2.16</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 Duty to Monitor</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354"/>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140" w:type="dxa"/>
            <w:vAlign w:val="bottom"/>
          </w:tcPr>
          <w:p>
            <w:pPr>
              <w:jc w:val="center"/>
              <w:ind w:right="4051"/>
              <w:spacing w:after="0"/>
              <w:rPr>
                <w:sz w:val="20"/>
                <w:szCs w:val="20"/>
                <w:color w:val="auto"/>
              </w:rPr>
            </w:pPr>
            <w:r>
              <w:rPr>
                <w:rFonts w:ascii="Times New Roman" w:cs="Times New Roman" w:eastAsia="Times New Roman" w:hAnsi="Times New Roman"/>
                <w:sz w:val="14"/>
                <w:szCs w:val="14"/>
                <w:b w:val="1"/>
                <w:bCs w:val="1"/>
                <w:color w:val="auto"/>
                <w:w w:val="97"/>
              </w:rPr>
              <w:t>ARTICLE THREE</w:t>
            </w:r>
          </w:p>
        </w:tc>
      </w:tr>
      <w:tr>
        <w:trPr>
          <w:trHeight w:val="183"/>
        </w:trPr>
        <w:tc>
          <w:tcPr>
            <w:tcW w:w="8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140" w:type="dxa"/>
            <w:vAlign w:val="bottom"/>
          </w:tcPr>
          <w:p>
            <w:pPr>
              <w:jc w:val="center"/>
              <w:ind w:right="4051"/>
              <w:spacing w:after="0"/>
              <w:rPr>
                <w:sz w:val="20"/>
                <w:szCs w:val="20"/>
                <w:color w:val="auto"/>
              </w:rPr>
            </w:pPr>
            <w:r>
              <w:rPr>
                <w:rFonts w:ascii="Times New Roman" w:cs="Times New Roman" w:eastAsia="Times New Roman" w:hAnsi="Times New Roman"/>
                <w:sz w:val="14"/>
                <w:szCs w:val="14"/>
                <w:b w:val="1"/>
                <w:bCs w:val="1"/>
                <w:color w:val="auto"/>
                <w:w w:val="97"/>
              </w:rPr>
              <w:t>REDEMPTION</w:t>
            </w:r>
          </w:p>
        </w:tc>
      </w:tr>
      <w:tr>
        <w:trPr>
          <w:trHeight w:val="28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3.01</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Notices to Trustee</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3.02</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3.03</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 of Redemption</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3.04</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3.05</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3.06</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72"/>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140" w:type="dxa"/>
            <w:vAlign w:val="bottom"/>
          </w:tcPr>
          <w:p>
            <w:pPr>
              <w:jc w:val="center"/>
              <w:ind w:right="4071"/>
              <w:spacing w:after="0"/>
              <w:rPr>
                <w:sz w:val="20"/>
                <w:szCs w:val="20"/>
                <w:color w:val="auto"/>
              </w:rPr>
            </w:pPr>
            <w:r>
              <w:rPr>
                <w:rFonts w:ascii="Times New Roman" w:cs="Times New Roman" w:eastAsia="Times New Roman" w:hAnsi="Times New Roman"/>
                <w:sz w:val="14"/>
                <w:szCs w:val="14"/>
                <w:b w:val="1"/>
                <w:bCs w:val="1"/>
                <w:color w:val="auto"/>
                <w:w w:val="97"/>
              </w:rPr>
              <w:t>ARTICLE FOUR</w:t>
            </w:r>
          </w:p>
        </w:tc>
      </w:tr>
      <w:tr>
        <w:trPr>
          <w:trHeight w:val="289"/>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140" w:type="dxa"/>
            <w:vAlign w:val="bottom"/>
          </w:tcPr>
          <w:p>
            <w:pPr>
              <w:jc w:val="center"/>
              <w:ind w:right="4051"/>
              <w:spacing w:after="0"/>
              <w:rPr>
                <w:sz w:val="20"/>
                <w:szCs w:val="20"/>
                <w:color w:val="auto"/>
              </w:rPr>
            </w:pPr>
            <w:r>
              <w:rPr>
                <w:rFonts w:ascii="Times New Roman" w:cs="Times New Roman" w:eastAsia="Times New Roman" w:hAnsi="Times New Roman"/>
                <w:sz w:val="14"/>
                <w:szCs w:val="14"/>
                <w:b w:val="1"/>
                <w:bCs w:val="1"/>
                <w:color w:val="auto"/>
                <w:w w:val="97"/>
              </w:rPr>
              <w:t>COVENANTS</w:t>
            </w:r>
          </w:p>
        </w:tc>
      </w:tr>
      <w:tr>
        <w:trPr>
          <w:trHeight w:val="28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4.01</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Payment of Securities</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4.02</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4.03</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Reports</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4.04</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Compliance Certificate</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4.05</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Stay, Extension or Usury Laws</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72"/>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140" w:type="dxa"/>
            <w:vAlign w:val="bottom"/>
          </w:tcPr>
          <w:p>
            <w:pPr>
              <w:jc w:val="center"/>
              <w:ind w:right="4051"/>
              <w:spacing w:after="0"/>
              <w:rPr>
                <w:sz w:val="20"/>
                <w:szCs w:val="20"/>
                <w:color w:val="auto"/>
              </w:rPr>
            </w:pPr>
            <w:r>
              <w:rPr>
                <w:rFonts w:ascii="Times New Roman" w:cs="Times New Roman" w:eastAsia="Times New Roman" w:hAnsi="Times New Roman"/>
                <w:sz w:val="14"/>
                <w:szCs w:val="14"/>
                <w:b w:val="1"/>
                <w:bCs w:val="1"/>
                <w:color w:val="auto"/>
                <w:w w:val="97"/>
              </w:rPr>
              <w:t>ARTICLE FIVE</w:t>
            </w:r>
          </w:p>
        </w:tc>
      </w:tr>
      <w:tr>
        <w:trPr>
          <w:trHeight w:val="289"/>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140" w:type="dxa"/>
            <w:vAlign w:val="bottom"/>
          </w:tcPr>
          <w:p>
            <w:pPr>
              <w:jc w:val="center"/>
              <w:ind w:right="4051"/>
              <w:spacing w:after="0"/>
              <w:rPr>
                <w:sz w:val="20"/>
                <w:szCs w:val="20"/>
                <w:color w:val="auto"/>
              </w:rPr>
            </w:pPr>
            <w:r>
              <w:rPr>
                <w:rFonts w:ascii="Times New Roman" w:cs="Times New Roman" w:eastAsia="Times New Roman" w:hAnsi="Times New Roman"/>
                <w:sz w:val="14"/>
                <w:szCs w:val="14"/>
                <w:b w:val="1"/>
                <w:bCs w:val="1"/>
                <w:color w:val="auto"/>
                <w:w w:val="97"/>
              </w:rPr>
              <w:t>SUCCESSOR CORPORATION</w:t>
            </w:r>
          </w:p>
        </w:tc>
      </w:tr>
      <w:tr>
        <w:trPr>
          <w:trHeight w:val="28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32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5.01</w:t>
            </w:r>
          </w:p>
        </w:tc>
        <w:tc>
          <w:tcPr>
            <w:tcW w:w="3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When Company May Merge, etc.</w:t>
            </w:r>
          </w:p>
        </w:tc>
        <w:tc>
          <w:tcPr>
            <w:tcW w:w="7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ectPr>
          <w:pgSz w:w="11900" w:h="16838" w:orient="portrait"/>
          <w:cols w:equalWidth="0" w:num="1">
            <w:col w:w="11260"/>
          </w:cols>
          <w:pgMar w:left="320" w:top="1159" w:right="3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880" w:type="dxa"/>
            <w:vAlign w:val="bottom"/>
          </w:tcPr>
          <w:p>
            <w:pPr>
              <w:jc w:val="right"/>
              <w:ind w:right="5131"/>
              <w:spacing w:after="0"/>
              <w:rPr>
                <w:sz w:val="20"/>
                <w:szCs w:val="20"/>
                <w:color w:val="auto"/>
              </w:rPr>
            </w:pPr>
            <w:r>
              <w:rPr>
                <w:rFonts w:ascii="Times New Roman" w:cs="Times New Roman" w:eastAsia="Times New Roman" w:hAnsi="Times New Roman"/>
                <w:sz w:val="14"/>
                <w:szCs w:val="14"/>
                <w:b w:val="1"/>
                <w:bCs w:val="1"/>
                <w:color w:val="auto"/>
              </w:rPr>
              <w:t>ARTICLE SIX</w:t>
            </w:r>
          </w:p>
        </w:tc>
      </w:tr>
      <w:tr>
        <w:trPr>
          <w:trHeight w:val="289"/>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880" w:type="dxa"/>
            <w:vAlign w:val="bottom"/>
          </w:tcPr>
          <w:p>
            <w:pPr>
              <w:jc w:val="right"/>
              <w:ind w:right="4671"/>
              <w:spacing w:after="0"/>
              <w:rPr>
                <w:sz w:val="20"/>
                <w:szCs w:val="20"/>
                <w:color w:val="auto"/>
              </w:rPr>
            </w:pPr>
            <w:r>
              <w:rPr>
                <w:rFonts w:ascii="Times New Roman" w:cs="Times New Roman" w:eastAsia="Times New Roman" w:hAnsi="Times New Roman"/>
                <w:sz w:val="14"/>
                <w:szCs w:val="14"/>
                <w:b w:val="1"/>
                <w:bCs w:val="1"/>
                <w:color w:val="auto"/>
              </w:rPr>
              <w:t>DEFAULTS AND REMEDIES</w:t>
            </w:r>
          </w:p>
        </w:tc>
      </w:tr>
      <w:tr>
        <w:trPr>
          <w:trHeight w:val="28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6.01</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Events of Default</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6.02</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Acceleration</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6.03</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Remedies</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6.04</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Existing Defaults</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6.05</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Control by Majority</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6.06</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Suits</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6.07</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Rights of Holders to Receive Payment and Convert</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6.08</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Collection Suit by Trustee</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6.09</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6.10</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Priorities</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5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6.11</w:t>
            </w:r>
          </w:p>
        </w:tc>
        <w:tc>
          <w:tcPr>
            <w:tcW w:w="3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Undertaking for Costs</w:t>
            </w:r>
          </w:p>
        </w:tc>
        <w:tc>
          <w:tcPr>
            <w:tcW w:w="6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7300" w:type="dxa"/>
            <w:vAlign w:val="bottom"/>
          </w:tcPr>
          <w:p>
            <w:pPr>
              <w:jc w:val="right"/>
              <w:ind w:right="5011"/>
              <w:spacing w:after="0"/>
              <w:rPr>
                <w:sz w:val="20"/>
                <w:szCs w:val="20"/>
                <w:color w:val="auto"/>
              </w:rPr>
            </w:pPr>
            <w:r>
              <w:rPr>
                <w:rFonts w:ascii="Times New Roman" w:cs="Times New Roman" w:eastAsia="Times New Roman" w:hAnsi="Times New Roman"/>
                <w:sz w:val="14"/>
                <w:szCs w:val="14"/>
                <w:b w:val="1"/>
                <w:bCs w:val="1"/>
                <w:color w:val="auto"/>
              </w:rPr>
              <w:t>ARTICLE SEVEN</w:t>
            </w:r>
          </w:p>
        </w:tc>
      </w:tr>
      <w:tr>
        <w:trPr>
          <w:trHeight w:val="289"/>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300" w:type="dxa"/>
            <w:vAlign w:val="bottom"/>
          </w:tcPr>
          <w:p>
            <w:pPr>
              <w:jc w:val="right"/>
              <w:ind w:right="5251"/>
              <w:spacing w:after="0"/>
              <w:rPr>
                <w:sz w:val="20"/>
                <w:szCs w:val="20"/>
                <w:color w:val="auto"/>
              </w:rPr>
            </w:pPr>
            <w:r>
              <w:rPr>
                <w:rFonts w:ascii="Times New Roman" w:cs="Times New Roman" w:eastAsia="Times New Roman" w:hAnsi="Times New Roman"/>
                <w:sz w:val="14"/>
                <w:szCs w:val="14"/>
                <w:b w:val="1"/>
                <w:bCs w:val="1"/>
                <w:color w:val="auto"/>
              </w:rPr>
              <w:t>TRUSTEE</w:t>
            </w:r>
          </w:p>
        </w:tc>
      </w:tr>
      <w:tr>
        <w:trPr>
          <w:trHeight w:val="289"/>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7.01</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Duties of Trustee</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7.02</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Rights of Trustee</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7.03</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7.04</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Trustee’s Disclaimer</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7.05</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 of Defaults</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7.06</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6"/>
        </w:trPr>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90"/>
              </w:rPr>
              <w:t>Section</w:t>
            </w:r>
          </w:p>
        </w:tc>
        <w:tc>
          <w:tcPr>
            <w:tcW w:w="3160" w:type="dxa"/>
            <w:vAlign w:val="bottom"/>
          </w:tcPr>
          <w:p>
            <w:pPr>
              <w:spacing w:after="0"/>
              <w:rPr>
                <w:sz w:val="17"/>
                <w:szCs w:val="17"/>
                <w:color w:val="auto"/>
              </w:rPr>
            </w:pPr>
          </w:p>
        </w:tc>
        <w:tc>
          <w:tcPr>
            <w:tcW w:w="7300" w:type="dxa"/>
            <w:vAlign w:val="bottom"/>
          </w:tcPr>
          <w:p>
            <w:pPr>
              <w:spacing w:after="0"/>
              <w:rPr>
                <w:sz w:val="17"/>
                <w:szCs w:val="17"/>
                <w:color w:val="auto"/>
              </w:rPr>
            </w:pPr>
          </w:p>
        </w:tc>
      </w:tr>
      <w:tr>
        <w:trPr>
          <w:trHeight w:val="206"/>
        </w:trPr>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7.07</w:t>
            </w:r>
          </w:p>
        </w:tc>
        <w:tc>
          <w:tcPr>
            <w:tcW w:w="3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7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ectPr>
          <w:pgSz w:w="11900" w:h="16838" w:orient="portrait"/>
          <w:cols w:equalWidth="0" w:num="1">
            <w:col w:w="11260"/>
          </w:cols>
          <w:pgMar w:left="320" w:top="1155" w:right="3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7.08</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Replacement of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7.09</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7.10</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7.11</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72"/>
        </w:trPr>
        <w:tc>
          <w:tcPr>
            <w:tcW w:w="820" w:type="dxa"/>
            <w:vAlign w:val="bottom"/>
          </w:tcPr>
          <w:p>
            <w:pPr>
              <w:spacing w:after="0"/>
              <w:rPr>
                <w:sz w:val="24"/>
                <w:szCs w:val="24"/>
                <w:color w:val="auto"/>
              </w:rPr>
            </w:pPr>
          </w:p>
        </w:tc>
        <w:tc>
          <w:tcPr>
            <w:tcW w:w="8320" w:type="dxa"/>
            <w:vAlign w:val="bottom"/>
          </w:tcPr>
          <w:p>
            <w:pPr>
              <w:jc w:val="center"/>
              <w:ind w:left="1231"/>
              <w:spacing w:after="0"/>
              <w:rPr>
                <w:sz w:val="20"/>
                <w:szCs w:val="20"/>
                <w:color w:val="auto"/>
              </w:rPr>
            </w:pPr>
            <w:r>
              <w:rPr>
                <w:rFonts w:ascii="Times New Roman" w:cs="Times New Roman" w:eastAsia="Times New Roman" w:hAnsi="Times New Roman"/>
                <w:sz w:val="14"/>
                <w:szCs w:val="14"/>
                <w:b w:val="1"/>
                <w:bCs w:val="1"/>
                <w:color w:val="auto"/>
                <w:w w:val="97"/>
              </w:rPr>
              <w:t>ARTICLE EIGHT</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4"/>
                <w:szCs w:val="24"/>
                <w:color w:val="auto"/>
              </w:rPr>
            </w:pPr>
          </w:p>
        </w:tc>
        <w:tc>
          <w:tcPr>
            <w:tcW w:w="8320" w:type="dxa"/>
            <w:vAlign w:val="bottom"/>
          </w:tcPr>
          <w:p>
            <w:pPr>
              <w:jc w:val="center"/>
              <w:ind w:left="1211"/>
              <w:spacing w:after="0"/>
              <w:rPr>
                <w:sz w:val="20"/>
                <w:szCs w:val="20"/>
                <w:color w:val="auto"/>
              </w:rPr>
            </w:pPr>
            <w:r>
              <w:rPr>
                <w:rFonts w:ascii="Times New Roman" w:cs="Times New Roman" w:eastAsia="Times New Roman" w:hAnsi="Times New Roman"/>
                <w:sz w:val="14"/>
                <w:szCs w:val="14"/>
                <w:b w:val="1"/>
                <w:bCs w:val="1"/>
                <w:color w:val="auto"/>
                <w:w w:val="98"/>
              </w:rPr>
              <w:t>DISCHARGE OF INDENTURE</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8.01</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Defeasance upon Deposit of Moneys or Government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8.02</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Survival of the Company’s Obligations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8.03</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8.04</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 to the Company</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8.05</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Reinstatement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72"/>
        </w:trPr>
        <w:tc>
          <w:tcPr>
            <w:tcW w:w="820" w:type="dxa"/>
            <w:vAlign w:val="bottom"/>
          </w:tcPr>
          <w:p>
            <w:pPr>
              <w:spacing w:after="0"/>
              <w:rPr>
                <w:sz w:val="24"/>
                <w:szCs w:val="24"/>
                <w:color w:val="auto"/>
              </w:rPr>
            </w:pPr>
          </w:p>
        </w:tc>
        <w:tc>
          <w:tcPr>
            <w:tcW w:w="8320" w:type="dxa"/>
            <w:vAlign w:val="bottom"/>
          </w:tcPr>
          <w:p>
            <w:pPr>
              <w:jc w:val="center"/>
              <w:ind w:left="1211"/>
              <w:spacing w:after="0"/>
              <w:rPr>
                <w:sz w:val="20"/>
                <w:szCs w:val="20"/>
                <w:color w:val="auto"/>
              </w:rPr>
            </w:pPr>
            <w:r>
              <w:rPr>
                <w:rFonts w:ascii="Times New Roman" w:cs="Times New Roman" w:eastAsia="Times New Roman" w:hAnsi="Times New Roman"/>
                <w:sz w:val="14"/>
                <w:szCs w:val="14"/>
                <w:b w:val="1"/>
                <w:bCs w:val="1"/>
                <w:color w:val="auto"/>
                <w:w w:val="97"/>
              </w:rPr>
              <w:t>ARTICLE NINE</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4"/>
                <w:szCs w:val="24"/>
                <w:color w:val="auto"/>
              </w:rPr>
            </w:pPr>
          </w:p>
        </w:tc>
        <w:tc>
          <w:tcPr>
            <w:tcW w:w="8320" w:type="dxa"/>
            <w:vAlign w:val="bottom"/>
          </w:tcPr>
          <w:p>
            <w:pPr>
              <w:jc w:val="center"/>
              <w:ind w:left="1231"/>
              <w:spacing w:after="0"/>
              <w:rPr>
                <w:sz w:val="20"/>
                <w:szCs w:val="20"/>
                <w:color w:val="auto"/>
              </w:rPr>
            </w:pPr>
            <w:r>
              <w:rPr>
                <w:rFonts w:ascii="Times New Roman" w:cs="Times New Roman" w:eastAsia="Times New Roman" w:hAnsi="Times New Roman"/>
                <w:sz w:val="14"/>
                <w:szCs w:val="14"/>
                <w:b w:val="1"/>
                <w:bCs w:val="1"/>
                <w:color w:val="auto"/>
                <w:w w:val="97"/>
              </w:rPr>
              <w:t>RESERVED</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4"/>
                <w:szCs w:val="24"/>
                <w:color w:val="auto"/>
              </w:rPr>
            </w:pPr>
          </w:p>
        </w:tc>
        <w:tc>
          <w:tcPr>
            <w:tcW w:w="8320" w:type="dxa"/>
            <w:vAlign w:val="bottom"/>
          </w:tcPr>
          <w:p>
            <w:pPr>
              <w:jc w:val="center"/>
              <w:ind w:left="1231"/>
              <w:spacing w:after="0"/>
              <w:rPr>
                <w:sz w:val="20"/>
                <w:szCs w:val="20"/>
                <w:color w:val="auto"/>
              </w:rPr>
            </w:pPr>
            <w:r>
              <w:rPr>
                <w:rFonts w:ascii="Times New Roman" w:cs="Times New Roman" w:eastAsia="Times New Roman" w:hAnsi="Times New Roman"/>
                <w:sz w:val="14"/>
                <w:szCs w:val="14"/>
                <w:b w:val="1"/>
                <w:bCs w:val="1"/>
                <w:color w:val="auto"/>
                <w:w w:val="97"/>
              </w:rPr>
              <w:t>ARTICLE TEN</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4"/>
                <w:szCs w:val="24"/>
                <w:color w:val="auto"/>
              </w:rPr>
            </w:pPr>
          </w:p>
        </w:tc>
        <w:tc>
          <w:tcPr>
            <w:tcW w:w="8320" w:type="dxa"/>
            <w:vAlign w:val="bottom"/>
          </w:tcPr>
          <w:p>
            <w:pPr>
              <w:jc w:val="center"/>
              <w:ind w:left="1231"/>
              <w:spacing w:after="0"/>
              <w:rPr>
                <w:sz w:val="20"/>
                <w:szCs w:val="20"/>
                <w:color w:val="auto"/>
              </w:rPr>
            </w:pPr>
            <w:r>
              <w:rPr>
                <w:rFonts w:ascii="Times New Roman" w:cs="Times New Roman" w:eastAsia="Times New Roman" w:hAnsi="Times New Roman"/>
                <w:sz w:val="14"/>
                <w:szCs w:val="14"/>
                <w:b w:val="1"/>
                <w:bCs w:val="1"/>
                <w:color w:val="auto"/>
                <w:w w:val="97"/>
              </w:rPr>
              <w:t>AMENDMENTS, SUPPLEMENTS AND WAIVERS</w:t>
            </w:r>
          </w:p>
        </w:tc>
        <w:tc>
          <w:tcPr>
            <w:tcW w:w="2120" w:type="dxa"/>
            <w:vAlign w:val="bottom"/>
          </w:tcPr>
          <w:p>
            <w:pPr>
              <w:spacing w:after="0"/>
              <w:rPr>
                <w:sz w:val="24"/>
                <w:szCs w:val="24"/>
                <w:color w:val="auto"/>
              </w:rPr>
            </w:pPr>
          </w:p>
        </w:tc>
      </w:tr>
      <w:tr>
        <w:trPr>
          <w:trHeight w:val="28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10.01</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10.02</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 Consent of Holders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10.03</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10.04</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10.05</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Section</w:t>
            </w:r>
          </w:p>
        </w:tc>
        <w:tc>
          <w:tcPr>
            <w:tcW w:w="83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6"/>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10.06</w:t>
            </w:r>
          </w:p>
        </w:tc>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Trustee to Sign Amendments,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ARTICLE ELEVEN</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IN FOREIGN CURRENCIES</w:t>
      </w:r>
    </w:p>
    <w:p>
      <w:pPr>
        <w:sectPr>
          <w:pgSz w:w="11900" w:h="16838" w:orient="portrait"/>
          <w:cols w:equalWidth="0" w:num="1">
            <w:col w:w="11260"/>
          </w:cols>
          <w:pgMar w:left="320" w:top="1159"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5"/>
                <w:szCs w:val="15"/>
                <w:color w:val="auto"/>
              </w:rPr>
            </w:pPr>
          </w:p>
        </w:tc>
        <w:tc>
          <w:tcPr>
            <w:tcW w:w="6760" w:type="dxa"/>
            <w:vAlign w:val="bottom"/>
          </w:tcPr>
          <w:p>
            <w:pPr>
              <w:spacing w:after="0"/>
              <w:rPr>
                <w:sz w:val="15"/>
                <w:szCs w:val="15"/>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11.01</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Applicability of Article</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372"/>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760" w:type="dxa"/>
            <w:vAlign w:val="bottom"/>
          </w:tcPr>
          <w:p>
            <w:pPr>
              <w:jc w:val="right"/>
              <w:ind w:right="4951"/>
              <w:spacing w:after="0"/>
              <w:rPr>
                <w:sz w:val="20"/>
                <w:szCs w:val="20"/>
                <w:color w:val="auto"/>
              </w:rPr>
            </w:pPr>
            <w:r>
              <w:rPr>
                <w:rFonts w:ascii="Times New Roman" w:cs="Times New Roman" w:eastAsia="Times New Roman" w:hAnsi="Times New Roman"/>
                <w:sz w:val="14"/>
                <w:szCs w:val="14"/>
                <w:b w:val="1"/>
                <w:bCs w:val="1"/>
                <w:color w:val="auto"/>
              </w:rPr>
              <w:t>ARTICLE TWELVE</w:t>
            </w:r>
          </w:p>
        </w:tc>
      </w:tr>
      <w:tr>
        <w:trPr>
          <w:trHeight w:val="289"/>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760" w:type="dxa"/>
            <w:vAlign w:val="bottom"/>
          </w:tcPr>
          <w:p>
            <w:pPr>
              <w:jc w:val="right"/>
              <w:ind w:right="4971"/>
              <w:spacing w:after="0"/>
              <w:rPr>
                <w:sz w:val="20"/>
                <w:szCs w:val="20"/>
                <w:color w:val="auto"/>
              </w:rPr>
            </w:pPr>
            <w:r>
              <w:rPr>
                <w:rFonts w:ascii="Times New Roman" w:cs="Times New Roman" w:eastAsia="Times New Roman" w:hAnsi="Times New Roman"/>
                <w:sz w:val="14"/>
                <w:szCs w:val="14"/>
                <w:b w:val="1"/>
                <w:bCs w:val="1"/>
                <w:color w:val="auto"/>
              </w:rPr>
              <w:t>MISCELLANEOUS</w:t>
            </w:r>
          </w:p>
        </w:tc>
      </w:tr>
      <w:tr>
        <w:trPr>
          <w:trHeight w:val="289"/>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12.01</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12.02</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Notices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12.03</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Communications by Holders with Other Holders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12.04</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12.05</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12.06</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12.07</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Legal Holidays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12.08</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Governing Law</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12.09</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12.10</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12.11</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Successors and Assigns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12.12</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Duplicate Originals</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12.13</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Severability</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w w:val="90"/>
              </w:rPr>
              <w:t>Section</w:t>
            </w:r>
          </w:p>
        </w:tc>
        <w:tc>
          <w:tcPr>
            <w:tcW w:w="368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06"/>
        </w:trPr>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12.14</w:t>
            </w:r>
          </w:p>
        </w:tc>
        <w:tc>
          <w:tcPr>
            <w:tcW w:w="3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Waiver of Jury Trial</w:t>
            </w: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A – Form of Security</w:t>
      </w:r>
    </w:p>
    <w:p>
      <w:pPr>
        <w:sectPr>
          <w:pgSz w:w="11900" w:h="16838" w:orient="portrait"/>
          <w:cols w:equalWidth="0" w:num="1">
            <w:col w:w="11260"/>
          </w:cols>
          <w:pgMar w:left="320" w:top="1159" w:right="319" w:bottom="1440" w:gutter="0" w:footer="0" w:header="0"/>
        </w:sectPr>
      </w:pPr>
    </w:p>
    <w:bookmarkStart w:id="97" w:name="page98"/>
    <w:bookmarkEnd w:id="97"/>
    <w:p>
      <w:pPr>
        <w:ind w:left="320"/>
        <w:spacing w:after="0"/>
        <w:tabs>
          <w:tab w:leader="none" w:pos="1880" w:val="left"/>
          <w:tab w:leader="none" w:pos="9520" w:val="left"/>
        </w:tabs>
        <w:rPr>
          <w:sz w:val="20"/>
          <w:szCs w:val="20"/>
          <w:color w:val="auto"/>
        </w:rPr>
      </w:pPr>
      <w:r>
        <w:rPr>
          <w:rFonts w:ascii="Times New Roman" w:cs="Times New Roman" w:eastAsia="Times New Roman" w:hAnsi="Times New Roman"/>
          <w:sz w:val="14"/>
          <w:szCs w:val="14"/>
          <w:color w:val="auto"/>
        </w:rPr>
        <w:t>INDENTURE dated as of</w:t>
        <w:tab/>
        <w:t>, 202 , (the “</w:t>
      </w:r>
      <w:r>
        <w:rPr>
          <w:rFonts w:ascii="Times New Roman" w:cs="Times New Roman" w:eastAsia="Times New Roman" w:hAnsi="Times New Roman"/>
          <w:sz w:val="14"/>
          <w:szCs w:val="14"/>
          <w:b w:val="1"/>
          <w:bCs w:val="1"/>
          <w:color w:val="auto"/>
        </w:rPr>
        <w:t>Base Indenture</w:t>
      </w:r>
      <w:r>
        <w:rPr>
          <w:rFonts w:ascii="Times New Roman" w:cs="Times New Roman" w:eastAsia="Times New Roman" w:hAnsi="Times New Roman"/>
          <w:sz w:val="14"/>
          <w:szCs w:val="14"/>
          <w:color w:val="auto"/>
        </w:rPr>
        <w:t xml:space="preserve">”), by and among </w:t>
      </w:r>
      <w:r>
        <w:rPr>
          <w:rFonts w:ascii="Times New Roman" w:cs="Times New Roman" w:eastAsia="Times New Roman" w:hAnsi="Times New Roman"/>
          <w:sz w:val="14"/>
          <w:szCs w:val="14"/>
          <w:b w:val="1"/>
          <w:bCs w:val="1"/>
          <w:color w:val="auto"/>
        </w:rPr>
        <w:t>SPYRE THERAPEUTICS,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as trustee (the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Company’s debt securities issued under this Base Indenture:</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ONE</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DEFINITIONS AND INCORPORATION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1.01 </w:t>
      </w:r>
      <w:r>
        <w:rPr>
          <w:rFonts w:ascii="Times New Roman" w:cs="Times New Roman" w:eastAsia="Times New Roman" w:hAnsi="Times New Roman"/>
          <w:sz w:val="14"/>
          <w:szCs w:val="14"/>
          <w:b w:val="1"/>
          <w:bCs w:val="1"/>
          <w:u w:val="single" w:color="auto"/>
          <w:color w:val="auto"/>
        </w:rPr>
        <w:t>Definitions.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when used with reference to a specified person, any Person directly or indirectly controlling or controlled by or under direct or indirect common control with the Person specified.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means any Registrar, Paying Agent or co-Registrar or agent for service of notices and demands.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Authorizing Resolution</w:t>
      </w:r>
      <w:r>
        <w:rPr>
          <w:rFonts w:ascii="Times New Roman" w:cs="Times New Roman" w:eastAsia="Times New Roman" w:hAnsi="Times New Roman"/>
          <w:sz w:val="14"/>
          <w:szCs w:val="14"/>
          <w:color w:val="auto"/>
        </w:rPr>
        <w:t>” means a resolution adopted by the Board of Directors or by an Officer or committee of Officers pursuant to Board delegation authorizing a Series of Securities.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Law</w:t>
      </w:r>
      <w:r>
        <w:rPr>
          <w:rFonts w:ascii="Times New Roman" w:cs="Times New Roman" w:eastAsia="Times New Roman" w:hAnsi="Times New Roman"/>
          <w:sz w:val="14"/>
          <w:szCs w:val="14"/>
          <w:color w:val="auto"/>
        </w:rPr>
        <w:t>” means Title 11 of the United States Code, as amended, or any similar federal or state law for the relief of debtors.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Capital Stock</w:t>
      </w:r>
      <w:r>
        <w:rPr>
          <w:rFonts w:ascii="Times New Roman" w:cs="Times New Roman" w:eastAsia="Times New Roman" w:hAnsi="Times New Roman"/>
          <w:sz w:val="13"/>
          <w:szCs w:val="13"/>
          <w:color w:val="auto"/>
        </w:rPr>
        <w:t>” means, with respect to any Person, any and all shares, interests, participations or other equivalents (however designated) of or in such Person’s capital stock or other equity interests.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means the party named as such in this Indenture until a successor replaces it pursuant to the Indenture and thereafter means the successor.</w:t>
      </w:r>
    </w:p>
    <w:p>
      <w:pPr>
        <w:spacing w:after="0" w:line="169" w:lineRule="exact"/>
        <w:rPr>
          <w:sz w:val="20"/>
          <w:szCs w:val="20"/>
          <w:color w:val="auto"/>
        </w:rPr>
      </w:pPr>
    </w:p>
    <w:p>
      <w:pPr>
        <w:ind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means, when used with respect to any Person,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have meanings correlative to the foregoing.</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w:t>
      </w:r>
      <w:r>
        <w:rPr>
          <w:rFonts w:ascii="Times New Roman" w:cs="Times New Roman" w:eastAsia="Times New Roman" w:hAnsi="Times New Roman"/>
          <w:sz w:val="14"/>
          <w:szCs w:val="14"/>
          <w:color w:val="auto"/>
        </w:rPr>
        <w:t>” means any event, act or condition that is, or after notice or the passage of time or both would be, an Event of Default.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Definitive Security</w:t>
      </w:r>
      <w:r>
        <w:rPr>
          <w:rFonts w:ascii="Times New Roman" w:cs="Times New Roman" w:eastAsia="Times New Roman" w:hAnsi="Times New Roman"/>
          <w:sz w:val="14"/>
          <w:szCs w:val="14"/>
          <w:color w:val="auto"/>
        </w:rPr>
        <w:t>” means a certificated Security registered in the name of the Securityholder thereof.</w:t>
      </w:r>
    </w:p>
    <w:p>
      <w:pPr>
        <w:spacing w:after="0" w:line="169" w:lineRule="exact"/>
        <w:rPr>
          <w:sz w:val="20"/>
          <w:szCs w:val="20"/>
          <w:color w:val="auto"/>
        </w:rPr>
      </w:pPr>
    </w:p>
    <w:p>
      <w:pPr>
        <w:jc w:val="both"/>
        <w:ind w:right="360" w:firstLine="310"/>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xml:space="preserve">” 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mean United States Dollars.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means The Depository Trust Company, New York, New York.</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00" w:top="1114" w:right="359" w:bottom="1440" w:gutter="0" w:footer="0" w:header="0"/>
        </w:sectPr>
      </w:pPr>
    </w:p>
    <w:bookmarkStart w:id="98" w:name="page99"/>
    <w:bookmarkEnd w:id="98"/>
    <w:p>
      <w:pPr>
        <w:ind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Currency</w:t>
      </w:r>
      <w:r>
        <w:rPr>
          <w:rFonts w:ascii="Times New Roman" w:cs="Times New Roman" w:eastAsia="Times New Roman" w:hAnsi="Times New Roman"/>
          <w:sz w:val="14"/>
          <w:szCs w:val="14"/>
          <w:color w:val="auto"/>
        </w:rPr>
        <w:t>” means any currency, currency unit or composite currency, including, without limitation, the Euro, issued by the government of one or more countries other than the United States of America or by any recognized confederation or association of such governments.</w:t>
      </w:r>
    </w:p>
    <w:p>
      <w:pPr>
        <w:spacing w:after="0" w:line="123" w:lineRule="exact"/>
        <w:rPr>
          <w:sz w:val="20"/>
          <w:szCs w:val="20"/>
          <w:color w:val="auto"/>
        </w:rPr>
      </w:pPr>
    </w:p>
    <w:p>
      <w:pPr>
        <w:ind w:right="20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set forth in the accounting standards codification of the Financial Accounting Standards Board or in such other statements by such or any other entity as may be approved by a significant segment of the accounting profession of the United States, as in effect on the date of this Base Indenture.</w:t>
      </w:r>
    </w:p>
    <w:p>
      <w:pPr>
        <w:spacing w:after="0" w:line="123" w:lineRule="exact"/>
        <w:rPr>
          <w:sz w:val="20"/>
          <w:szCs w:val="20"/>
          <w:color w:val="auto"/>
        </w:rPr>
      </w:pPr>
    </w:p>
    <w:p>
      <w:pPr>
        <w:ind w:right="10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Security</w:t>
      </w:r>
      <w:r>
        <w:rPr>
          <w:rFonts w:ascii="Times New Roman" w:cs="Times New Roman" w:eastAsia="Times New Roman" w:hAnsi="Times New Roman"/>
          <w:sz w:val="14"/>
          <w:szCs w:val="14"/>
          <w:color w:val="auto"/>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23" w:lineRule="exact"/>
        <w:rPr>
          <w:sz w:val="20"/>
          <w:szCs w:val="20"/>
          <w:color w:val="auto"/>
        </w:rPr>
      </w:pPr>
    </w:p>
    <w:p>
      <w:pPr>
        <w:ind w:right="20" w:firstLine="310"/>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 Obligations</w:t>
      </w:r>
      <w:r>
        <w:rPr>
          <w:rFonts w:ascii="Times New Roman" w:cs="Times New Roman" w:eastAsia="Times New Roman" w:hAnsi="Times New Roman"/>
          <w:sz w:val="14"/>
          <w:szCs w:val="14"/>
          <w:color w:val="auto"/>
        </w:rPr>
        <w:t xml:space="preserve">” 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Securityholder</w:t>
      </w:r>
      <w:r>
        <w:rPr>
          <w:rFonts w:ascii="Times New Roman" w:cs="Times New Roman" w:eastAsia="Times New Roman" w:hAnsi="Times New Roman"/>
          <w:sz w:val="14"/>
          <w:szCs w:val="14"/>
          <w:color w:val="auto"/>
        </w:rPr>
        <w:t>” means the Person in whose name a Security is registered on the Registrar’s books.</w:t>
      </w:r>
    </w:p>
    <w:p>
      <w:pPr>
        <w:spacing w:after="0" w:line="169" w:lineRule="exact"/>
        <w:rPr>
          <w:sz w:val="20"/>
          <w:szCs w:val="20"/>
          <w:color w:val="auto"/>
        </w:rPr>
      </w:pPr>
    </w:p>
    <w:p>
      <w:pPr>
        <w:ind w:right="140" w:firstLine="310"/>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means this Base Indenture as amended or supplemented from time to time, including pursuant to any Authorizing Resolution or supplemental indenture pertaining to any Series, and including, for all purposes of this instrument and any such Authorizing Resolution or supplemental indenture, the provisions of the TIA that are deemed to be a part of and govern this Base Indenture and any such Authorizing Resolution or supplemental indenture, respectively.</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 Date</w:t>
      </w:r>
      <w:r>
        <w:rPr>
          <w:rFonts w:ascii="Times New Roman" w:cs="Times New Roman" w:eastAsia="Times New Roman" w:hAnsi="Times New Roman"/>
          <w:sz w:val="14"/>
          <w:szCs w:val="14"/>
          <w:color w:val="auto"/>
        </w:rPr>
        <w:t>” means, with respect to any Series of Securities, the date on which the Securities of such Series are originally issued under this Indenture.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NYUCC</w:t>
      </w:r>
      <w:r>
        <w:rPr>
          <w:rFonts w:ascii="Times New Roman" w:cs="Times New Roman" w:eastAsia="Times New Roman" w:hAnsi="Times New Roman"/>
          <w:sz w:val="14"/>
          <w:szCs w:val="14"/>
          <w:color w:val="auto"/>
        </w:rPr>
        <w:t>” means the New York Uniform Commercial Code, as in effect from time to time.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 means the Chairman of the Board, the President, any Vice President, the Treasurer, the Controller or the Secretary of the Company.</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means a certificate signed by two Officers or by an Officer and an Assistant Treasurer or an Assistant Secretary of the Company.</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Opinion of Counsel</w:t>
      </w:r>
      <w:r>
        <w:rPr>
          <w:rFonts w:ascii="Times New Roman" w:cs="Times New Roman" w:eastAsia="Times New Roman" w:hAnsi="Times New Roman"/>
          <w:sz w:val="14"/>
          <w:szCs w:val="14"/>
          <w:color w:val="auto"/>
        </w:rPr>
        <w:t>” means a written opinion, in form and substance reasonably satisfactory to the Trustee, from legal counsel. The counsel may be an employee of or counsel to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such opinion shall include the statements provided for in Section 12.05 if and to the extent required by the provisions of such Section.</w:t>
      </w:r>
    </w:p>
    <w:p>
      <w:pPr>
        <w:spacing w:after="0" w:line="152" w:lineRule="exact"/>
        <w:rPr>
          <w:sz w:val="20"/>
          <w:szCs w:val="20"/>
          <w:color w:val="auto"/>
        </w:rPr>
      </w:pPr>
    </w:p>
    <w:p>
      <w:pPr>
        <w:ind w:right="8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corporation, partnership, limited liability company, joint venture, incorporated or unincorporated association, joint stock company, trust, unincorporated organization or government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14" w:right="319" w:bottom="1440" w:gutter="0" w:footer="0" w:header="0"/>
        </w:sectPr>
      </w:pPr>
    </w:p>
    <w:bookmarkStart w:id="99" w:name="page100"/>
    <w:bookmarkEnd w:id="99"/>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principal</w:t>
      </w:r>
      <w:r>
        <w:rPr>
          <w:rFonts w:ascii="Times New Roman" w:cs="Times New Roman" w:eastAsia="Times New Roman" w:hAnsi="Times New Roman"/>
          <w:sz w:val="14"/>
          <w:szCs w:val="14"/>
          <w:color w:val="auto"/>
        </w:rPr>
        <w:t xml:space="preserve">” of a debt security means the principal of the security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when appropriate, the premium, if any, on the security.</w:t>
      </w:r>
    </w:p>
    <w:p>
      <w:pPr>
        <w:spacing w:after="0" w:line="169" w:lineRule="exact"/>
        <w:rPr>
          <w:sz w:val="20"/>
          <w:szCs w:val="20"/>
          <w:color w:val="auto"/>
        </w:rPr>
      </w:pPr>
    </w:p>
    <w:p>
      <w:pPr>
        <w:ind w:right="20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14"/>
          <w:szCs w:val="14"/>
          <w:color w:val="auto"/>
        </w:rPr>
        <w:t>” of any Person means all types of real, personal, tangible, intangible or mixed property owned by such Person, whether or not included in the most recent consolidated balance sheet of such Person and its Subsidiaries under GAAP.</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Securities and Exchange Commission or any successor agency performing the duties now assigned to it under the TIA.</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means any Securities that are issued under this Base Indenture.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4"/>
          <w:szCs w:val="14"/>
          <w:color w:val="auto"/>
        </w:rPr>
        <w:t>” means a series of Securities established under this Base Indenture.</w:t>
      </w:r>
    </w:p>
    <w:p>
      <w:pPr>
        <w:spacing w:after="0" w:line="169" w:lineRule="exact"/>
        <w:rPr>
          <w:sz w:val="20"/>
          <w:szCs w:val="20"/>
          <w:color w:val="auto"/>
        </w:rPr>
      </w:pPr>
    </w:p>
    <w:p>
      <w:pPr>
        <w:ind w:right="44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Significant Subsidiary</w:t>
      </w:r>
      <w:r>
        <w:rPr>
          <w:rFonts w:ascii="Times New Roman" w:cs="Times New Roman" w:eastAsia="Times New Roman" w:hAnsi="Times New Roman"/>
          <w:sz w:val="14"/>
          <w:szCs w:val="14"/>
          <w:color w:val="auto"/>
        </w:rPr>
        <w:t>” means any Subsidiary of the Company which would constitute a “significant subsidiary” as defined in Rule 1-02 of Regulation S-X under the Securities Act and the Exchange Act.</w:t>
      </w:r>
    </w:p>
    <w:p>
      <w:pPr>
        <w:spacing w:after="0" w:line="123" w:lineRule="exact"/>
        <w:rPr>
          <w:sz w:val="20"/>
          <w:szCs w:val="20"/>
          <w:color w:val="auto"/>
        </w:rPr>
      </w:pPr>
    </w:p>
    <w:p>
      <w:pPr>
        <w:ind w:right="40"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of any Person means any corporation or other entity of which a majority of the Capital Stock having ordinary voting power to elect a majority of the board of directors of such entity or other persons performing similar functions is at the time directly or indirectly owned or controlled by such Person.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TIA</w:t>
      </w:r>
      <w:r>
        <w:rPr>
          <w:rFonts w:ascii="Times New Roman" w:cs="Times New Roman" w:eastAsia="Times New Roman" w:hAnsi="Times New Roman"/>
          <w:sz w:val="14"/>
          <w:szCs w:val="14"/>
          <w:color w:val="auto"/>
        </w:rPr>
        <w:t>” means the Trust Indenture Act of 1939, as in effect from time to time, except as otherwise provided herein.</w:t>
      </w:r>
    </w:p>
    <w:p>
      <w:pPr>
        <w:spacing w:after="0" w:line="169" w:lineRule="exact"/>
        <w:rPr>
          <w:sz w:val="20"/>
          <w:szCs w:val="20"/>
          <w:color w:val="auto"/>
        </w:rPr>
      </w:pPr>
    </w:p>
    <w:p>
      <w:pPr>
        <w:ind w:firstLine="310"/>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xml:space="preserve">” means the party named as such in this Base Indenture until a successor replaces it pursuant to this Base Indenture and thereafter means the successor serving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at any time there is more than one such Person, “Trustee” as used with respect to the Securities of any Series shall mean only the Trustee with respect to Securities of that Series.</w:t>
      </w:r>
    </w:p>
    <w:p>
      <w:pPr>
        <w:spacing w:after="0" w:line="123" w:lineRule="exact"/>
        <w:rPr>
          <w:sz w:val="20"/>
          <w:szCs w:val="20"/>
          <w:color w:val="auto"/>
        </w:rPr>
      </w:pPr>
    </w:p>
    <w:p>
      <w:pPr>
        <w:ind w:right="60" w:firstLine="310"/>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 Officer</w:t>
      </w:r>
      <w:r>
        <w:rPr>
          <w:rFonts w:ascii="Times New Roman" w:cs="Times New Roman" w:eastAsia="Times New Roman" w:hAnsi="Times New Roman"/>
          <w:sz w:val="14"/>
          <w:szCs w:val="14"/>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or to whom any corporate trust matter is referred because of such person’s knowledge of and familiarity with the particular subject and who shall have direct responsibility for the administration of this Indenture.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United States</w:t>
      </w:r>
      <w:r>
        <w:rPr>
          <w:rFonts w:ascii="Times New Roman" w:cs="Times New Roman" w:eastAsia="Times New Roman" w:hAnsi="Times New Roman"/>
          <w:sz w:val="14"/>
          <w:szCs w:val="14"/>
          <w:color w:val="auto"/>
        </w:rPr>
        <w:t>” means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00" w:top="1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 xml:space="preserve">Section 1.02 </w:t>
      </w:r>
      <w:r>
        <w:rPr>
          <w:rFonts w:ascii="Times New Roman" w:cs="Times New Roman" w:eastAsia="Times New Roman" w:hAnsi="Times New Roman"/>
          <w:sz w:val="14"/>
          <w:szCs w:val="14"/>
          <w:b w:val="1"/>
          <w:bCs w:val="1"/>
          <w:u w:val="single" w:color="auto"/>
          <w:color w:val="auto"/>
        </w:rPr>
        <w:t>Other Definitions.</w:t>
      </w:r>
    </w:p>
    <w:p>
      <w:pPr>
        <w:spacing w:after="0" w:line="20" w:lineRule="exact"/>
        <w:rPr>
          <w:sz w:val="20"/>
          <w:szCs w:val="20"/>
          <w:color w:val="auto"/>
        </w:rPr>
      </w:pPr>
    </w:p>
    <w:tbl>
      <w:tblPr>
        <w:tblLayout w:type="fixed"/>
        <w:tblInd w:w="1760" w:type="dxa"/>
        <w:tblCellMar>
          <w:top w:w="0" w:type="dxa"/>
          <w:left w:w="0" w:type="dxa"/>
          <w:bottom w:w="0" w:type="dxa"/>
          <w:right w:w="0" w:type="dxa"/>
        </w:tblCellMar>
      </w:tblPr>
      <w:tr>
        <w:trPr>
          <w:trHeight w:val="126"/>
        </w:trPr>
        <w:tc>
          <w:tcPr>
            <w:tcW w:w="6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Defined in</w:t>
            </w:r>
          </w:p>
        </w:tc>
        <w:tc>
          <w:tcPr>
            <w:tcW w:w="0" w:type="dxa"/>
            <w:vAlign w:val="bottom"/>
          </w:tcPr>
          <w:p>
            <w:pPr>
              <w:spacing w:after="0"/>
              <w:rPr>
                <w:sz w:val="1"/>
                <w:szCs w:val="1"/>
                <w:color w:val="auto"/>
              </w:rPr>
            </w:pPr>
          </w:p>
        </w:tc>
      </w:tr>
      <w:tr>
        <w:trPr>
          <w:trHeight w:val="144"/>
        </w:trPr>
        <w:tc>
          <w:tcPr>
            <w:tcW w:w="672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Agent Members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Base Indenture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Preamble</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Covenant Defeasance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Custodian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Event of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Legal Defeasance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Legal Holiday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Paying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Payment Default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Registrar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Security Register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Successor</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1.03 </w:t>
      </w:r>
      <w:r>
        <w:rPr>
          <w:rFonts w:ascii="Times New Roman" w:cs="Times New Roman" w:eastAsia="Times New Roman" w:hAnsi="Times New Roman"/>
          <w:sz w:val="14"/>
          <w:szCs w:val="14"/>
          <w:b w:val="1"/>
          <w:bCs w:val="1"/>
          <w:u w:val="single" w:color="auto"/>
          <w:color w:val="auto"/>
        </w:rPr>
        <w:t>Incorporation by Reference of Trust Indenture Act.</w:t>
      </w:r>
    </w:p>
    <w:p>
      <w:pPr>
        <w:spacing w:after="0" w:line="91" w:lineRule="exact"/>
        <w:rPr>
          <w:sz w:val="20"/>
          <w:szCs w:val="20"/>
          <w:color w:val="auto"/>
        </w:rPr>
      </w:pPr>
    </w:p>
    <w:p>
      <w:pPr>
        <w:ind w:right="260" w:firstLine="310"/>
        <w:spacing w:after="0" w:line="272"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 The following TIA terms used in this Indenture have the following meanings: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“Commission” means the SEC.</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 securities” means the Securities of a particular Series.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 security holder” means a Securityholder.</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 to be qualified” means this Indenture.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“obligor” on the indenture securities means the Company or any other obligor on the Securities of a Series.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 other TIA terms used in this Indenture that are defined by the TIA, defined by TIA reference to another statute or defined by SEC rule have the meanings so assigned to them.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1.04 </w:t>
      </w:r>
      <w:r>
        <w:rPr>
          <w:rFonts w:ascii="Times New Roman" w:cs="Times New Roman" w:eastAsia="Times New Roman" w:hAnsi="Times New Roman"/>
          <w:sz w:val="14"/>
          <w:szCs w:val="14"/>
          <w:b w:val="1"/>
          <w:bCs w:val="1"/>
          <w:u w:val="single" w:color="auto"/>
          <w:color w:val="auto"/>
        </w:rPr>
        <w:t>Rules of Construction.</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8" w:lineRule="exact"/>
        <w:rPr>
          <w:sz w:val="20"/>
          <w:szCs w:val="20"/>
          <w:color w:val="auto"/>
        </w:rPr>
      </w:pPr>
    </w:p>
    <w:p>
      <w:pPr>
        <w:ind w:left="540" w:hanging="290"/>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 herein;</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 and all accounting determinations shall be made in accordance with GAAP;</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is not exclusive and “including” means “including without limitation”;</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4" w:lineRule="exact"/>
        <w:rPr>
          <w:rFonts w:ascii="Times New Roman" w:cs="Times New Roman" w:eastAsia="Times New Roman" w:hAnsi="Times New Roman"/>
          <w:sz w:val="14"/>
          <w:szCs w:val="14"/>
          <w:color w:val="auto"/>
        </w:rPr>
      </w:pPr>
    </w:p>
    <w:p>
      <w:pPr>
        <w:ind w:left="560" w:right="20" w:hanging="310"/>
        <w:spacing w:after="0" w:line="246" w:lineRule="auto"/>
        <w:tabs>
          <w:tab w:leader="none" w:pos="54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“herein,” “hereof” and “hereunder,” and other words of similar import, refer to this Indenture as a whole (including any Authorizing Resolution or supplemental indenture relating to the relevant Series) and not to any particular Article, Section or other subdivision;</w:t>
      </w:r>
    </w:p>
    <w:p>
      <w:pPr>
        <w:ind w:left="540" w:hanging="290"/>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exhibits are incorporated by reference herein and expressly made a part of this Indenture; and</w:t>
      </w:r>
    </w:p>
    <w:p>
      <w:pPr>
        <w:spacing w:after="0" w:line="4" w:lineRule="exact"/>
        <w:rPr>
          <w:rFonts w:ascii="Times New Roman" w:cs="Times New Roman" w:eastAsia="Times New Roman" w:hAnsi="Times New Roman"/>
          <w:sz w:val="14"/>
          <w:szCs w:val="14"/>
          <w:color w:val="auto"/>
        </w:rPr>
      </w:pPr>
    </w:p>
    <w:p>
      <w:pPr>
        <w:ind w:left="560" w:hanging="310"/>
        <w:spacing w:after="0" w:line="252" w:lineRule="auto"/>
        <w:tabs>
          <w:tab w:leader="none" w:pos="54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or event shall be considered “permitted by” or made “in accordance with” or “in compliance with” this Indenture or any particular provision thereof if such transaction or event is not expressly prohibited by this Indenture or such provision,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20"/>
          </w:cols>
          <w:pgMar w:left="300" w:top="1114" w:right="379" w:bottom="1440" w:gutter="0" w:footer="0" w:header="0"/>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TWO</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2.01 </w:t>
      </w:r>
      <w:r>
        <w:rPr>
          <w:rFonts w:ascii="Times New Roman" w:cs="Times New Roman" w:eastAsia="Times New Roman" w:hAnsi="Times New Roman"/>
          <w:sz w:val="14"/>
          <w:szCs w:val="14"/>
          <w:b w:val="1"/>
          <w:bCs w:val="1"/>
          <w:u w:val="single" w:color="auto"/>
          <w:color w:val="auto"/>
        </w:rPr>
        <w:t>Form and Dating.</w:t>
      </w:r>
    </w:p>
    <w:p>
      <w:pPr>
        <w:spacing w:after="0" w:line="91" w:lineRule="exact"/>
        <w:rPr>
          <w:sz w:val="20"/>
          <w:szCs w:val="20"/>
          <w:color w:val="auto"/>
        </w:rPr>
      </w:pPr>
    </w:p>
    <w:p>
      <w:pPr>
        <w:ind w:right="180" w:firstLine="310"/>
        <w:spacing w:after="0" w:line="256" w:lineRule="auto"/>
        <w:rPr>
          <w:sz w:val="20"/>
          <w:szCs w:val="20"/>
          <w:color w:val="auto"/>
        </w:rPr>
      </w:pPr>
      <w:r>
        <w:rPr>
          <w:rFonts w:ascii="Times New Roman" w:cs="Times New Roman" w:eastAsia="Times New Roman" w:hAnsi="Times New Roman"/>
          <w:sz w:val="14"/>
          <w:szCs w:val="14"/>
          <w:color w:val="auto"/>
        </w:rPr>
        <w:t>The aggregate principal amount of Securities that may be issued under this Base Indenture is unlimited. The Securities may be issued from time to time in one or more Series. Each Series shall be created by an Authorizing Resolution or a supplemental indenture that establishes the terms of the Series, which may include the following:</w:t>
      </w: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Securities of such Series from all other Securities);</w:t>
      </w:r>
    </w:p>
    <w:p>
      <w:pPr>
        <w:spacing w:after="0" w:line="4" w:lineRule="exact"/>
        <w:rPr>
          <w:rFonts w:ascii="Times New Roman" w:cs="Times New Roman" w:eastAsia="Times New Roman" w:hAnsi="Times New Roman"/>
          <w:sz w:val="14"/>
          <w:szCs w:val="14"/>
          <w:color w:val="auto"/>
        </w:rPr>
      </w:pPr>
    </w:p>
    <w:p>
      <w:pPr>
        <w:ind w:left="560" w:hanging="310"/>
        <w:spacing w:after="0" w:line="246" w:lineRule="auto"/>
        <w:tabs>
          <w:tab w:leader="none" w:pos="54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(or any limit on the aggregate principal amount) of the Series and, if any Securities of a Series are to be issued at a discount from their face amount, the method of computing the accretion of such discount;</w:t>
      </w: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method of calculation of the interest rate;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interest will accrue;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dates for interest payable on Securities of the Series;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when, places where and manner in which principal and interest are payable;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Registrar and Paying Agent;</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mandatory (including any sinking fund requirements) or optional redemption by the Company;</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redemption at the option of Holders;</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permissible denominations in which Securities of such Series are issuable, if different from $2,000 and multiples of $1,000 in excess thereof;</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Securities of such Series will be issued in registered or bearer form and the terms of any such forms of Securities;</w:t>
      </w:r>
    </w:p>
    <w:p>
      <w:pPr>
        <w:spacing w:after="0" w:line="4" w:lineRule="exact"/>
        <w:rPr>
          <w:rFonts w:ascii="Times New Roman" w:cs="Times New Roman" w:eastAsia="Times New Roman" w:hAnsi="Times New Roman"/>
          <w:sz w:val="14"/>
          <w:szCs w:val="14"/>
          <w:color w:val="auto"/>
        </w:rPr>
      </w:pPr>
    </w:p>
    <w:p>
      <w:pPr>
        <w:ind w:left="560" w:right="120" w:hanging="310"/>
        <w:spacing w:after="0" w:line="246" w:lineRule="auto"/>
        <w:tabs>
          <w:tab w:leader="none" w:pos="61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the Securities of the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 Global Security or Securities in addition to or in lieu of the legends referred to in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w:t>
      </w: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any composite currency) in which principal or interest or both may be paid;</w:t>
      </w:r>
    </w:p>
    <w:p>
      <w:pPr>
        <w:spacing w:after="0" w:line="4" w:lineRule="exact"/>
        <w:rPr>
          <w:rFonts w:ascii="Times New Roman" w:cs="Times New Roman" w:eastAsia="Times New Roman" w:hAnsi="Times New Roman"/>
          <w:sz w:val="14"/>
          <w:szCs w:val="14"/>
          <w:color w:val="auto"/>
        </w:rPr>
      </w:pPr>
    </w:p>
    <w:p>
      <w:pPr>
        <w:ind w:left="560" w:hanging="310"/>
        <w:spacing w:after="0" w:line="246" w:lineRule="auto"/>
        <w:tabs>
          <w:tab w:leader="none" w:pos="61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Indenture to provide for or to facilitate the issuance of Securities denominated or payable, at the election of the Company or a Holder thereof or otherwise, in a Foreign Currency;</w:t>
      </w: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electronic issuance of Securities or issuance of Securities of such Series in uncertificated form;</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covenants and/or defined terms in addition to or in lieu of those set forth in this Base Indenture;</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Securities of such Series may be defeased or discharged if different from the provisions set forth in this Base Indenture;</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form of the Securities of such Series, which, unless the Authorizing Resolution or supplemental indenture otherwise provides, shall be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that may be required by or advisable under applicable law;</w:t>
      </w:r>
    </w:p>
    <w:p>
      <w:pPr>
        <w:spacing w:after="0" w:line="4" w:lineRule="exact"/>
        <w:rPr>
          <w:rFonts w:ascii="Times New Roman" w:cs="Times New Roman" w:eastAsia="Times New Roman" w:hAnsi="Times New Roman"/>
          <w:sz w:val="14"/>
          <w:szCs w:val="14"/>
          <w:color w:val="auto"/>
        </w:rPr>
      </w:pPr>
    </w:p>
    <w:p>
      <w:pPr>
        <w:ind w:left="560" w:hanging="310"/>
        <w:spacing w:after="0" w:line="246" w:lineRule="auto"/>
        <w:tabs>
          <w:tab w:leader="none" w:pos="61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of the Securities of such Series which is payable if the maturity of the Securities of such Series is accelerated in the case of Securities issued at a discount from their face amount;</w:t>
      </w:r>
    </w:p>
    <w:p>
      <w:pPr>
        <w:ind w:left="560" w:hanging="310"/>
        <w:spacing w:after="0" w:line="252" w:lineRule="auto"/>
        <w:tabs>
          <w:tab w:leader="none" w:pos="61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Securities of such Series will or will not have the benefit of guarantees and the Company’s Subsidiaries that will be the initial guarantors of such Series and, if applicable, the terms and conditions upon which such guarantees may be subordinated to other indebtedness of the respective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20"/>
          </w:cols>
          <w:pgMar w:left="300" w:top="1114" w:right="379" w:bottom="1440" w:gutter="0" w:footer="0" w:header="0"/>
        </w:sectPr>
      </w:pPr>
    </w:p>
    <w:bookmarkStart w:id="102" w:name="page103"/>
    <w:bookmarkEnd w:id="102"/>
    <w:p>
      <w:pPr>
        <w:ind w:left="620" w:hanging="370"/>
        <w:spacing w:after="0"/>
        <w:tabs>
          <w:tab w:leader="none" w:pos="6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such Series are senior or subordinated debt securities, and if subordinated debt securities, the terms of such subordination;</w:t>
      </w:r>
    </w:p>
    <w:p>
      <w:pPr>
        <w:spacing w:after="0" w:line="17" w:lineRule="exact"/>
        <w:rPr>
          <w:rFonts w:ascii="Times New Roman" w:cs="Times New Roman" w:eastAsia="Times New Roman" w:hAnsi="Times New Roman"/>
          <w:sz w:val="14"/>
          <w:szCs w:val="14"/>
          <w:color w:val="auto"/>
        </w:rPr>
      </w:pPr>
    </w:p>
    <w:p>
      <w:pPr>
        <w:jc w:val="both"/>
        <w:ind w:left="560" w:right="20" w:hanging="310"/>
        <w:spacing w:after="0" w:line="246" w:lineRule="auto"/>
        <w:tabs>
          <w:tab w:leader="none" w:pos="617"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w:t>
      </w:r>
    </w:p>
    <w:p>
      <w:pPr>
        <w:ind w:left="620" w:hanging="370"/>
        <w:spacing w:after="0"/>
        <w:tabs>
          <w:tab w:leader="none" w:pos="6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in addition to or different from those contained in this Base Indenture applicable to such Series.</w:t>
      </w:r>
    </w:p>
    <w:p>
      <w:pPr>
        <w:spacing w:after="0" w:line="156" w:lineRule="exact"/>
        <w:rPr>
          <w:sz w:val="20"/>
          <w:szCs w:val="20"/>
          <w:color w:val="auto"/>
        </w:rPr>
      </w:pPr>
    </w:p>
    <w:p>
      <w:pPr>
        <w:ind w:right="600" w:firstLine="310"/>
        <w:spacing w:after="0" w:line="272" w:lineRule="auto"/>
        <w:rPr>
          <w:sz w:val="20"/>
          <w:szCs w:val="20"/>
          <w:color w:val="auto"/>
        </w:rPr>
      </w:pPr>
      <w:r>
        <w:rPr>
          <w:rFonts w:ascii="Times New Roman" w:cs="Times New Roman" w:eastAsia="Times New Roman" w:hAnsi="Times New Roman"/>
          <w:sz w:val="14"/>
          <w:szCs w:val="14"/>
          <w:color w:val="auto"/>
        </w:rPr>
        <w:t>All Securities of one Series need not be issued at the same time and, unless otherwise provided, a Series may be reopened for issuances of additional Securities of such Series pursuant to an Authorizing Resolution, an Officers’ Certificate or in any indenture supplemental hereto.</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creation and issuance of a Series and the authentication and delivery thereof are not subject to any conditions precedent.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2.02 </w:t>
      </w:r>
      <w:r>
        <w:rPr>
          <w:rFonts w:ascii="Times New Roman" w:cs="Times New Roman" w:eastAsia="Times New Roman" w:hAnsi="Times New Roman"/>
          <w:sz w:val="14"/>
          <w:szCs w:val="14"/>
          <w:b w:val="1"/>
          <w:bCs w:val="1"/>
          <w:u w:val="single" w:color="auto"/>
          <w:color w:val="auto"/>
        </w:rPr>
        <w:t>Execution and Authentication.</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One Officer shall sign the Securities for the Company by manual or facsimile signature.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Trustee authenticates the Security, the Security shall nevertheless be valid.</w:t>
      </w:r>
    </w:p>
    <w:p>
      <w:pPr>
        <w:spacing w:after="0" w:line="169" w:lineRule="exact"/>
        <w:rPr>
          <w:sz w:val="20"/>
          <w:szCs w:val="20"/>
          <w:color w:val="auto"/>
        </w:rPr>
      </w:pPr>
    </w:p>
    <w:p>
      <w:pPr>
        <w:ind w:firstLine="310"/>
        <w:spacing w:after="0" w:line="272" w:lineRule="auto"/>
        <w:rPr>
          <w:sz w:val="20"/>
          <w:szCs w:val="20"/>
          <w:color w:val="auto"/>
        </w:rPr>
      </w:pPr>
      <w:r>
        <w:rPr>
          <w:rFonts w:ascii="Times New Roman" w:cs="Times New Roman" w:eastAsia="Times New Roman" w:hAnsi="Times New Roman"/>
          <w:sz w:val="14"/>
          <w:szCs w:val="14"/>
          <w:color w:val="auto"/>
        </w:rPr>
        <w:t>A Security shall not be valid until the Trustee manually signs the certificate of authentication on the Security. The signature shall be conclusive evidence that the Security has been authenticated under this Base Indenture.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any time and from time to time after the execution and delivery of this Indenture, the Company may deliver Securities of any series executed by the Company to the Trustee for authentication.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Security shall be dated the date of its authentication. The Trustee shall authenticate Securities for original issue upon receipt of, and shall be fully protected in relying upon:</w:t>
      </w:r>
    </w:p>
    <w:p>
      <w:pPr>
        <w:spacing w:after="0" w:line="73" w:lineRule="exact"/>
        <w:rPr>
          <w:sz w:val="20"/>
          <w:szCs w:val="20"/>
          <w:color w:val="auto"/>
        </w:rPr>
      </w:pPr>
    </w:p>
    <w:p>
      <w:pPr>
        <w:ind w:left="180" w:hanging="177"/>
        <w:spacing w:after="0"/>
        <w:tabs>
          <w:tab w:leader="none" w:pos="1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order to the Trustee signed by an officer of the Company directing the Trustee to authenticate the Securities;</w:t>
      </w:r>
    </w:p>
    <w:p>
      <w:pPr>
        <w:spacing w:after="0" w:line="86" w:lineRule="exact"/>
        <w:rPr>
          <w:rFonts w:ascii="Times New Roman" w:cs="Times New Roman" w:eastAsia="Times New Roman" w:hAnsi="Times New Roman"/>
          <w:sz w:val="14"/>
          <w:szCs w:val="14"/>
          <w:color w:val="auto"/>
        </w:rPr>
      </w:pPr>
    </w:p>
    <w:p>
      <w:pPr>
        <w:ind w:right="60" w:firstLine="3"/>
        <w:spacing w:after="0" w:line="259" w:lineRule="auto"/>
        <w:tabs>
          <w:tab w:leader="none" w:pos="195"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general authorization of the Board of Directors, such Officers’ Certificate;</w:t>
      </w:r>
    </w:p>
    <w:p>
      <w:pPr>
        <w:spacing w:after="0" w:line="56"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of the Company delivered in accordance with Section 12.04; and</w:t>
      </w:r>
    </w:p>
    <w:p>
      <w:pPr>
        <w:spacing w:after="0" w:line="86"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delivered in accordance with Section 12.04.</w:t>
      </w:r>
    </w:p>
    <w:p>
      <w:pPr>
        <w:spacing w:after="0" w:line="169" w:lineRule="exact"/>
        <w:rPr>
          <w:sz w:val="20"/>
          <w:szCs w:val="20"/>
          <w:color w:val="auto"/>
        </w:rPr>
      </w:pPr>
    </w:p>
    <w:p>
      <w:pPr>
        <w:ind w:right="60" w:firstLine="310"/>
        <w:spacing w:after="0" w:line="272"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2.03 </w:t>
      </w:r>
      <w:r>
        <w:rPr>
          <w:rFonts w:ascii="Times New Roman" w:cs="Times New Roman" w:eastAsia="Times New Roman" w:hAnsi="Times New Roman"/>
          <w:sz w:val="14"/>
          <w:szCs w:val="14"/>
          <w:b w:val="1"/>
          <w:bCs w:val="1"/>
          <w:u w:val="single" w:color="auto"/>
          <w:color w:val="auto"/>
        </w:rPr>
        <w:t>Registrar and Paying Agent.</w:t>
      </w:r>
    </w:p>
    <w:p>
      <w:pPr>
        <w:spacing w:after="0" w:line="91" w:lineRule="exact"/>
        <w:rPr>
          <w:sz w:val="20"/>
          <w:szCs w:val="20"/>
          <w:color w:val="auto"/>
        </w:rPr>
      </w:pPr>
    </w:p>
    <w:p>
      <w:pPr>
        <w:ind w:right="20" w:firstLine="310"/>
        <w:spacing w:after="0" w:line="259" w:lineRule="auto"/>
        <w:rPr>
          <w:sz w:val="20"/>
          <w:szCs w:val="20"/>
          <w:color w:val="auto"/>
        </w:rPr>
      </w:pPr>
      <w:r>
        <w:rPr>
          <w:rFonts w:ascii="Times New Roman" w:cs="Times New Roman" w:eastAsia="Times New Roman" w:hAnsi="Times New Roman"/>
          <w:sz w:val="14"/>
          <w:szCs w:val="14"/>
          <w:color w:val="auto"/>
        </w:rPr>
        <w:t>The Company shall maintain an office or agency where Securities may be presented for registration of transfer or where Securities of a Series that are convertible or exchangeable may be surrendered for conversion or exchange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 an office or agency where Securities may be presented for payment (“</w:t>
      </w:r>
      <w:r>
        <w:rPr>
          <w:rFonts w:ascii="Times New Roman" w:cs="Times New Roman" w:eastAsia="Times New Roman" w:hAnsi="Times New Roman"/>
          <w:sz w:val="14"/>
          <w:szCs w:val="14"/>
          <w:b w:val="1"/>
          <w:bCs w:val="1"/>
          <w:color w:val="auto"/>
        </w:rPr>
        <w:t>Paying Agent</w:t>
      </w:r>
      <w:r>
        <w:rPr>
          <w:rFonts w:ascii="Times New Roman" w:cs="Times New Roman" w:eastAsia="Times New Roman" w:hAnsi="Times New Roman"/>
          <w:sz w:val="14"/>
          <w:szCs w:val="14"/>
          <w:color w:val="auto"/>
        </w:rPr>
        <w:t>”) and an office or agency where notices and demands to or upon the Company in respect of the Securities and this Indenture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18" w:right="319" w:bottom="1440" w:gutter="0" w:footer="0" w:header="0"/>
        </w:sectPr>
      </w:pPr>
    </w:p>
    <w:bookmarkStart w:id="103" w:name="page104"/>
    <w:bookmarkEnd w:id="103"/>
    <w:p>
      <w:pPr>
        <w:ind w:right="220"/>
        <w:spacing w:after="0" w:line="278" w:lineRule="auto"/>
        <w:rPr>
          <w:sz w:val="20"/>
          <w:szCs w:val="20"/>
          <w:color w:val="auto"/>
        </w:rPr>
      </w:pPr>
      <w:r>
        <w:rPr>
          <w:rFonts w:ascii="Times New Roman" w:cs="Times New Roman" w:eastAsia="Times New Roman" w:hAnsi="Times New Roman"/>
          <w:sz w:val="14"/>
          <w:szCs w:val="14"/>
          <w:color w:val="auto"/>
        </w:rPr>
        <w:t>served. The Registrar shall keep a register of the Securities and of their transfer and exchange (the “</w:t>
      </w:r>
      <w:r>
        <w:rPr>
          <w:rFonts w:ascii="Times New Roman" w:cs="Times New Roman" w:eastAsia="Times New Roman" w:hAnsi="Times New Roman"/>
          <w:sz w:val="14"/>
          <w:szCs w:val="14"/>
          <w:b w:val="1"/>
          <w:bCs w:val="1"/>
          <w:color w:val="auto"/>
        </w:rPr>
        <w:t>Security Register</w:t>
      </w:r>
      <w:r>
        <w:rPr>
          <w:rFonts w:ascii="Times New Roman" w:cs="Times New Roman" w:eastAsia="Times New Roman" w:hAnsi="Times New Roman"/>
          <w:sz w:val="14"/>
          <w:szCs w:val="14"/>
          <w:color w:val="auto"/>
        </w:rPr>
        <w:t>”). The Company may have one or more co-Registrars and one or more additional paying agents. The term “Paying Agent” includes any additional paying agent.</w:t>
      </w:r>
    </w:p>
    <w:p>
      <w:pPr>
        <w:spacing w:after="0" w:line="127" w:lineRule="exact"/>
        <w:rPr>
          <w:sz w:val="20"/>
          <w:szCs w:val="20"/>
          <w:color w:val="auto"/>
        </w:rPr>
      </w:pPr>
    </w:p>
    <w:p>
      <w:pPr>
        <w:ind w:right="20" w:firstLine="310"/>
        <w:spacing w:after="0" w:line="254" w:lineRule="auto"/>
        <w:rPr>
          <w:sz w:val="20"/>
          <w:szCs w:val="20"/>
          <w:color w:val="auto"/>
        </w:rPr>
      </w:pPr>
      <w:r>
        <w:rPr>
          <w:rFonts w:ascii="Times New Roman" w:cs="Times New Roman" w:eastAsia="Times New Roman" w:hAnsi="Times New Roman"/>
          <w:sz w:val="14"/>
          <w:szCs w:val="14"/>
          <w:color w:val="auto"/>
        </w:rPr>
        <w:t>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Securities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initially appoints the Trustee as Registrar and Paying Agent.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2.04 </w:t>
      </w:r>
      <w:r>
        <w:rPr>
          <w:rFonts w:ascii="Times New Roman" w:cs="Times New Roman" w:eastAsia="Times New Roman" w:hAnsi="Times New Roman"/>
          <w:sz w:val="14"/>
          <w:szCs w:val="14"/>
          <w:b w:val="1"/>
          <w:bCs w:val="1"/>
          <w:u w:val="single" w:color="auto"/>
          <w:color w:val="auto"/>
        </w:rPr>
        <w:t>Paying Agent to Hold Money in Trust.</w:t>
      </w:r>
    </w:p>
    <w:p>
      <w:pPr>
        <w:spacing w:after="0" w:line="91" w:lineRule="exact"/>
        <w:rPr>
          <w:sz w:val="20"/>
          <w:szCs w:val="20"/>
          <w:color w:val="auto"/>
        </w:rPr>
      </w:pPr>
    </w:p>
    <w:p>
      <w:pPr>
        <w:ind w:right="120" w:firstLine="310"/>
        <w:spacing w:after="0" w:line="259" w:lineRule="auto"/>
        <w:rPr>
          <w:sz w:val="20"/>
          <w:szCs w:val="20"/>
          <w:color w:val="auto"/>
        </w:rPr>
      </w:pPr>
      <w:r>
        <w:rPr>
          <w:rFonts w:ascii="Times New Roman" w:cs="Times New Roman" w:eastAsia="Times New Roman" w:hAnsi="Times New Roman"/>
          <w:sz w:val="14"/>
          <w:szCs w:val="14"/>
          <w:color w:val="auto"/>
        </w:rPr>
        <w:t>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 liability for the money.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2.05 </w:t>
      </w:r>
      <w:r>
        <w:rPr>
          <w:rFonts w:ascii="Times New Roman" w:cs="Times New Roman" w:eastAsia="Times New Roman" w:hAnsi="Times New Roman"/>
          <w:sz w:val="14"/>
          <w:szCs w:val="14"/>
          <w:b w:val="1"/>
          <w:bCs w:val="1"/>
          <w:u w:val="single" w:color="auto"/>
          <w:color w:val="auto"/>
        </w:rPr>
        <w:t>Securityholder Lists.</w:t>
      </w:r>
    </w:p>
    <w:p>
      <w:pPr>
        <w:spacing w:after="0" w:line="91" w:lineRule="exact"/>
        <w:rPr>
          <w:sz w:val="20"/>
          <w:szCs w:val="20"/>
          <w:color w:val="auto"/>
        </w:rPr>
      </w:pPr>
    </w:p>
    <w:p>
      <w:pPr>
        <w:ind w:right="20" w:firstLine="310"/>
        <w:spacing w:after="0" w:line="259"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2.06 </w:t>
      </w:r>
      <w:r>
        <w:rPr>
          <w:rFonts w:ascii="Times New Roman" w:cs="Times New Roman" w:eastAsia="Times New Roman" w:hAnsi="Times New Roman"/>
          <w:sz w:val="14"/>
          <w:szCs w:val="14"/>
          <w:b w:val="1"/>
          <w:bCs w:val="1"/>
          <w:u w:val="single" w:color="auto"/>
          <w:color w:val="auto"/>
        </w:rPr>
        <w:t>Transfer and Exchange.</w:t>
      </w:r>
    </w:p>
    <w:p>
      <w:pPr>
        <w:spacing w:after="0" w:line="91" w:lineRule="exact"/>
        <w:rPr>
          <w:sz w:val="20"/>
          <w:szCs w:val="20"/>
          <w:color w:val="auto"/>
        </w:rPr>
      </w:pPr>
    </w:p>
    <w:p>
      <w:pPr>
        <w:ind w:firstLine="310"/>
        <w:spacing w:after="0" w:line="250" w:lineRule="auto"/>
        <w:rPr>
          <w:sz w:val="20"/>
          <w:szCs w:val="20"/>
          <w:color w:val="auto"/>
        </w:rPr>
      </w:pPr>
      <w:r>
        <w:rPr>
          <w:rFonts w:ascii="Times New Roman" w:cs="Times New Roman" w:eastAsia="Times New Roman" w:hAnsi="Times New Roman"/>
          <w:sz w:val="14"/>
          <w:szCs w:val="14"/>
          <w:color w:val="auto"/>
        </w:rPr>
        <w:t xml:space="preserve">Where a Security is presented to the Registrar or a co-Registrar with a request to register a transfer, the Registrar shall register the transfer as requested if the requirements of Section 8-401(a) of the NYUCC are met and the other provisions of this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are satisfied. Where Securities are presented to the Registrar or a co-Registrar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repurchase, except the unredeemed or repurchased part thereof if the Security is redeemed or repurchased in part, or transfer or exchange any Securities for a period of 15 days before a selection of Securities to be redeemed or repurchased. Any exchange or transfer shall be without charge, except that the Company may require payment of a sum sufficient to cover any tax or other governmental charge that may be imposed in relation thereto except in the case of exchanges pursuant to </w:t>
      </w:r>
      <w:r>
        <w:rPr>
          <w:rFonts w:ascii="Times New Roman" w:cs="Times New Roman" w:eastAsia="Times New Roman" w:hAnsi="Times New Roman"/>
          <w:sz w:val="14"/>
          <w:szCs w:val="14"/>
          <w:u w:val="single" w:color="auto"/>
          <w:color w:val="auto"/>
        </w:rPr>
        <w:t>2.09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10.05</w:t>
      </w:r>
      <w:r>
        <w:rPr>
          <w:rFonts w:ascii="Times New Roman" w:cs="Times New Roman" w:eastAsia="Times New Roman" w:hAnsi="Times New Roman"/>
          <w:sz w:val="14"/>
          <w:szCs w:val="14"/>
          <w:color w:val="auto"/>
        </w:rPr>
        <w:t xml:space="preserve"> not involving any transfer.</w:t>
      </w:r>
    </w:p>
    <w:p>
      <w:pPr>
        <w:spacing w:after="0" w:line="147" w:lineRule="exact"/>
        <w:rPr>
          <w:sz w:val="20"/>
          <w:szCs w:val="20"/>
          <w:color w:val="auto"/>
        </w:rPr>
      </w:pPr>
    </w:p>
    <w:p>
      <w:pPr>
        <w:ind w:right="200" w:firstLine="310"/>
        <w:spacing w:after="0" w:line="272" w:lineRule="auto"/>
        <w:rPr>
          <w:sz w:val="20"/>
          <w:szCs w:val="20"/>
          <w:color w:val="auto"/>
        </w:rPr>
      </w:pPr>
      <w:r>
        <w:rPr>
          <w:rFonts w:ascii="Times New Roman" w:cs="Times New Roman" w:eastAsia="Times New Roman" w:hAnsi="Times New Roman"/>
          <w:sz w:val="14"/>
          <w:szCs w:val="14"/>
          <w:color w:val="auto"/>
        </w:rPr>
        <w:t>Any Holder of a Global Security shall, by acceptance of such Global Security, agree that transfers of beneficial interests in such Global Security may be effected only through a book entry system maintained by the Holder of such Global Security (or its agent), and that ownership of a beneficial interest in the Security shall be required to be reflected in a book entry.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111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 xml:space="preserve">Section 2.07 </w:t>
      </w:r>
      <w:r>
        <w:rPr>
          <w:rFonts w:ascii="Times New Roman" w:cs="Times New Roman" w:eastAsia="Times New Roman" w:hAnsi="Times New Roman"/>
          <w:sz w:val="14"/>
          <w:szCs w:val="14"/>
          <w:b w:val="1"/>
          <w:bCs w:val="1"/>
          <w:u w:val="single" w:color="auto"/>
          <w:color w:val="auto"/>
        </w:rPr>
        <w:t>Replacement Securities.</w:t>
      </w:r>
    </w:p>
    <w:p>
      <w:pPr>
        <w:spacing w:after="0" w:line="91" w:lineRule="exact"/>
        <w:rPr>
          <w:sz w:val="20"/>
          <w:szCs w:val="20"/>
          <w:color w:val="auto"/>
        </w:rPr>
      </w:pPr>
    </w:p>
    <w:p>
      <w:pPr>
        <w:ind w:right="60" w:firstLine="310"/>
        <w:spacing w:after="0" w:line="251" w:lineRule="auto"/>
        <w:rPr>
          <w:sz w:val="20"/>
          <w:szCs w:val="20"/>
          <w:color w:val="auto"/>
        </w:rPr>
      </w:pPr>
      <w:r>
        <w:rPr>
          <w:rFonts w:ascii="Times New Roman" w:cs="Times New Roman" w:eastAsia="Times New Roman" w:hAnsi="Times New Roman"/>
          <w:sz w:val="14"/>
          <w:szCs w:val="14"/>
          <w:color w:val="auto"/>
        </w:rPr>
        <w:t xml:space="preserve">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Company and the Trustee to protect the Company, the Trustee and any Agent from any loss which any of them may suffer if a Security is replaced, including the acquisition of such Security by a bona fide purchaser. The Company and the Trustee may charge for its expenses in replacing a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2.08 </w:t>
      </w:r>
      <w:r>
        <w:rPr>
          <w:rFonts w:ascii="Times New Roman" w:cs="Times New Roman" w:eastAsia="Times New Roman" w:hAnsi="Times New Roman"/>
          <w:sz w:val="14"/>
          <w:szCs w:val="14"/>
          <w:b w:val="1"/>
          <w:bCs w:val="1"/>
          <w:u w:val="single" w:color="auto"/>
          <w:color w:val="auto"/>
        </w:rPr>
        <w:t>Outstanding Securities.</w:t>
      </w:r>
    </w:p>
    <w:p>
      <w:pPr>
        <w:spacing w:after="0" w:line="91" w:lineRule="exact"/>
        <w:rPr>
          <w:sz w:val="20"/>
          <w:szCs w:val="20"/>
          <w:color w:val="auto"/>
        </w:rPr>
      </w:pPr>
    </w:p>
    <w:p>
      <w:pPr>
        <w:ind w:right="400" w:firstLine="310"/>
        <w:spacing w:after="0" w:line="272" w:lineRule="auto"/>
        <w:rPr>
          <w:sz w:val="20"/>
          <w:szCs w:val="20"/>
          <w:color w:val="auto"/>
        </w:rPr>
      </w:pPr>
      <w:r>
        <w:rPr>
          <w:rFonts w:ascii="Times New Roman" w:cs="Times New Roman" w:eastAsia="Times New Roman" w:hAnsi="Times New Roman"/>
          <w:sz w:val="14"/>
          <w:szCs w:val="14"/>
          <w:color w:val="auto"/>
        </w:rPr>
        <w:t>Securities outstanding at any time are all Securities authenticated by the Trustee except for those cancelled by it and those described in this Section. A Security does not cease to be outstanding because the Company or one of its Affiliates holds the Security.</w:t>
      </w:r>
    </w:p>
    <w:p>
      <w:pPr>
        <w:spacing w:after="0" w:line="131" w:lineRule="exact"/>
        <w:rPr>
          <w:sz w:val="20"/>
          <w:szCs w:val="20"/>
          <w:color w:val="auto"/>
        </w:rPr>
      </w:pPr>
    </w:p>
    <w:p>
      <w:pPr>
        <w:ind w:right="200" w:firstLine="310"/>
        <w:spacing w:after="0" w:line="272" w:lineRule="auto"/>
        <w:rPr>
          <w:sz w:val="20"/>
          <w:szCs w:val="20"/>
          <w:color w:val="auto"/>
        </w:rPr>
      </w:pPr>
      <w:r>
        <w:rPr>
          <w:rFonts w:ascii="Times New Roman" w:cs="Times New Roman" w:eastAsia="Times New Roman" w:hAnsi="Times New Roman"/>
          <w:sz w:val="14"/>
          <w:szCs w:val="14"/>
          <w:color w:val="auto"/>
        </w:rPr>
        <w:t xml:space="preserve">If a Security is replaced pursuant to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it ceases to be outstanding unless the Trustee receives proof satisfactory to it that the replaced Security is held by a “protected purchaser” (as such term is defined in the NYUCC).</w:t>
      </w:r>
    </w:p>
    <w:p>
      <w:pPr>
        <w:spacing w:after="0" w:line="131" w:lineRule="exact"/>
        <w:rPr>
          <w:sz w:val="20"/>
          <w:szCs w:val="20"/>
          <w:color w:val="auto"/>
        </w:rPr>
      </w:pPr>
    </w:p>
    <w:p>
      <w:pPr>
        <w:ind w:right="580" w:firstLine="310"/>
        <w:spacing w:after="0" w:line="272" w:lineRule="auto"/>
        <w:rPr>
          <w:sz w:val="20"/>
          <w:szCs w:val="20"/>
          <w:color w:val="auto"/>
        </w:rPr>
      </w:pPr>
      <w:r>
        <w:rPr>
          <w:rFonts w:ascii="Times New Roman" w:cs="Times New Roman" w:eastAsia="Times New Roman" w:hAnsi="Times New Roman"/>
          <w:sz w:val="14"/>
          <w:szCs w:val="14"/>
          <w:color w:val="auto"/>
        </w:rPr>
        <w:t>If the Paying Agent holds on a redemption date, purchase date or maturity date money sufficient to pay Securities payable on that date, then on and after that date such Securities cease to be outstanding and interest on them ceases to accrue.</w:t>
      </w:r>
    </w:p>
    <w:p>
      <w:pPr>
        <w:spacing w:after="0" w:line="131" w:lineRule="exact"/>
        <w:rPr>
          <w:sz w:val="20"/>
          <w:szCs w:val="20"/>
          <w:color w:val="auto"/>
        </w:rPr>
      </w:pPr>
    </w:p>
    <w:p>
      <w:pPr>
        <w:ind w:right="60" w:firstLine="310"/>
        <w:spacing w:after="0" w:line="272"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2.09 </w:t>
      </w:r>
      <w:r>
        <w:rPr>
          <w:rFonts w:ascii="Times New Roman" w:cs="Times New Roman" w:eastAsia="Times New Roman" w:hAnsi="Times New Roman"/>
          <w:sz w:val="14"/>
          <w:szCs w:val="14"/>
          <w:b w:val="1"/>
          <w:bCs w:val="1"/>
          <w:u w:val="single" w:color="auto"/>
          <w:color w:val="auto"/>
        </w:rPr>
        <w:t>Temporary Securities.</w:t>
      </w:r>
    </w:p>
    <w:p>
      <w:pPr>
        <w:spacing w:after="0" w:line="91" w:lineRule="exact"/>
        <w:rPr>
          <w:sz w:val="20"/>
          <w:szCs w:val="20"/>
          <w:color w:val="auto"/>
        </w:rPr>
      </w:pPr>
    </w:p>
    <w:p>
      <w:pPr>
        <w:ind w:right="20" w:firstLine="310"/>
        <w:spacing w:after="0" w:line="254"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2.10 </w:t>
      </w:r>
      <w:r>
        <w:rPr>
          <w:rFonts w:ascii="Times New Roman" w:cs="Times New Roman" w:eastAsia="Times New Roman" w:hAnsi="Times New Roman"/>
          <w:sz w:val="14"/>
          <w:szCs w:val="14"/>
          <w:b w:val="1"/>
          <w:bCs w:val="1"/>
          <w:u w:val="single" w:color="auto"/>
          <w:color w:val="auto"/>
        </w:rPr>
        <w:t>Cancellation.</w:t>
      </w:r>
    </w:p>
    <w:p>
      <w:pPr>
        <w:spacing w:after="0" w:line="91"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tendered securities, or retain in accordance with its standard retention policy, all Securities surrendered for registration of transfer, exchange, redemption, purchase, payment or cancellation. Unless the Authorizing Resolution or supplemental indenture so provides, the Company may not issue new Securities to replace Securities that it has previously paid or delivered to the Trustee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 xml:space="preserve">Section 2.11 </w:t>
      </w:r>
      <w:r>
        <w:rPr>
          <w:rFonts w:ascii="Times New Roman" w:cs="Times New Roman" w:eastAsia="Times New Roman" w:hAnsi="Times New Roman"/>
          <w:sz w:val="14"/>
          <w:szCs w:val="14"/>
          <w:b w:val="1"/>
          <w:bCs w:val="1"/>
          <w:u w:val="single" w:color="auto"/>
          <w:color w:val="auto"/>
        </w:rPr>
        <w:t>Defaulted Interest.</w:t>
      </w:r>
    </w:p>
    <w:p>
      <w:pPr>
        <w:spacing w:after="0" w:line="87"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 xml:space="preserve">If the Company defaults in a payment of interest on the Securities of any Series, it shall pay the defaulted interest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any interest payable on the defaulted interest to the persons who are Securityholders of such Series on a subsequent special record date. The Company shall fix such special record date and a payment date which shall be reasonably satisfactory to the Trustee. At least 15 days before such special record date, the Company shall mail to each Securityholder of the relevant Series a notice that states the record date, the payment date and the amount of defaulted interest to be paid. On or before the date such notice is mailed,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2.12 </w:t>
      </w:r>
      <w:r>
        <w:rPr>
          <w:rFonts w:ascii="Times New Roman" w:cs="Times New Roman" w:eastAsia="Times New Roman" w:hAnsi="Times New Roman"/>
          <w:sz w:val="14"/>
          <w:szCs w:val="14"/>
          <w:b w:val="1"/>
          <w:bCs w:val="1"/>
          <w:u w:val="single" w:color="auto"/>
          <w:color w:val="auto"/>
        </w:rPr>
        <w:t>Treasury Securities.</w:t>
      </w:r>
    </w:p>
    <w:p>
      <w:pPr>
        <w:spacing w:after="0" w:line="91" w:lineRule="exact"/>
        <w:rPr>
          <w:sz w:val="20"/>
          <w:szCs w:val="20"/>
          <w:color w:val="auto"/>
        </w:rPr>
      </w:pPr>
    </w:p>
    <w:p>
      <w:pPr>
        <w:jc w:val="both"/>
        <w:ind w:right="80" w:firstLine="310"/>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2.13 </w:t>
      </w:r>
      <w:r>
        <w:rPr>
          <w:rFonts w:ascii="Times New Roman" w:cs="Times New Roman" w:eastAsia="Times New Roman" w:hAnsi="Times New Roman"/>
          <w:sz w:val="14"/>
          <w:szCs w:val="14"/>
          <w:b w:val="1"/>
          <w:bCs w:val="1"/>
          <w:u w:val="single" w:color="auto"/>
          <w:color w:val="auto"/>
        </w:rPr>
        <w:t>CUSIP/ISIN Numbers.</w:t>
      </w:r>
    </w:p>
    <w:p>
      <w:pPr>
        <w:spacing w:after="0" w:line="91"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 xml:space="preserve">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2.14 </w:t>
      </w:r>
      <w:r>
        <w:rPr>
          <w:rFonts w:ascii="Times New Roman" w:cs="Times New Roman" w:eastAsia="Times New Roman" w:hAnsi="Times New Roman"/>
          <w:sz w:val="14"/>
          <w:szCs w:val="14"/>
          <w:b w:val="1"/>
          <w:bCs w:val="1"/>
          <w:u w:val="single" w:color="auto"/>
          <w:color w:val="auto"/>
        </w:rPr>
        <w:t>Deposit of Moneys.</w:t>
      </w:r>
    </w:p>
    <w:p>
      <w:pPr>
        <w:spacing w:after="0" w:line="91" w:lineRule="exact"/>
        <w:rPr>
          <w:sz w:val="20"/>
          <w:szCs w:val="20"/>
          <w:color w:val="auto"/>
        </w:rPr>
      </w:pPr>
    </w:p>
    <w:p>
      <w:pPr>
        <w:ind w:right="100" w:firstLine="310"/>
        <w:spacing w:after="0" w:line="259" w:lineRule="auto"/>
        <w:rPr>
          <w:sz w:val="20"/>
          <w:szCs w:val="20"/>
          <w:color w:val="auto"/>
        </w:rPr>
      </w:pPr>
      <w:r>
        <w:rPr>
          <w:rFonts w:ascii="Times New Roman" w:cs="Times New Roman" w:eastAsia="Times New Roman" w:hAnsi="Times New Roman"/>
          <w:sz w:val="14"/>
          <w:szCs w:val="14"/>
          <w:color w:val="auto"/>
        </w:rPr>
        <w:t>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2.15 </w:t>
      </w:r>
      <w:r>
        <w:rPr>
          <w:rFonts w:ascii="Times New Roman" w:cs="Times New Roman" w:eastAsia="Times New Roman" w:hAnsi="Times New Roman"/>
          <w:sz w:val="14"/>
          <w:szCs w:val="14"/>
          <w:b w:val="1"/>
          <w:bCs w:val="1"/>
          <w:u w:val="single" w:color="auto"/>
          <w:color w:val="auto"/>
        </w:rPr>
        <w:t>Book-Entry Provisions for Global Security.</w:t>
      </w:r>
    </w:p>
    <w:p>
      <w:pPr>
        <w:spacing w:after="0" w:line="91" w:lineRule="exact"/>
        <w:rPr>
          <w:sz w:val="20"/>
          <w:szCs w:val="20"/>
          <w:color w:val="auto"/>
        </w:rPr>
      </w:pPr>
    </w:p>
    <w:p>
      <w:pPr>
        <w:ind w:right="160" w:firstLine="312"/>
        <w:spacing w:after="0" w:line="272" w:lineRule="auto"/>
        <w:tabs>
          <w:tab w:leader="none" w:pos="49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Global Security of a Series initially shall (i) be registered in the name of the Depositary or the nominee of such Depositary, (ii) be delivered to the Trustee as custodian for such Depositary and (iii) bear any required legends.</w:t>
      </w:r>
    </w:p>
    <w:p>
      <w:pPr>
        <w:spacing w:after="0" w:line="127"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Members of, or participants in, the Depositary (“</w:t>
      </w:r>
      <w:r>
        <w:rPr>
          <w:rFonts w:ascii="Times New Roman" w:cs="Times New Roman" w:eastAsia="Times New Roman" w:hAnsi="Times New Roman"/>
          <w:sz w:val="14"/>
          <w:szCs w:val="14"/>
          <w:b w:val="1"/>
          <w:bCs w:val="1"/>
          <w:color w:val="auto"/>
        </w:rPr>
        <w:t>Agent Members</w:t>
      </w:r>
      <w:r>
        <w:rPr>
          <w:rFonts w:ascii="Times New Roman" w:cs="Times New Roman" w:eastAsia="Times New Roman" w:hAnsi="Times New Roman"/>
          <w:sz w:val="14"/>
          <w:szCs w:val="14"/>
          <w:color w:val="auto"/>
        </w:rPr>
        <w:t>”)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20"/>
          </w:cols>
          <w:pgMar w:left="300" w:top="1114" w:right="379" w:bottom="1440" w:gutter="0" w:footer="0" w:header="0"/>
        </w:sectPr>
      </w:pPr>
    </w:p>
    <w:bookmarkStart w:id="106" w:name="page107"/>
    <w:bookmarkEnd w:id="106"/>
    <w:p>
      <w:pPr>
        <w:ind w:right="20" w:firstLine="312"/>
        <w:spacing w:after="0" w:line="250" w:lineRule="auto"/>
        <w:tabs>
          <w:tab w:leader="none" w:pos="50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any Global Security shall be limited to transfers in whole, but not in part, to the Depositary, its successors or their respective nominees. Interests of beneficial owners in the Global Security may be transferred or exchanged for Definitive Securities in accordance with the rules and procedures of the Depositary. In addition, Definitive Securities shall be transferred to all beneficial owners in exchange for their beneficial interests in a Global Security if (i) the Depositary notifies the Company that it is unwilling or unable to continue as Depositary for the Global Security or the Depositary has ceased to be a “clearing agency” registered under the Exchange Act, and a successor depository is not appointed by the Company within 90 days of such notice, or (ii) the Company elects, at any time in its sole discretion, to discontinue use of the system of book entry transfer through any Depositary. Any Security that is held in the form of a Global Security and that is exchanged pursuant to clause (i) above shall be so exchanged in whole and not in part, and any Security that is held in the form of a Global Security and that is exchanged pursuant to clause (ii) above may be exchanged in whole or from time to time in part as directed by the Company.</w:t>
      </w:r>
    </w:p>
    <w:p>
      <w:pPr>
        <w:spacing w:after="0" w:line="147" w:lineRule="exact"/>
        <w:rPr>
          <w:rFonts w:ascii="Times New Roman" w:cs="Times New Roman" w:eastAsia="Times New Roman" w:hAnsi="Times New Roman"/>
          <w:sz w:val="14"/>
          <w:szCs w:val="14"/>
          <w:color w:val="auto"/>
        </w:rPr>
      </w:pPr>
    </w:p>
    <w:p>
      <w:pPr>
        <w:ind w:right="260" w:firstLine="312"/>
        <w:spacing w:after="0" w:line="288" w:lineRule="auto"/>
        <w:tabs>
          <w:tab w:leader="none" w:pos="497"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any transfer or exchange of a portion of the beneficial interest in any Global Security to beneficial owners pursuant to </w:t>
      </w:r>
      <w:r>
        <w:rPr>
          <w:rFonts w:ascii="Times New Roman" w:cs="Times New Roman" w:eastAsia="Times New Roman" w:hAnsi="Times New Roman"/>
          <w:sz w:val="13"/>
          <w:szCs w:val="13"/>
          <w:u w:val="single" w:color="auto"/>
          <w:color w:val="auto"/>
        </w:rPr>
        <w:t>paragraph (b)</w:t>
      </w:r>
      <w:r>
        <w:rPr>
          <w:rFonts w:ascii="Times New Roman" w:cs="Times New Roman" w:eastAsia="Times New Roman" w:hAnsi="Times New Roman"/>
          <w:sz w:val="13"/>
          <w:szCs w:val="13"/>
          <w:color w:val="auto"/>
        </w:rPr>
        <w:t>,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w:t>
      </w:r>
    </w:p>
    <w:p>
      <w:pPr>
        <w:spacing w:after="0" w:line="122" w:lineRule="exact"/>
        <w:rPr>
          <w:rFonts w:ascii="Times New Roman" w:cs="Times New Roman" w:eastAsia="Times New Roman" w:hAnsi="Times New Roman"/>
          <w:sz w:val="13"/>
          <w:szCs w:val="13"/>
          <w:color w:val="auto"/>
        </w:rPr>
      </w:pPr>
    </w:p>
    <w:p>
      <w:pPr>
        <w:jc w:val="both"/>
        <w:ind w:right="180" w:firstLine="312"/>
        <w:spacing w:after="0" w:line="259" w:lineRule="auto"/>
        <w:tabs>
          <w:tab w:leader="none" w:pos="50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transfer of an entire Global Security to beneficial owners pursuant to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w:t>
      </w:r>
    </w:p>
    <w:p>
      <w:pPr>
        <w:spacing w:after="0" w:line="139" w:lineRule="exact"/>
        <w:rPr>
          <w:rFonts w:ascii="Times New Roman" w:cs="Times New Roman" w:eastAsia="Times New Roman" w:hAnsi="Times New Roman"/>
          <w:sz w:val="14"/>
          <w:szCs w:val="14"/>
          <w:color w:val="auto"/>
        </w:rPr>
      </w:pPr>
    </w:p>
    <w:p>
      <w:pPr>
        <w:ind w:right="320" w:firstLine="312"/>
        <w:spacing w:after="0" w:line="272" w:lineRule="auto"/>
        <w:tabs>
          <w:tab w:leader="none" w:pos="49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any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30" w:lineRule="exact"/>
        <w:rPr>
          <w:rFonts w:ascii="Times New Roman" w:cs="Times New Roman" w:eastAsia="Times New Roman" w:hAnsi="Times New Roman"/>
          <w:sz w:val="14"/>
          <w:szCs w:val="14"/>
          <w:color w:val="auto"/>
        </w:rPr>
      </w:pPr>
    </w:p>
    <w:p>
      <w:pPr>
        <w:ind w:right="120" w:firstLine="312"/>
        <w:spacing w:after="0" w:line="272" w:lineRule="auto"/>
        <w:tabs>
          <w:tab w:leader="none" w:pos="48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provided in the Authorizing Resolution or supplemental indenture for a particular Series of Securities, each Global Security of such Series shall bear legends in substantially the following forms:</w:t>
      </w:r>
    </w:p>
    <w:p>
      <w:pPr>
        <w:spacing w:after="0" w:line="131" w:lineRule="exact"/>
        <w:rPr>
          <w:sz w:val="20"/>
          <w:szCs w:val="20"/>
          <w:color w:val="auto"/>
        </w:rPr>
      </w:pPr>
    </w:p>
    <w:p>
      <w:pPr>
        <w:ind w:right="20" w:firstLine="310"/>
        <w:spacing w:after="0" w:line="251" w:lineRule="auto"/>
        <w:rPr>
          <w:sz w:val="20"/>
          <w:szCs w:val="20"/>
          <w:color w:val="auto"/>
        </w:rPr>
      </w:pPr>
      <w:r>
        <w:rPr>
          <w:rFonts w:ascii="Times New Roman" w:cs="Times New Roman" w:eastAsia="Times New Roman" w:hAnsi="Times New Roman"/>
          <w:sz w:val="14"/>
          <w:szCs w:val="14"/>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AND SECTION 2.15 OF THE INDENTURE, (III) THIS GLOBAL SECURITY MAY BE DELIVERED TO THE TRUSTEE FOR CANCELLATION PURSUANT TO THE INDENTURE AND (IV) THIS GLOBAL SECURITY MAY BE TRANSFERRED TO A SUCCESSOR DEPOSITARY WITH THE PRIOR WRITTEN CONSENT OF THE COMPANY.”</w:t>
      </w:r>
    </w:p>
    <w:p>
      <w:pPr>
        <w:spacing w:after="0" w:line="63" w:lineRule="exact"/>
        <w:rPr>
          <w:sz w:val="20"/>
          <w:szCs w:val="20"/>
          <w:color w:val="auto"/>
        </w:rPr>
      </w:pPr>
    </w:p>
    <w:p>
      <w:pPr>
        <w:ind w:firstLine="310"/>
        <w:spacing w:after="0" w:line="251"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FORM, THIS SECURITY MAY NOT BE TRANSFERRED EXCEPT AS A WHOLE BY THE DEPOSITARY TO A NOMINEE OF THE DEPOSITARY OR BY A NOMINEE OF THE DEPOSITARY TO THE DEPOSITARY OR TO ANOTHER NOMINEE OF THE DEPOSITARY OR BY THE DEPOSITARY OR ANY SUCH NOMINEE TO A SUCCESSOR DEPOSITARY OR A NOMINEE OF SUCH SUCCESSOR DEPOSITARY. UNLESS THIS CERTIFICATE IS PRESENTED BY AN AUTHORIZED REPRESENTATIVE OF THE DEPOSITORY TRUST COMPANY, A NEW YORK CORPORATION (“DTC”), TO ISSUER OR ITS AGENT FOR REGISTRATION OF TRANSFER, EXCHANGE, OR PAYMENT, ANY CERTIFICATE ISSUED IS REGISTERED IN THE NAME OF CEDE &amp; CO. OR IN SUCH OTHER NAME AS IS REQUESTED BY AN AUTHORIZED REPRESENTATIVE OF DTC (AND ANY PAYMENT IS MADE TO CEDE &amp; CO.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18" w:right="319" w:bottom="1440" w:gutter="0" w:footer="0" w:header="0"/>
        </w:sectPr>
      </w:pPr>
    </w:p>
    <w:bookmarkStart w:id="107" w:name="page108"/>
    <w:bookmarkEnd w:id="107"/>
    <w:p>
      <w:pPr>
        <w:ind w:right="160"/>
        <w:spacing w:after="0" w:line="272" w:lineRule="auto"/>
        <w:rPr>
          <w:sz w:val="20"/>
          <w:szCs w:val="20"/>
          <w:color w:val="auto"/>
        </w:rPr>
      </w:pPr>
      <w:r>
        <w:rPr>
          <w:rFonts w:ascii="Times New Roman" w:cs="Times New Roman" w:eastAsia="Times New Roman" w:hAnsi="Times New Roman"/>
          <w:sz w:val="14"/>
          <w:szCs w:val="14"/>
          <w:color w:val="auto"/>
        </w:rPr>
        <w:t>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2.16 </w:t>
      </w:r>
      <w:r>
        <w:rPr>
          <w:rFonts w:ascii="Times New Roman" w:cs="Times New Roman" w:eastAsia="Times New Roman" w:hAnsi="Times New Roman"/>
          <w:sz w:val="14"/>
          <w:szCs w:val="14"/>
          <w:b w:val="1"/>
          <w:bCs w:val="1"/>
          <w:u w:val="single" w:color="auto"/>
          <w:color w:val="auto"/>
        </w:rPr>
        <w:t>No Duty to Monitor.</w:t>
      </w:r>
    </w:p>
    <w:p>
      <w:pPr>
        <w:spacing w:after="0" w:line="91" w:lineRule="exact"/>
        <w:rPr>
          <w:sz w:val="20"/>
          <w:szCs w:val="20"/>
          <w:color w:val="auto"/>
        </w:rPr>
      </w:pPr>
    </w:p>
    <w:p>
      <w:pPr>
        <w:ind w:right="100" w:firstLine="310"/>
        <w:spacing w:after="0" w:line="254"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Neither the Trustee nor any Agent shall have any responsibility for any actions taken or not taken by the Depositary.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THREE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3.01 </w:t>
      </w:r>
      <w:r>
        <w:rPr>
          <w:rFonts w:ascii="Times New Roman" w:cs="Times New Roman" w:eastAsia="Times New Roman" w:hAnsi="Times New Roman"/>
          <w:sz w:val="14"/>
          <w:szCs w:val="14"/>
          <w:b w:val="1"/>
          <w:bCs w:val="1"/>
          <w:u w:val="single" w:color="auto"/>
          <w:color w:val="auto"/>
        </w:rPr>
        <w:t>Notices to Trustee.</w:t>
      </w:r>
    </w:p>
    <w:p>
      <w:pPr>
        <w:spacing w:after="0" w:line="91" w:lineRule="exact"/>
        <w:rPr>
          <w:sz w:val="20"/>
          <w:szCs w:val="20"/>
          <w:color w:val="auto"/>
        </w:rPr>
      </w:pPr>
    </w:p>
    <w:p>
      <w:pPr>
        <w:ind w:right="20" w:firstLine="310"/>
        <w:spacing w:after="0" w:line="272" w:lineRule="auto"/>
        <w:rPr>
          <w:sz w:val="20"/>
          <w:szCs w:val="20"/>
          <w:color w:val="auto"/>
        </w:rPr>
      </w:pPr>
      <w:r>
        <w:rPr>
          <w:rFonts w:ascii="Times New Roman" w:cs="Times New Roman" w:eastAsia="Times New Roman" w:hAnsi="Times New Roman"/>
          <w:sz w:val="14"/>
          <w:szCs w:val="14"/>
          <w:color w:val="auto"/>
        </w:rPr>
        <w:t xml:space="preserve">Securities of a Series that are redeemable prior to maturity shall be redeemable in accordance with their terms and, unless the Authorizing Resolution or supplemental indenture provides otherwise, in accordance with this </w:t>
      </w:r>
      <w:r>
        <w:rPr>
          <w:rFonts w:ascii="Times New Roman" w:cs="Times New Roman" w:eastAsia="Times New Roman" w:hAnsi="Times New Roman"/>
          <w:sz w:val="14"/>
          <w:szCs w:val="14"/>
          <w:u w:val="single" w:color="auto"/>
          <w:color w:val="auto"/>
        </w:rPr>
        <w:t>Article Three</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right="580" w:firstLine="310"/>
        <w:spacing w:after="0" w:line="272" w:lineRule="auto"/>
        <w:rPr>
          <w:sz w:val="20"/>
          <w:szCs w:val="20"/>
          <w:color w:val="auto"/>
        </w:rPr>
      </w:pPr>
      <w:r>
        <w:rPr>
          <w:rFonts w:ascii="Times New Roman" w:cs="Times New Roman" w:eastAsia="Times New Roman" w:hAnsi="Times New Roman"/>
          <w:sz w:val="14"/>
          <w:szCs w:val="14"/>
          <w:color w:val="auto"/>
        </w:rPr>
        <w:t xml:space="preserve">If the Company wants to redeem Securities pursuant to </w:t>
      </w:r>
      <w:r>
        <w:rPr>
          <w:rFonts w:ascii="Times New Roman" w:cs="Times New Roman" w:eastAsia="Times New Roman" w:hAnsi="Times New Roman"/>
          <w:sz w:val="14"/>
          <w:szCs w:val="14"/>
          <w:u w:val="single" w:color="auto"/>
          <w:color w:val="auto"/>
        </w:rPr>
        <w:t>Paragraph 4</w:t>
      </w:r>
      <w:r>
        <w:rPr>
          <w:rFonts w:ascii="Times New Roman" w:cs="Times New Roman" w:eastAsia="Times New Roman" w:hAnsi="Times New Roman"/>
          <w:sz w:val="14"/>
          <w:szCs w:val="14"/>
          <w:color w:val="auto"/>
        </w:rPr>
        <w:t xml:space="preserve"> of the Securities, it shall notify the Trustee in writing of the redemption date and the principal amount of Securities to be redeemed. Any such notice may be cancelled at any time prior to notice of such redemption being mailed to Holders. Any such cancelled notice shall be void and of no effect.</w:t>
      </w:r>
    </w:p>
    <w:p>
      <w:pPr>
        <w:spacing w:after="0" w:line="131" w:lineRule="exact"/>
        <w:rPr>
          <w:sz w:val="20"/>
          <w:szCs w:val="20"/>
          <w:color w:val="auto"/>
        </w:rPr>
      </w:pPr>
    </w:p>
    <w:p>
      <w:pPr>
        <w:ind w:right="200" w:firstLine="310"/>
        <w:spacing w:after="0" w:line="272" w:lineRule="auto"/>
        <w:rPr>
          <w:sz w:val="20"/>
          <w:szCs w:val="20"/>
          <w:color w:val="auto"/>
        </w:rPr>
      </w:pPr>
      <w:r>
        <w:rPr>
          <w:rFonts w:ascii="Times New Roman" w:cs="Times New Roman" w:eastAsia="Times New Roman" w:hAnsi="Times New Roman"/>
          <w:sz w:val="14"/>
          <w:szCs w:val="14"/>
          <w:color w:val="auto"/>
        </w:rPr>
        <w:t xml:space="preserve">If the Company wants to credit any Securities previously redeemed, retired or acquired against any redemption pursuant to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of the Securities, it shall notify the Trustee of the amount of the credit and it shall deliver any Securities not previously delivered to the Trustee for cancellation with such notice.</w:t>
      </w:r>
    </w:p>
    <w:p>
      <w:pPr>
        <w:spacing w:after="0" w:line="131" w:lineRule="exact"/>
        <w:rPr>
          <w:sz w:val="20"/>
          <w:szCs w:val="20"/>
          <w:color w:val="auto"/>
        </w:rPr>
      </w:pPr>
    </w:p>
    <w:p>
      <w:pPr>
        <w:ind w:right="620" w:firstLine="310"/>
        <w:spacing w:after="0" w:line="272" w:lineRule="auto"/>
        <w:rPr>
          <w:sz w:val="20"/>
          <w:szCs w:val="20"/>
          <w:color w:val="auto"/>
        </w:rPr>
      </w:pPr>
      <w:r>
        <w:rPr>
          <w:rFonts w:ascii="Times New Roman" w:cs="Times New Roman" w:eastAsia="Times New Roman" w:hAnsi="Times New Roman"/>
          <w:sz w:val="14"/>
          <w:szCs w:val="14"/>
          <w:color w:val="auto"/>
        </w:rPr>
        <w:t xml:space="preserve">The Company shall give each notice provided for in this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at least 30 days before the notice of any such redemption is to be delivered to Holders (unless a shorter notice shall be satisfactory to the Trustee).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3.02 </w:t>
      </w:r>
      <w:r>
        <w:rPr>
          <w:rFonts w:ascii="Times New Roman" w:cs="Times New Roman" w:eastAsia="Times New Roman" w:hAnsi="Times New Roman"/>
          <w:sz w:val="14"/>
          <w:szCs w:val="14"/>
          <w:b w:val="1"/>
          <w:bCs w:val="1"/>
          <w:u w:val="single" w:color="auto"/>
          <w:color w:val="auto"/>
        </w:rPr>
        <w:t>Selection of Securities to be Redeemed.</w:t>
      </w:r>
    </w:p>
    <w:p>
      <w:pPr>
        <w:spacing w:after="0" w:line="91" w:lineRule="exact"/>
        <w:rPr>
          <w:sz w:val="20"/>
          <w:szCs w:val="20"/>
          <w:color w:val="auto"/>
        </w:rPr>
      </w:pPr>
    </w:p>
    <w:p>
      <w:pPr>
        <w:ind w:firstLine="310"/>
        <w:spacing w:after="0" w:line="251" w:lineRule="auto"/>
        <w:rPr>
          <w:sz w:val="20"/>
          <w:szCs w:val="20"/>
          <w:color w:val="auto"/>
        </w:rPr>
      </w:pPr>
      <w:r>
        <w:rPr>
          <w:rFonts w:ascii="Times New Roman" w:cs="Times New Roman" w:eastAsia="Times New Roman" w:hAnsi="Times New Roman"/>
          <w:sz w:val="14"/>
          <w:szCs w:val="14"/>
          <w:color w:val="auto"/>
        </w:rPr>
        <w:t>If fewer than all of the Securities of a Series are to be redeemed, the Trustee (or depository, as applicable) shall select the Securities to be redeemed by lot, pro rata, or such other method the Trustee (or depository, as applicable) considers fair and appropriate and in a manner that complies with applicable requirements of the Depositary. The Trustee (or depository, as applicable) shall make the selection from Securities outstanding not previously called for redemption and shall promptly notify the Company of the serial numbers or other identifying attributes of the Securities so selected. The Trustee (or depository, as applicable) may select for redemption portions of the principal of Securities that have denominations larger than the minimum denomination for the Series. Securities and portions of them it selects shall be in amounts equal to a permissible denomination for the Series. Provisions of this Indenture that apply to Securities called for redemption also apply to portions of Securities called for redemption.</w:t>
      </w:r>
    </w:p>
    <w:p>
      <w:pPr>
        <w:spacing w:after="0" w:line="146" w:lineRule="exact"/>
        <w:rPr>
          <w:sz w:val="20"/>
          <w:szCs w:val="20"/>
          <w:color w:val="auto"/>
        </w:rPr>
      </w:pPr>
    </w:p>
    <w:p>
      <w:pPr>
        <w:ind w:right="580" w:firstLine="310"/>
        <w:spacing w:after="0" w:line="272" w:lineRule="auto"/>
        <w:rPr>
          <w:sz w:val="20"/>
          <w:szCs w:val="20"/>
          <w:color w:val="auto"/>
        </w:rPr>
      </w:pPr>
      <w:r>
        <w:rPr>
          <w:rFonts w:ascii="Times New Roman" w:cs="Times New Roman" w:eastAsia="Times New Roman" w:hAnsi="Times New Roman"/>
          <w:sz w:val="14"/>
          <w:szCs w:val="14"/>
          <w:color w:val="auto"/>
        </w:rPr>
        <w:t>Unless otherwise provided in the Authorizing Resolution or supplemental indenture relating to a Series, if any Security selected for partial redemption is converted into or exchanged for the Company’s Capital Stock or other securities, cash or other property in part before termination of the conversion or exchange right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18" w:right="319" w:bottom="1440" w:gutter="0" w:footer="0" w:header="0"/>
        </w:sectPr>
      </w:pPr>
    </w:p>
    <w:bookmarkStart w:id="108" w:name="page109"/>
    <w:bookmarkEnd w:id="108"/>
    <w:p>
      <w:pPr>
        <w:ind w:right="60"/>
        <w:spacing w:after="0" w:line="272" w:lineRule="auto"/>
        <w:rPr>
          <w:sz w:val="20"/>
          <w:szCs w:val="20"/>
          <w:color w:val="auto"/>
        </w:rPr>
      </w:pPr>
      <w:r>
        <w:rPr>
          <w:rFonts w:ascii="Times New Roman" w:cs="Times New Roman" w:eastAsia="Times New Roman" w:hAnsi="Times New Roman"/>
          <w:sz w:val="14"/>
          <w:szCs w:val="14"/>
          <w:color w:val="auto"/>
        </w:rPr>
        <w:t>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3.03 </w:t>
      </w:r>
      <w:r>
        <w:rPr>
          <w:rFonts w:ascii="Times New Roman" w:cs="Times New Roman" w:eastAsia="Times New Roman" w:hAnsi="Times New Roman"/>
          <w:sz w:val="14"/>
          <w:szCs w:val="14"/>
          <w:b w:val="1"/>
          <w:bCs w:val="1"/>
          <w:u w:val="single" w:color="auto"/>
          <w:color w:val="auto"/>
        </w:rPr>
        <w:t>Notice of Redemption.</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At least 30 days but not more than 60 days before a redemption date, the Company shall mail a notice of redemption by first-class mail, postage prepaid, to each Holder of Securities to be redeemed.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notice shall identify the Securities to be redeemed and shall state:</w:t>
      </w:r>
    </w:p>
    <w:p>
      <w:pPr>
        <w:spacing w:after="0" w:line="18" w:lineRule="exact"/>
        <w:rPr>
          <w:sz w:val="20"/>
          <w:szCs w:val="20"/>
          <w:color w:val="auto"/>
        </w:rPr>
      </w:pP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or the formula pursuant to which such price will be calculated;</w:t>
      </w:r>
    </w:p>
    <w:p>
      <w:pPr>
        <w:spacing w:after="0" w:line="4" w:lineRule="exact"/>
        <w:rPr>
          <w:rFonts w:ascii="Times New Roman" w:cs="Times New Roman" w:eastAsia="Times New Roman" w:hAnsi="Times New Roman"/>
          <w:sz w:val="14"/>
          <w:szCs w:val="14"/>
          <w:color w:val="auto"/>
        </w:rPr>
      </w:pPr>
    </w:p>
    <w:p>
      <w:pPr>
        <w:ind w:left="560" w:right="40" w:hanging="310"/>
        <w:spacing w:after="0" w:line="246" w:lineRule="auto"/>
        <w:tabs>
          <w:tab w:leader="none" w:pos="54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Security is being redeemed in part, the portion of the principal amount of such Security to be redeemed and that, after the redemption date, upon surrender of such Security, a new Security or Securities in principal amount equal to the unredeemed portion shall be issued upon cancellation of the original Security;</w:t>
      </w:r>
    </w:p>
    <w:p>
      <w:pPr>
        <w:ind w:left="560" w:hanging="310"/>
        <w:spacing w:after="0" w:line="246" w:lineRule="auto"/>
        <w:tabs>
          <w:tab w:leader="none" w:pos="54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w:t>
      </w: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called for redemption must be surrendered to the Paying Agent to collect the redemption price;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interest on Securities called for redemption ceases to accrue on and after the redemption date;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Securities are being redeemed pursuant to the mandatory redemption or the optional redemption provisions, as applicable; and</w:t>
      </w:r>
    </w:p>
    <w:p>
      <w:pPr>
        <w:spacing w:after="0" w:line="4" w:lineRule="exact"/>
        <w:rPr>
          <w:rFonts w:ascii="Times New Roman" w:cs="Times New Roman" w:eastAsia="Times New Roman" w:hAnsi="Times New Roman"/>
          <w:sz w:val="14"/>
          <w:szCs w:val="14"/>
          <w:color w:val="auto"/>
        </w:rPr>
      </w:pPr>
    </w:p>
    <w:p>
      <w:pPr>
        <w:ind w:left="560" w:right="100" w:hanging="310"/>
        <w:spacing w:after="0" w:line="249" w:lineRule="auto"/>
        <w:tabs>
          <w:tab w:leader="none" w:pos="54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and/or ISIN or other similar number used to identify the Securities, that no representation is hereby deemed to be made be made by the Trustee as to the correctness or accuracy of any such CUSIP and/or ISIN or other similar number printed in the notice or on such Securities, and that reliance may be placed only on the other identification numbers printed on such Securities.</w:t>
      </w:r>
    </w:p>
    <w:p>
      <w:pPr>
        <w:spacing w:after="0" w:line="142" w:lineRule="exact"/>
        <w:rPr>
          <w:sz w:val="20"/>
          <w:szCs w:val="20"/>
          <w:color w:val="auto"/>
        </w:rPr>
      </w:pPr>
    </w:p>
    <w:p>
      <w:pPr>
        <w:ind w:firstLine="310"/>
        <w:spacing w:after="0" w:line="262" w:lineRule="auto"/>
        <w:rPr>
          <w:sz w:val="20"/>
          <w:szCs w:val="20"/>
          <w:color w:val="auto"/>
        </w:rPr>
      </w:pPr>
      <w:r>
        <w:rPr>
          <w:rFonts w:ascii="Times New Roman" w:cs="Times New Roman" w:eastAsia="Times New Roman" w:hAnsi="Times New Roman"/>
          <w:sz w:val="14"/>
          <w:szCs w:val="14"/>
          <w:color w:val="auto"/>
        </w:rPr>
        <w:t xml:space="preserve">At the Company’s request, the Trustee shall give the notice of redemption in the Company’s name and at its expense;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deliver to the Trustee at least 15 days prior to the date on which notice of redemption is to be mailed or such shorter period as may be satisfactory to the Trustee, an Officers’ Certificate requesting that the Trustee give such notice and setting forth the information to be stated in such notice as provided in the preceding paragraph.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3.04 </w:t>
      </w:r>
      <w:r>
        <w:rPr>
          <w:rFonts w:ascii="Times New Roman" w:cs="Times New Roman" w:eastAsia="Times New Roman" w:hAnsi="Times New Roman"/>
          <w:sz w:val="14"/>
          <w:szCs w:val="14"/>
          <w:b w:val="1"/>
          <w:bCs w:val="1"/>
          <w:u w:val="single" w:color="auto"/>
          <w:color w:val="auto"/>
        </w:rPr>
        <w:t>Effect of Notice of Redemption.</w:t>
      </w:r>
    </w:p>
    <w:p>
      <w:pPr>
        <w:spacing w:after="0" w:line="91" w:lineRule="exact"/>
        <w:rPr>
          <w:sz w:val="20"/>
          <w:szCs w:val="20"/>
          <w:color w:val="auto"/>
        </w:rPr>
      </w:pPr>
    </w:p>
    <w:p>
      <w:pPr>
        <w:ind w:right="160" w:firstLine="310"/>
        <w:spacing w:after="0" w:line="259" w:lineRule="auto"/>
        <w:rPr>
          <w:sz w:val="20"/>
          <w:szCs w:val="20"/>
          <w:color w:val="auto"/>
        </w:rPr>
      </w:pPr>
      <w:r>
        <w:rPr>
          <w:rFonts w:ascii="Times New Roman" w:cs="Times New Roman" w:eastAsia="Times New Roman" w:hAnsi="Times New Roman"/>
          <w:sz w:val="14"/>
          <w:szCs w:val="14"/>
          <w:color w:val="auto"/>
        </w:rPr>
        <w:t xml:space="preserve">Once notice of redemption is mailed, Securities called for redemption become due and payable on the redemption date and at the redemption price as set forth in the notice of redemption, which notice, and which obligation to redeem such Securities, may, at the Company’s discretion, be subject to one or more conditions precedent as set forth in such notice. Upon surrender to the Paying Agent, such Securities shall be paid at the redemption price,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the redemption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3.05 </w:t>
      </w:r>
      <w:r>
        <w:rPr>
          <w:rFonts w:ascii="Times New Roman" w:cs="Times New Roman" w:eastAsia="Times New Roman" w:hAnsi="Times New Roman"/>
          <w:sz w:val="14"/>
          <w:szCs w:val="14"/>
          <w:b w:val="1"/>
          <w:bCs w:val="1"/>
          <w:u w:val="single" w:color="auto"/>
          <w:color w:val="auto"/>
        </w:rPr>
        <w:t>Deposit of Redemption Price.</w:t>
      </w:r>
    </w:p>
    <w:p>
      <w:pPr>
        <w:spacing w:after="0" w:line="91" w:lineRule="exact"/>
        <w:rPr>
          <w:sz w:val="20"/>
          <w:szCs w:val="20"/>
          <w:color w:val="auto"/>
        </w:rPr>
      </w:pPr>
    </w:p>
    <w:p>
      <w:pPr>
        <w:ind w:right="300" w:firstLine="310"/>
        <w:spacing w:after="0" w:line="272" w:lineRule="auto"/>
        <w:rPr>
          <w:sz w:val="20"/>
          <w:szCs w:val="20"/>
          <w:color w:val="auto"/>
        </w:rPr>
      </w:pPr>
      <w:r>
        <w:rPr>
          <w:rFonts w:ascii="Times New Roman" w:cs="Times New Roman" w:eastAsia="Times New Roman" w:hAnsi="Times New Roman"/>
          <w:sz w:val="14"/>
          <w:szCs w:val="14"/>
          <w:color w:val="auto"/>
        </w:rPr>
        <w:t>On or before the redemption date, the Company shall deposit with the Paying Agent immediately available funds in the applicable currency sufficient to pay the redemption price of and accrued interest on all Securities to be redeemed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00" w:top="1118"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 xml:space="preserve">Section 3.06 </w:t>
      </w:r>
      <w:r>
        <w:rPr>
          <w:rFonts w:ascii="Times New Roman" w:cs="Times New Roman" w:eastAsia="Times New Roman" w:hAnsi="Times New Roman"/>
          <w:sz w:val="14"/>
          <w:szCs w:val="14"/>
          <w:b w:val="1"/>
          <w:bCs w:val="1"/>
          <w:u w:val="single" w:color="auto"/>
          <w:color w:val="auto"/>
        </w:rPr>
        <w:t>Securities Redeemed in Part.</w:t>
      </w:r>
    </w:p>
    <w:p>
      <w:pPr>
        <w:spacing w:after="0" w:line="91" w:lineRule="exact"/>
        <w:rPr>
          <w:sz w:val="20"/>
          <w:szCs w:val="20"/>
          <w:color w:val="auto"/>
        </w:rPr>
      </w:pPr>
    </w:p>
    <w:p>
      <w:pPr>
        <w:ind w:firstLine="310"/>
        <w:spacing w:after="0" w:line="272" w:lineRule="auto"/>
        <w:rPr>
          <w:sz w:val="20"/>
          <w:szCs w:val="20"/>
          <w:color w:val="auto"/>
        </w:rPr>
      </w:pPr>
      <w:r>
        <w:rPr>
          <w:rFonts w:ascii="Times New Roman" w:cs="Times New Roman" w:eastAsia="Times New Roman" w:hAnsi="Times New Roman"/>
          <w:sz w:val="14"/>
          <w:szCs w:val="14"/>
          <w:color w:val="auto"/>
        </w:rPr>
        <w:t>Upon surrender of a Security that is redeemed in part, the Company shall execute and the Trustee shall authenticate for each Holder a new Security of the same Series equal in principal amount to the unredeemed portion of the Security surrendered.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FOUR</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4.01 </w:t>
      </w:r>
      <w:r>
        <w:rPr>
          <w:rFonts w:ascii="Times New Roman" w:cs="Times New Roman" w:eastAsia="Times New Roman" w:hAnsi="Times New Roman"/>
          <w:sz w:val="14"/>
          <w:szCs w:val="14"/>
          <w:b w:val="1"/>
          <w:bCs w:val="1"/>
          <w:u w:val="single" w:color="auto"/>
          <w:color w:val="auto"/>
        </w:rPr>
        <w:t>Payment of Securities.</w:t>
      </w:r>
    </w:p>
    <w:p>
      <w:pPr>
        <w:spacing w:after="0" w:line="91" w:lineRule="exact"/>
        <w:rPr>
          <w:sz w:val="20"/>
          <w:szCs w:val="20"/>
          <w:color w:val="auto"/>
        </w:rPr>
      </w:pPr>
    </w:p>
    <w:p>
      <w:pPr>
        <w:ind w:right="80" w:firstLine="310"/>
        <w:spacing w:after="0" w:line="311" w:lineRule="auto"/>
        <w:rPr>
          <w:sz w:val="20"/>
          <w:szCs w:val="20"/>
          <w:color w:val="auto"/>
        </w:rPr>
      </w:pPr>
      <w:r>
        <w:rPr>
          <w:rFonts w:ascii="Times New Roman" w:cs="Times New Roman" w:eastAsia="Times New Roman" w:hAnsi="Times New Roman"/>
          <w:sz w:val="13"/>
          <w:szCs w:val="13"/>
          <w:color w:val="auto"/>
        </w:rPr>
        <w:t>The Company shall pay the principal of, premium, if any, and interest on a Series on the dates, in the currency and in the manner provided in the Securities of the Series. An installment of principal, premium, if any, or interest shall be considered paid on the date it is due if the Paying Agent holds on that date money in the applicable currency designated for and sufficient to pay the installment.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4.02 </w:t>
      </w:r>
      <w:r>
        <w:rPr>
          <w:rFonts w:ascii="Times New Roman" w:cs="Times New Roman" w:eastAsia="Times New Roman" w:hAnsi="Times New Roman"/>
          <w:sz w:val="14"/>
          <w:szCs w:val="14"/>
          <w:b w:val="1"/>
          <w:bCs w:val="1"/>
          <w:u w:val="single" w:color="auto"/>
          <w:color w:val="auto"/>
        </w:rPr>
        <w:t>Maintenance of Office or Agency.</w:t>
      </w:r>
    </w:p>
    <w:p>
      <w:pPr>
        <w:spacing w:after="0" w:line="91" w:lineRule="exact"/>
        <w:rPr>
          <w:sz w:val="20"/>
          <w:szCs w:val="20"/>
          <w:color w:val="auto"/>
        </w:rPr>
      </w:pPr>
    </w:p>
    <w:p>
      <w:pPr>
        <w:ind w:right="40" w:firstLine="310"/>
        <w:spacing w:after="0" w:line="259" w:lineRule="auto"/>
        <w:rPr>
          <w:sz w:val="20"/>
          <w:szCs w:val="20"/>
          <w:color w:val="auto"/>
        </w:rPr>
      </w:pPr>
      <w:r>
        <w:rPr>
          <w:rFonts w:ascii="Times New Roman" w:cs="Times New Roman" w:eastAsia="Times New Roman" w:hAnsi="Times New Roman"/>
          <w:sz w:val="14"/>
          <w:szCs w:val="14"/>
          <w:color w:val="auto"/>
        </w:rPr>
        <w:t xml:space="preserve">The Company shall maintain the office or agency required under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4.03 </w:t>
      </w:r>
      <w:r>
        <w:rPr>
          <w:rFonts w:ascii="Times New Roman" w:cs="Times New Roman" w:eastAsia="Times New Roman" w:hAnsi="Times New Roman"/>
          <w:sz w:val="14"/>
          <w:szCs w:val="14"/>
          <w:b w:val="1"/>
          <w:bCs w:val="1"/>
          <w:u w:val="single" w:color="auto"/>
          <w:color w:val="auto"/>
        </w:rPr>
        <w:t>Reports.</w:t>
      </w:r>
    </w:p>
    <w:p>
      <w:pPr>
        <w:spacing w:after="0" w:line="91" w:lineRule="exact"/>
        <w:rPr>
          <w:sz w:val="20"/>
          <w:szCs w:val="20"/>
          <w:color w:val="auto"/>
        </w:rPr>
      </w:pPr>
    </w:p>
    <w:p>
      <w:pPr>
        <w:ind w:firstLine="310"/>
        <w:spacing w:after="0" w:line="250" w:lineRule="auto"/>
        <w:rPr>
          <w:sz w:val="20"/>
          <w:szCs w:val="20"/>
          <w:color w:val="auto"/>
        </w:rPr>
      </w:pPr>
      <w:r>
        <w:rPr>
          <w:rFonts w:ascii="Times New Roman" w:cs="Times New Roman" w:eastAsia="Times New Roman" w:hAnsi="Times New Roman"/>
          <w:sz w:val="14"/>
          <w:szCs w:val="14"/>
          <w:color w:val="auto"/>
        </w:rPr>
        <w:t xml:space="preserve">At any time when the Company is subject to the reporting requirements of Section 13 or 15(d) of the Exchange Act, the Company shall file with the Trustee, within fifteen (15) days after it actually files the same with the SEC (regardless of when the same is required to be filed with the SEC), each annual, quarterly or current report, information or proxy statement other report which the Company is required to file with the SEC pursuant to Section 13 or 15(d) of the Exchange 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Company shall not be required to file or deliver to the Trustee any material for which the Company has sought and received, or is seeking, confidential treatment by the SEC;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the Company shall be deemed to have filed such information with the Trustee if the Company has filed such information on the SEC’s EDGAR system (or any successor system) and such information is publicly available. The Company also shall comply with the other provisions of TIA Section 314(a). The Trustee does not have the duty to review such information, documents or reports, is not considered to have notice of the content of such information, documents or reports and does not have a duty to verify the accuracy of such information, documents or reports.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4.04 </w:t>
      </w:r>
      <w:r>
        <w:rPr>
          <w:rFonts w:ascii="Times New Roman" w:cs="Times New Roman" w:eastAsia="Times New Roman" w:hAnsi="Times New Roman"/>
          <w:sz w:val="14"/>
          <w:szCs w:val="14"/>
          <w:b w:val="1"/>
          <w:bCs w:val="1"/>
          <w:u w:val="single" w:color="auto"/>
          <w:color w:val="auto"/>
        </w:rPr>
        <w:t>Compliance Certificate.</w:t>
      </w:r>
    </w:p>
    <w:p>
      <w:pPr>
        <w:spacing w:after="0" w:line="91" w:lineRule="exact"/>
        <w:rPr>
          <w:sz w:val="20"/>
          <w:szCs w:val="20"/>
          <w:color w:val="auto"/>
        </w:rPr>
      </w:pPr>
    </w:p>
    <w:p>
      <w:pPr>
        <w:ind w:right="80" w:firstLine="310"/>
        <w:spacing w:after="0" w:line="259"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of the Company an Officers’ Certificate stating whether or not the signers know of any continuing Default by the Company in performing any of its obligations under this Indenture. If they do know of such a Default, the certificate shall describe the Default. In addition, the Company will notify the Trustee within 5 business days upon the Company’s knowledge of a Default.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4.05 </w:t>
      </w:r>
      <w:r>
        <w:rPr>
          <w:rFonts w:ascii="Times New Roman" w:cs="Times New Roman" w:eastAsia="Times New Roman" w:hAnsi="Times New Roman"/>
          <w:sz w:val="14"/>
          <w:szCs w:val="14"/>
          <w:b w:val="1"/>
          <w:bCs w:val="1"/>
          <w:u w:val="single" w:color="auto"/>
          <w:color w:val="auto"/>
        </w:rPr>
        <w:t>Waiver of Stay, Extension or Usury Laws.</w:t>
      </w:r>
    </w:p>
    <w:p>
      <w:pPr>
        <w:spacing w:after="0" w:line="91" w:lineRule="exact"/>
        <w:rPr>
          <w:sz w:val="20"/>
          <w:szCs w:val="20"/>
          <w:color w:val="auto"/>
        </w:rPr>
      </w:pPr>
    </w:p>
    <w:p>
      <w:pPr>
        <w:ind w:right="40" w:firstLine="310"/>
        <w:spacing w:after="0" w:line="259"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or extension law or any usury law or other law that would prohibit or forgive the Company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00" w:top="1114" w:right="359" w:bottom="1440" w:gutter="0" w:footer="0" w:header="0"/>
        </w:sectPr>
      </w:pPr>
    </w:p>
    <w:bookmarkStart w:id="110" w:name="page111"/>
    <w:bookmarkEnd w:id="110"/>
    <w:p>
      <w:pPr>
        <w:ind w:right="100"/>
        <w:spacing w:after="0" w:line="272" w:lineRule="auto"/>
        <w:rPr>
          <w:sz w:val="20"/>
          <w:szCs w:val="20"/>
          <w:color w:val="auto"/>
        </w:rPr>
      </w:pPr>
      <w:r>
        <w:rPr>
          <w:rFonts w:ascii="Times New Roman" w:cs="Times New Roman" w:eastAsia="Times New Roman" w:hAnsi="Times New Roman"/>
          <w:sz w:val="14"/>
          <w:szCs w:val="14"/>
          <w:color w:val="auto"/>
        </w:rPr>
        <w:t>the Company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FIVE</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SUCCESSOR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5.01 </w:t>
      </w:r>
      <w:r>
        <w:rPr>
          <w:rFonts w:ascii="Times New Roman" w:cs="Times New Roman" w:eastAsia="Times New Roman" w:hAnsi="Times New Roman"/>
          <w:sz w:val="14"/>
          <w:szCs w:val="14"/>
          <w:b w:val="1"/>
          <w:bCs w:val="1"/>
          <w:u w:val="single" w:color="auto"/>
          <w:color w:val="auto"/>
        </w:rPr>
        <w:t>When Company May Merge, etc.</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will not consolidate or merge with or into, or sell, lease, convey or otherwise dispose of all or substantially all of its assets (including by way of liquidation or dissolution), to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 (in each case other than in a transaction in which the Company is the survivor of a consolidation or merger, or the transferee in a sale, lease, conveyance or other disposition) unless:</w:t>
      </w:r>
    </w:p>
    <w:p>
      <w:pPr>
        <w:spacing w:after="0" w:line="4" w:lineRule="exact"/>
        <w:rPr>
          <w:sz w:val="20"/>
          <w:szCs w:val="20"/>
          <w:color w:val="auto"/>
        </w:rPr>
      </w:pPr>
    </w:p>
    <w:p>
      <w:pPr>
        <w:jc w:val="both"/>
        <w:ind w:left="560" w:right="540" w:hanging="310"/>
        <w:spacing w:after="0" w:line="246" w:lineRule="auto"/>
        <w:tabs>
          <w:tab w:leader="none" w:pos="54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surviving such consolidation or merger (if other than the Company), or to which such sale, lease, conveyance or other disposition will be made (collectively, the “</w:t>
      </w:r>
      <w:r>
        <w:rPr>
          <w:rFonts w:ascii="Times New Roman" w:cs="Times New Roman" w:eastAsia="Times New Roman" w:hAnsi="Times New Roman"/>
          <w:sz w:val="14"/>
          <w:szCs w:val="14"/>
          <w:b w:val="1"/>
          <w:bCs w:val="1"/>
          <w:color w:val="auto"/>
        </w:rPr>
        <w:t>Successor</w:t>
      </w:r>
      <w:r>
        <w:rPr>
          <w:rFonts w:ascii="Times New Roman" w:cs="Times New Roman" w:eastAsia="Times New Roman" w:hAnsi="Times New Roman"/>
          <w:sz w:val="14"/>
          <w:szCs w:val="14"/>
          <w:color w:val="auto"/>
        </w:rPr>
        <w:t>”) assumes by supplemental indenture in a form reasonably satisfactory to the Trustee all of the obligations of the Company under the Securities, as the case may be, and the Indenture, and</w:t>
      </w:r>
    </w:p>
    <w:p>
      <w:pPr>
        <w:ind w:left="540" w:hanging="290"/>
        <w:spacing w:after="0"/>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Default or Event of Default has occurred and is continuing.</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foregoing provisions shall not apply to a transaction the purpose of which is to change the state of incorporation of the Company.</w:t>
      </w:r>
    </w:p>
    <w:p>
      <w:pPr>
        <w:spacing w:after="0" w:line="169" w:lineRule="exact"/>
        <w:rPr>
          <w:sz w:val="20"/>
          <w:szCs w:val="20"/>
          <w:color w:val="auto"/>
        </w:rPr>
      </w:pPr>
    </w:p>
    <w:p>
      <w:pPr>
        <w:ind w:right="60" w:firstLine="310"/>
        <w:spacing w:after="0" w:line="259" w:lineRule="auto"/>
        <w:rPr>
          <w:sz w:val="20"/>
          <w:szCs w:val="20"/>
          <w:color w:val="auto"/>
        </w:rPr>
      </w:pPr>
      <w:r>
        <w:rPr>
          <w:rFonts w:ascii="Times New Roman" w:cs="Times New Roman" w:eastAsia="Times New Roman" w:hAnsi="Times New Roman"/>
          <w:sz w:val="14"/>
          <w:szCs w:val="14"/>
          <w:color w:val="auto"/>
        </w:rPr>
        <w:t>Upon any such consolidation, merger, sale, lease, conveyance or other disposition, the Successor will be substituted for the Company under the Indenture. The Successor may then exercise every power and right of the Company under this Indenture, and except in the case of a lease, the Company will be released from all of its liabilities and obligations in respect of the Securities and the Indenture. If the Company leases all or substantially all of its assets, the Company will not be released from its obligations to pay the principal of and interest, if any, on the Securities.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SIX</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DEFAULTS AND REMEDIES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6.01 </w:t>
      </w:r>
      <w:r>
        <w:rPr>
          <w:rFonts w:ascii="Times New Roman" w:cs="Times New Roman" w:eastAsia="Times New Roman" w:hAnsi="Times New Roman"/>
          <w:sz w:val="14"/>
          <w:szCs w:val="14"/>
          <w:b w:val="1"/>
          <w:bCs w:val="1"/>
          <w:u w:val="single" w:color="auto"/>
          <w:color w:val="auto"/>
        </w:rPr>
        <w:t>Events of Default.</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with respect to a Series occurs upon the occurrence of any of the following:</w:t>
      </w:r>
    </w:p>
    <w:p>
      <w:pPr>
        <w:spacing w:after="0" w:line="22" w:lineRule="exact"/>
        <w:rPr>
          <w:sz w:val="20"/>
          <w:szCs w:val="20"/>
          <w:color w:val="auto"/>
        </w:rPr>
      </w:pPr>
    </w:p>
    <w:p>
      <w:pPr>
        <w:ind w:left="540" w:hanging="290"/>
        <w:spacing w:after="0"/>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pay interest on any Security of such Series when the same becomes due and payable and the continuance of any such failure for a period of 30 days;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pay the principal of any Security of such Series when the same becomes due and payable at maturity, upon acceleration, redemption or otherwise;</w:t>
      </w:r>
    </w:p>
    <w:p>
      <w:pPr>
        <w:spacing w:after="0" w:line="4" w:lineRule="exact"/>
        <w:rPr>
          <w:rFonts w:ascii="Times New Roman" w:cs="Times New Roman" w:eastAsia="Times New Roman" w:hAnsi="Times New Roman"/>
          <w:sz w:val="14"/>
          <w:szCs w:val="14"/>
          <w:color w:val="auto"/>
        </w:rPr>
      </w:pPr>
    </w:p>
    <w:p>
      <w:pPr>
        <w:ind w:left="560" w:hanging="310"/>
        <w:spacing w:after="0" w:line="246" w:lineRule="auto"/>
        <w:tabs>
          <w:tab w:leader="none" w:pos="548"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to comply with any of its agreements or covenants in, or provisions of, the Securities of such Series or this Indenture (as they relate thereto) and such failure continues for the period and after the notice specified below (except in the case of a default with respect to Article Five (or any other provision specified in the applicable supplemental indenture or Authorizing Resolution), which will constitute an Event of Default with notice but without passage of time);</w:t>
      </w:r>
    </w:p>
    <w:p>
      <w:pPr>
        <w:ind w:left="540" w:hanging="290"/>
        <w:spacing w:after="0"/>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Subsidiary that is a Significant Subsidiary pursuant to or within the meaning of any Bankruptcy Law:</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 or</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118" w:right="339" w:bottom="1440" w:gutter="0" w:footer="0" w:header="0"/>
        </w:sectPr>
      </w:pPr>
    </w:p>
    <w:bookmarkStart w:id="111" w:name="page112"/>
    <w:bookmarkEnd w:id="111"/>
    <w:p>
      <w:pPr>
        <w:ind w:left="540" w:hanging="290"/>
        <w:spacing w:after="0"/>
        <w:tabs>
          <w:tab w:leader="none" w:pos="5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17"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or any Subsidiary that is a Significant Subsidiary as debtor in an involuntary case,</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any Subsidiary that is a Significant Subsidiary or a Custodian for all or substantially all of the Property of the Company, or</w:t>
      </w:r>
    </w:p>
    <w:p>
      <w:pPr>
        <w:spacing w:after="0" w:line="4" w:lineRule="exact"/>
        <w:rPr>
          <w:rFonts w:ascii="Times New Roman" w:cs="Times New Roman" w:eastAsia="Times New Roman" w:hAnsi="Times New Roman"/>
          <w:sz w:val="14"/>
          <w:szCs w:val="14"/>
          <w:color w:val="auto"/>
        </w:rPr>
      </w:pPr>
    </w:p>
    <w:p>
      <w:pPr>
        <w:ind w:left="880" w:hanging="320"/>
        <w:spacing w:after="0"/>
        <w:tabs>
          <w:tab w:leader="none" w:pos="88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 or any Subsidiary that is a Significant Subsidiary, and the order or decree remains unstayed and in effect for 60 days.</w:t>
      </w:r>
    </w:p>
    <w:p>
      <w:pPr>
        <w:spacing w:after="0" w:line="156" w:lineRule="exact"/>
        <w:rPr>
          <w:sz w:val="20"/>
          <w:szCs w:val="20"/>
          <w:color w:val="auto"/>
        </w:rPr>
      </w:pPr>
    </w:p>
    <w:p>
      <w:pPr>
        <w:ind w:right="200" w:firstLine="310"/>
        <w:spacing w:after="0" w:line="280" w:lineRule="auto"/>
        <w:rPr>
          <w:sz w:val="20"/>
          <w:szCs w:val="20"/>
          <w:color w:val="auto"/>
        </w:rPr>
      </w:pPr>
      <w:r>
        <w:rPr>
          <w:rFonts w:ascii="Times New Roman" w:cs="Times New Roman" w:eastAsia="Times New Roman" w:hAnsi="Times New Roman"/>
          <w:sz w:val="13"/>
          <w:szCs w:val="13"/>
          <w:color w:val="auto"/>
        </w:rPr>
        <w:t xml:space="preserve">A Default as described in </w:t>
      </w:r>
      <w:r>
        <w:rPr>
          <w:rFonts w:ascii="Times New Roman" w:cs="Times New Roman" w:eastAsia="Times New Roman" w:hAnsi="Times New Roman"/>
          <w:sz w:val="13"/>
          <w:szCs w:val="13"/>
          <w:u w:val="single" w:color="auto"/>
          <w:color w:val="auto"/>
        </w:rPr>
        <w:t>subclause (3)</w:t>
      </w:r>
      <w:r>
        <w:rPr>
          <w:rFonts w:ascii="Times New Roman" w:cs="Times New Roman" w:eastAsia="Times New Roman" w:hAnsi="Times New Roman"/>
          <w:sz w:val="13"/>
          <w:szCs w:val="13"/>
          <w:color w:val="auto"/>
        </w:rPr>
        <w:t xml:space="preserve"> above will not be deemed an Event of Default until the Trustee notifies the Company, or the Holders of at least 25 percent in principal amount of the then outstanding Securities of the applicable Series notify the Company and the Trustee, of the Default and (except in the case of a default with respect to </w:t>
      </w:r>
      <w:r>
        <w:rPr>
          <w:rFonts w:ascii="Times New Roman" w:cs="Times New Roman" w:eastAsia="Times New Roman" w:hAnsi="Times New Roman"/>
          <w:sz w:val="13"/>
          <w:szCs w:val="13"/>
          <w:u w:val="single" w:color="auto"/>
          <w:color w:val="auto"/>
        </w:rPr>
        <w:t>Article Five</w:t>
      </w:r>
      <w:r>
        <w:rPr>
          <w:rFonts w:ascii="Times New Roman" w:cs="Times New Roman" w:eastAsia="Times New Roman" w:hAnsi="Times New Roman"/>
          <w:sz w:val="13"/>
          <w:szCs w:val="13"/>
          <w:color w:val="auto"/>
        </w:rPr>
        <w:t xml:space="preserve"> (or any other provision specified in the applicable supplemental indenture or Authorizing Resolution)) the Company does not cure the Default within 60 days after receipt of the notice. The notice must specify the Default, demand that it be remedied and state that the notice is a “Notice of Default.” If such a Default is cured within such time period, it ceases to exist, without any action by the Trustee or any other Person.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color w:val="auto"/>
        </w:rPr>
        <w:t>Custodian</w:t>
      </w:r>
      <w:r>
        <w:rPr>
          <w:rFonts w:ascii="Times New Roman" w:cs="Times New Roman" w:eastAsia="Times New Roman" w:hAnsi="Times New Roman"/>
          <w:sz w:val="14"/>
          <w:szCs w:val="14"/>
          <w:color w:val="auto"/>
        </w:rPr>
        <w:t>” means any receiver, trustee, assignee, liquidator, custodian or similar official under any Bankruptcy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6.02 </w:t>
      </w:r>
      <w:r>
        <w:rPr>
          <w:rFonts w:ascii="Times New Roman" w:cs="Times New Roman" w:eastAsia="Times New Roman" w:hAnsi="Times New Roman"/>
          <w:sz w:val="14"/>
          <w:szCs w:val="14"/>
          <w:b w:val="1"/>
          <w:bCs w:val="1"/>
          <w:u w:val="single" w:color="auto"/>
          <w:color w:val="auto"/>
        </w:rPr>
        <w:t>Acceleration.</w:t>
      </w:r>
    </w:p>
    <w:p>
      <w:pPr>
        <w:spacing w:after="0" w:line="91" w:lineRule="exact"/>
        <w:rPr>
          <w:sz w:val="20"/>
          <w:szCs w:val="20"/>
          <w:color w:val="auto"/>
        </w:rPr>
      </w:pPr>
    </w:p>
    <w:p>
      <w:pPr>
        <w:ind w:firstLine="310"/>
        <w:spacing w:after="0" w:line="252" w:lineRule="auto"/>
        <w:rPr>
          <w:sz w:val="20"/>
          <w:szCs w:val="20"/>
          <w:color w:val="auto"/>
        </w:rPr>
      </w:pPr>
      <w:r>
        <w:rPr>
          <w:rFonts w:ascii="Times New Roman" w:cs="Times New Roman" w:eastAsia="Times New Roman" w:hAnsi="Times New Roman"/>
          <w:sz w:val="14"/>
          <w:szCs w:val="14"/>
          <w:color w:val="auto"/>
        </w:rPr>
        <w:t xml:space="preserve">If an Event of Default (other than an Event of Default with respect to the Company resulting from </w:t>
      </w:r>
      <w:r>
        <w:rPr>
          <w:rFonts w:ascii="Times New Roman" w:cs="Times New Roman" w:eastAsia="Times New Roman" w:hAnsi="Times New Roman"/>
          <w:sz w:val="14"/>
          <w:szCs w:val="14"/>
          <w:u w:val="single" w:color="auto"/>
          <w:color w:val="auto"/>
        </w:rPr>
        <w:t>subclause (4)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above), shall have occurred and be continuing under the Indenture, the Trustee by notice to the Company, or the Holders of at least 25 percent in principal amount of the Securities of the applicable Series then outstanding by notice to the Company and the Trustee, may declare all Securities of such Series to be due and payable immediately. Upon such declaration of acceleration, the amounts due and payable on the Securities of such Series will be due and payable immediately. If an Event of Default with respect to the Company specified in </w:t>
      </w:r>
      <w:r>
        <w:rPr>
          <w:rFonts w:ascii="Times New Roman" w:cs="Times New Roman" w:eastAsia="Times New Roman" w:hAnsi="Times New Roman"/>
          <w:sz w:val="14"/>
          <w:szCs w:val="14"/>
          <w:u w:val="single" w:color="auto"/>
          <w:color w:val="auto"/>
        </w:rPr>
        <w:t>subclauses (4)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above occurs, all amounts due and payable on the Securities of such Series will ipso facto become and be immediately due and payable without any declaration, notice or other act on the part of the Trustee and the Company or any Holder.</w:t>
      </w:r>
    </w:p>
    <w:p>
      <w:pPr>
        <w:spacing w:after="0" w:line="146" w:lineRule="exact"/>
        <w:rPr>
          <w:sz w:val="20"/>
          <w:szCs w:val="20"/>
          <w:color w:val="auto"/>
        </w:rPr>
      </w:pPr>
    </w:p>
    <w:p>
      <w:pPr>
        <w:jc w:val="both"/>
        <w:ind w:right="100" w:firstLine="310"/>
        <w:spacing w:after="0" w:line="259" w:lineRule="auto"/>
        <w:rPr>
          <w:sz w:val="20"/>
          <w:szCs w:val="20"/>
          <w:color w:val="auto"/>
        </w:rPr>
      </w:pPr>
      <w:r>
        <w:rPr>
          <w:rFonts w:ascii="Times New Roman" w:cs="Times New Roman" w:eastAsia="Times New Roman" w:hAnsi="Times New Roman"/>
          <w:sz w:val="14"/>
          <w:szCs w:val="14"/>
          <w:color w:val="auto"/>
        </w:rPr>
        <w:t>Holders of a majority in principal amount of the then outstanding Securities of such Series may rescind an acceleration with respect to such Series and its consequence (except an acceleration due to nonpayment of principal or interest) if the rescission would not conflict with any judgment or decree and if all existing Events of Default (other than the non-payment of accelerated principal) have been cured or waived.</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 such rescission shall extend to or shall affect any subsequent Event of Default, or shall impair any right or power consequent thereon.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6.03 </w:t>
      </w:r>
      <w:r>
        <w:rPr>
          <w:rFonts w:ascii="Times New Roman" w:cs="Times New Roman" w:eastAsia="Times New Roman" w:hAnsi="Times New Roman"/>
          <w:sz w:val="14"/>
          <w:szCs w:val="14"/>
          <w:b w:val="1"/>
          <w:bCs w:val="1"/>
          <w:u w:val="single" w:color="auto"/>
          <w:color w:val="auto"/>
        </w:rPr>
        <w:t>Other Remedies.</w:t>
      </w:r>
    </w:p>
    <w:p>
      <w:pPr>
        <w:spacing w:after="0" w:line="91" w:lineRule="exact"/>
        <w:rPr>
          <w:sz w:val="20"/>
          <w:szCs w:val="20"/>
          <w:color w:val="auto"/>
        </w:rPr>
      </w:pPr>
    </w:p>
    <w:p>
      <w:pPr>
        <w:ind w:right="280" w:firstLine="310"/>
        <w:spacing w:after="0" w:line="272" w:lineRule="auto"/>
        <w:rPr>
          <w:sz w:val="20"/>
          <w:szCs w:val="20"/>
          <w:color w:val="auto"/>
        </w:rPr>
      </w:pPr>
      <w:r>
        <w:rPr>
          <w:rFonts w:ascii="Times New Roman" w:cs="Times New Roman" w:eastAsia="Times New Roman" w:hAnsi="Times New Roman"/>
          <w:sz w:val="14"/>
          <w:szCs w:val="14"/>
          <w:color w:val="auto"/>
        </w:rPr>
        <w:t>If an Event of Default on a Series occurs and is continuing, the Trustee may pursue any available remedy by proceeding at law or in equity to collect the payment of principal of or interest on the Series or to enforce the performance of any provision in the Securities or this Indenture applicable to the Series.</w:t>
      </w:r>
    </w:p>
    <w:p>
      <w:pPr>
        <w:spacing w:after="0" w:line="131" w:lineRule="exact"/>
        <w:rPr>
          <w:sz w:val="20"/>
          <w:szCs w:val="20"/>
          <w:color w:val="auto"/>
        </w:rPr>
      </w:pPr>
    </w:p>
    <w:p>
      <w:pPr>
        <w:ind w:right="100" w:firstLine="310"/>
        <w:spacing w:after="0" w:line="259" w:lineRule="auto"/>
        <w:rPr>
          <w:sz w:val="20"/>
          <w:szCs w:val="20"/>
          <w:color w:val="auto"/>
        </w:rPr>
      </w:pPr>
      <w:r>
        <w:rPr>
          <w:rFonts w:ascii="Times New Roman" w:cs="Times New Roman" w:eastAsia="Times New Roman" w:hAnsi="Times New Roman"/>
          <w:sz w:val="14"/>
          <w:szCs w:val="14"/>
          <w:color w:val="auto"/>
        </w:rPr>
        <w:t>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 xml:space="preserve">Section 6.04 </w:t>
      </w:r>
      <w:r>
        <w:rPr>
          <w:rFonts w:ascii="Times New Roman" w:cs="Times New Roman" w:eastAsia="Times New Roman" w:hAnsi="Times New Roman"/>
          <w:sz w:val="14"/>
          <w:szCs w:val="14"/>
          <w:b w:val="1"/>
          <w:bCs w:val="1"/>
          <w:u w:val="single" w:color="auto"/>
          <w:color w:val="auto"/>
        </w:rPr>
        <w:t>Waiver of Existing Defaults.</w:t>
      </w:r>
    </w:p>
    <w:p>
      <w:pPr>
        <w:spacing w:after="0" w:line="91" w:lineRule="exact"/>
        <w:rPr>
          <w:sz w:val="20"/>
          <w:szCs w:val="20"/>
          <w:color w:val="auto"/>
        </w:rPr>
      </w:pPr>
    </w:p>
    <w:p>
      <w:pPr>
        <w:ind w:right="240" w:firstLine="310"/>
        <w:spacing w:after="0" w:line="259"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the Holders of a majority in principal amount of the outstanding Securities of a Series on behalf of all the Holders of the Series by notice to the Trustee may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6.05 </w:t>
      </w:r>
      <w:r>
        <w:rPr>
          <w:rFonts w:ascii="Times New Roman" w:cs="Times New Roman" w:eastAsia="Times New Roman" w:hAnsi="Times New Roman"/>
          <w:sz w:val="14"/>
          <w:szCs w:val="14"/>
          <w:b w:val="1"/>
          <w:bCs w:val="1"/>
          <w:u w:val="single" w:color="auto"/>
          <w:color w:val="auto"/>
        </w:rPr>
        <w:t>Control by Majority.</w:t>
      </w:r>
    </w:p>
    <w:p>
      <w:pPr>
        <w:spacing w:after="0" w:line="91" w:lineRule="exact"/>
        <w:rPr>
          <w:sz w:val="20"/>
          <w:szCs w:val="20"/>
          <w:color w:val="auto"/>
        </w:rPr>
      </w:pPr>
    </w:p>
    <w:p>
      <w:pPr>
        <w:ind w:right="60" w:firstLine="310"/>
        <w:spacing w:after="0" w:line="254" w:lineRule="auto"/>
        <w:rPr>
          <w:sz w:val="20"/>
          <w:szCs w:val="20"/>
          <w:color w:val="auto"/>
        </w:rPr>
      </w:pPr>
      <w:r>
        <w:rPr>
          <w:rFonts w:ascii="Times New Roman" w:cs="Times New Roman" w:eastAsia="Times New Roman" w:hAnsi="Times New Roman"/>
          <w:sz w:val="14"/>
          <w:szCs w:val="14"/>
          <w:color w:val="auto"/>
        </w:rPr>
        <w:t xml:space="preserve">The Holders of a majority in principal amount of the outstanding Securities of a Series may direct the time, method and place of conducting any proceeding for any remedy available to the Trustee or exercising any trust or power conferred on it with respect to such Series. The Trustee, however, may refuse to follow any direction (i) that conflicts with law or this Indenture, (ii) that, subject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7.01</w:t>
      </w:r>
      <w:r>
        <w:rPr>
          <w:rFonts w:ascii="Times New Roman" w:cs="Times New Roman" w:eastAsia="Times New Roman" w:hAnsi="Times New Roman"/>
          <w:sz w:val="14"/>
          <w:szCs w:val="14"/>
          <w:color w:val="auto"/>
        </w:rPr>
        <w:t>, the Trustee determines is unduly prejudicial to the rights of other Securityholders, (iii) that would involve the Trustee in personal liability, if there shall be reasonable grounds for believing that adequate indemnity against such liability is not reasonably assured to it, or (iv) if the Trustee shall not have been provided with indemnity satisfactory to 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6.06 </w:t>
      </w:r>
      <w:r>
        <w:rPr>
          <w:rFonts w:ascii="Times New Roman" w:cs="Times New Roman" w:eastAsia="Times New Roman" w:hAnsi="Times New Roman"/>
          <w:sz w:val="14"/>
          <w:szCs w:val="14"/>
          <w:b w:val="1"/>
          <w:bCs w:val="1"/>
          <w:u w:val="single" w:color="auto"/>
          <w:color w:val="auto"/>
        </w:rPr>
        <w:t>Limitation on Suits.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Securityholder of a Series may not pursue any remedy with respect to this Indenture or the Securities of a Series unless:</w:t>
      </w:r>
    </w:p>
    <w:p>
      <w:pPr>
        <w:spacing w:after="0" w:line="18" w:lineRule="exact"/>
        <w:rPr>
          <w:sz w:val="20"/>
          <w:szCs w:val="20"/>
          <w:color w:val="auto"/>
        </w:rPr>
      </w:pPr>
    </w:p>
    <w:p>
      <w:pPr>
        <w:ind w:left="540" w:hanging="290"/>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to the Trustee written notice of a continuing Event of Default on the Series;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Securities of the Series make a written request to the Trustee to pursue the remedy;</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offer to the Trustee indemnity satisfactory to the Trustee against any loss, liability or expense;</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written request inconsistent with such written request shall have been given to the Trustee pursuant to this </w:t>
      </w:r>
      <w:r>
        <w:rPr>
          <w:rFonts w:ascii="Times New Roman" w:cs="Times New Roman" w:eastAsia="Times New Roman" w:hAnsi="Times New Roman"/>
          <w:sz w:val="14"/>
          <w:szCs w:val="14"/>
          <w:u w:val="single" w:color="auto"/>
          <w:color w:val="auto"/>
        </w:rPr>
        <w:t>Section 6.06</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firstLine="310"/>
        <w:spacing w:after="0" w:line="272" w:lineRule="auto"/>
        <w:rPr>
          <w:sz w:val="20"/>
          <w:szCs w:val="20"/>
          <w:color w:val="auto"/>
        </w:rPr>
      </w:pPr>
      <w:r>
        <w:rPr>
          <w:rFonts w:ascii="Times New Roman" w:cs="Times New Roman" w:eastAsia="Times New Roman" w:hAnsi="Times New Roman"/>
          <w:sz w:val="14"/>
          <w:szCs w:val="14"/>
          <w:color w:val="auto"/>
        </w:rPr>
        <w:t>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6.07 </w:t>
      </w:r>
      <w:r>
        <w:rPr>
          <w:rFonts w:ascii="Times New Roman" w:cs="Times New Roman" w:eastAsia="Times New Roman" w:hAnsi="Times New Roman"/>
          <w:sz w:val="14"/>
          <w:szCs w:val="14"/>
          <w:b w:val="1"/>
          <w:bCs w:val="1"/>
          <w:u w:val="single" w:color="auto"/>
          <w:color w:val="auto"/>
        </w:rPr>
        <w:t>Rights of Holders to Receive Payment and Convert.</w:t>
      </w:r>
    </w:p>
    <w:p>
      <w:pPr>
        <w:spacing w:after="0" w:line="91" w:lineRule="exact"/>
        <w:rPr>
          <w:sz w:val="20"/>
          <w:szCs w:val="20"/>
          <w:color w:val="auto"/>
        </w:rPr>
      </w:pPr>
    </w:p>
    <w:p>
      <w:pPr>
        <w:ind w:right="80" w:firstLine="310"/>
        <w:spacing w:after="0" w:line="254" w:lineRule="auto"/>
        <w:rPr>
          <w:sz w:val="20"/>
          <w:szCs w:val="20"/>
          <w:color w:val="auto"/>
        </w:rPr>
      </w:pPr>
      <w:r>
        <w:rPr>
          <w:rFonts w:ascii="Times New Roman" w:cs="Times New Roman" w:eastAsia="Times New Roman" w:hAnsi="Times New Roman"/>
          <w:sz w:val="14"/>
          <w:szCs w:val="14"/>
          <w:color w:val="auto"/>
        </w:rPr>
        <w:t>Notwithstanding any other provision of this Indenture, the right of any Holder to receive payment of principal of, premium, if any,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 Notwithstanding anything to the contrary in this Indenture or the Securities, the right of any Holder of Securities to convert such Securities in accordance with this Indenture, or to bring suit for the enforcement of such right, shall not be impaired or affected without the consent of the Holder.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6.08 </w:t>
      </w:r>
      <w:r>
        <w:rPr>
          <w:rFonts w:ascii="Times New Roman" w:cs="Times New Roman" w:eastAsia="Times New Roman" w:hAnsi="Times New Roman"/>
          <w:sz w:val="14"/>
          <w:szCs w:val="14"/>
          <w:b w:val="1"/>
          <w:bCs w:val="1"/>
          <w:u w:val="single" w:color="auto"/>
          <w:color w:val="auto"/>
        </w:rPr>
        <w:t>Collection Suit by Trustee.</w:t>
      </w:r>
    </w:p>
    <w:p>
      <w:pPr>
        <w:spacing w:after="0" w:line="91" w:lineRule="exact"/>
        <w:rPr>
          <w:sz w:val="20"/>
          <w:szCs w:val="20"/>
          <w:color w:val="auto"/>
        </w:rPr>
      </w:pPr>
    </w:p>
    <w:p>
      <w:pPr>
        <w:ind w:right="180" w:firstLine="310"/>
        <w:spacing w:after="0" w:line="272" w:lineRule="auto"/>
        <w:rPr>
          <w:sz w:val="20"/>
          <w:szCs w:val="20"/>
          <w:color w:val="auto"/>
        </w:rPr>
      </w:pPr>
      <w:r>
        <w:rPr>
          <w:rFonts w:ascii="Times New Roman" w:cs="Times New Roman" w:eastAsia="Times New Roman" w:hAnsi="Times New Roman"/>
          <w:sz w:val="14"/>
          <w:szCs w:val="14"/>
          <w:color w:val="auto"/>
        </w:rPr>
        <w:t xml:space="preserve">If an Event of Default in payment of interest or principal specified in </w:t>
      </w:r>
      <w:r>
        <w:rPr>
          <w:rFonts w:ascii="Times New Roman" w:cs="Times New Roman" w:eastAsia="Times New Roman" w:hAnsi="Times New Roman"/>
          <w:sz w:val="14"/>
          <w:szCs w:val="14"/>
          <w:u w:val="single" w:color="auto"/>
          <w:color w:val="auto"/>
        </w:rPr>
        <w:t>Section 6.01(1)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occurs and is continuing, the Trustee may recover judgment in its own name and as trustee of an express trust against the Company for the whole amount of principal and interest remaining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11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 xml:space="preserve">Section 6.09 </w:t>
      </w:r>
      <w:r>
        <w:rPr>
          <w:rFonts w:ascii="Times New Roman" w:cs="Times New Roman" w:eastAsia="Times New Roman" w:hAnsi="Times New Roman"/>
          <w:sz w:val="14"/>
          <w:szCs w:val="14"/>
          <w:b w:val="1"/>
          <w:bCs w:val="1"/>
          <w:u w:val="single" w:color="auto"/>
          <w:color w:val="auto"/>
        </w:rPr>
        <w:t>Trustee May File Proofs of Claim.</w:t>
      </w:r>
    </w:p>
    <w:p>
      <w:pPr>
        <w:spacing w:after="0" w:line="91" w:lineRule="exact"/>
        <w:rPr>
          <w:sz w:val="20"/>
          <w:szCs w:val="20"/>
          <w:color w:val="auto"/>
        </w:rPr>
      </w:pPr>
    </w:p>
    <w:p>
      <w:pPr>
        <w:ind w:right="40" w:firstLine="310"/>
        <w:spacing w:after="0" w:line="250" w:lineRule="auto"/>
        <w:rPr>
          <w:sz w:val="20"/>
          <w:szCs w:val="20"/>
          <w:color w:val="auto"/>
        </w:rPr>
      </w:pPr>
      <w:r>
        <w:rPr>
          <w:rFonts w:ascii="Times New Roman" w:cs="Times New Roman" w:eastAsia="Times New Roman" w:hAnsi="Times New Roman"/>
          <w:sz w:val="14"/>
          <w:szCs w:val="14"/>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its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6.10 </w:t>
      </w:r>
      <w:r>
        <w:rPr>
          <w:rFonts w:ascii="Times New Roman" w:cs="Times New Roman" w:eastAsia="Times New Roman" w:hAnsi="Times New Roman"/>
          <w:sz w:val="14"/>
          <w:szCs w:val="14"/>
          <w:b w:val="1"/>
          <w:bCs w:val="1"/>
          <w:u w:val="single" w:color="auto"/>
          <w:color w:val="auto"/>
        </w:rPr>
        <w:t>Priorities.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the Trustee collects any money pursuant to this Article with respect to Securities of any Series, it shall pay out the money in the following order:</w:t>
      </w:r>
    </w:p>
    <w:p>
      <w:pPr>
        <w:spacing w:after="0" w:line="1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i w:val="1"/>
          <w:iCs w:val="1"/>
          <w:color w:val="auto"/>
        </w:rPr>
        <w:t>First:</w:t>
      </w:r>
      <w:r>
        <w:rPr>
          <w:sz w:val="20"/>
          <w:szCs w:val="20"/>
          <w:color w:val="auto"/>
        </w:rPr>
        <w:tab/>
      </w:r>
      <w:r>
        <w:rPr>
          <w:rFonts w:ascii="Times New Roman" w:cs="Times New Roman" w:eastAsia="Times New Roman" w:hAnsi="Times New Roman"/>
          <w:sz w:val="14"/>
          <w:szCs w:val="14"/>
          <w:color w:val="auto"/>
        </w:rPr>
        <w:t xml:space="preserve">to the Trustee for amounts due under </w:t>
      </w:r>
      <w:r>
        <w:rPr>
          <w:rFonts w:ascii="Times New Roman" w:cs="Times New Roman" w:eastAsia="Times New Roman" w:hAnsi="Times New Roman"/>
          <w:sz w:val="14"/>
          <w:szCs w:val="14"/>
          <w:u w:val="single" w:color="auto"/>
          <w:color w:val="auto"/>
        </w:rPr>
        <w:t>Section 7.07;</w:t>
      </w:r>
    </w:p>
    <w:p>
      <w:pPr>
        <w:spacing w:after="0" w:line="4" w:lineRule="exact"/>
        <w:rPr>
          <w:sz w:val="20"/>
          <w:szCs w:val="20"/>
          <w:color w:val="auto"/>
        </w:rPr>
      </w:pPr>
    </w:p>
    <w:p>
      <w:pPr>
        <w:ind w:left="540" w:right="100" w:hanging="556"/>
        <w:spacing w:after="0" w:line="246" w:lineRule="auto"/>
        <w:tabs>
          <w:tab w:leader="none" w:pos="520" w:val="left"/>
        </w:tabs>
        <w:rPr>
          <w:sz w:val="20"/>
          <w:szCs w:val="20"/>
          <w:color w:val="auto"/>
        </w:rPr>
      </w:pPr>
      <w:r>
        <w:rPr>
          <w:rFonts w:ascii="Times New Roman" w:cs="Times New Roman" w:eastAsia="Times New Roman" w:hAnsi="Times New Roman"/>
          <w:sz w:val="14"/>
          <w:szCs w:val="14"/>
          <w:i w:val="1"/>
          <w:iCs w:val="1"/>
          <w:color w:val="auto"/>
        </w:rPr>
        <w:t>Second:</w:t>
      </w:r>
      <w:r>
        <w:rPr>
          <w:sz w:val="20"/>
          <w:szCs w:val="20"/>
          <w:color w:val="auto"/>
        </w:rPr>
        <w:tab/>
      </w:r>
      <w:r>
        <w:rPr>
          <w:rFonts w:ascii="Times New Roman" w:cs="Times New Roman" w:eastAsia="Times New Roman" w:hAnsi="Times New Roman"/>
          <w:sz w:val="14"/>
          <w:szCs w:val="14"/>
          <w:color w:val="auto"/>
        </w:rPr>
        <w:t>to Securityholders of the Series for amounts due and unpaid on the Series for principal and interest, ratably, without preference or priority of any kind, according to the amounts due and payable on the Series for principal and interest, respectively; and</w:t>
      </w:r>
    </w:p>
    <w:p>
      <w:pPr>
        <w:spacing w:after="0"/>
        <w:tabs>
          <w:tab w:leader="none" w:pos="540" w:val="left"/>
        </w:tabs>
        <w:rPr>
          <w:sz w:val="20"/>
          <w:szCs w:val="20"/>
          <w:color w:val="auto"/>
        </w:rPr>
      </w:pPr>
      <w:r>
        <w:rPr>
          <w:rFonts w:ascii="Times New Roman" w:cs="Times New Roman" w:eastAsia="Times New Roman" w:hAnsi="Times New Roman"/>
          <w:sz w:val="14"/>
          <w:szCs w:val="14"/>
          <w:i w:val="1"/>
          <w:iCs w:val="1"/>
          <w:color w:val="auto"/>
        </w:rPr>
        <w:t>Third:</w:t>
      </w:r>
      <w:r>
        <w:rPr>
          <w:sz w:val="20"/>
          <w:szCs w:val="20"/>
          <w:color w:val="auto"/>
        </w:rPr>
        <w:tab/>
      </w:r>
      <w:r>
        <w:rPr>
          <w:rFonts w:ascii="Times New Roman" w:cs="Times New Roman" w:eastAsia="Times New Roman" w:hAnsi="Times New Roman"/>
          <w:sz w:val="14"/>
          <w:szCs w:val="14"/>
          <w:color w:val="auto"/>
        </w:rPr>
        <w:t>to the Company or as a court of competent jurisdiction shall direct.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Trustee may fix a record date and payment date for any payment to Securityholders pursuant to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6.11 </w:t>
      </w:r>
      <w:r>
        <w:rPr>
          <w:rFonts w:ascii="Times New Roman" w:cs="Times New Roman" w:eastAsia="Times New Roman" w:hAnsi="Times New Roman"/>
          <w:sz w:val="14"/>
          <w:szCs w:val="14"/>
          <w:b w:val="1"/>
          <w:bCs w:val="1"/>
          <w:u w:val="single" w:color="auto"/>
          <w:color w:val="auto"/>
        </w:rPr>
        <w:t>Undertaking for Costs.</w:t>
      </w:r>
    </w:p>
    <w:p>
      <w:pPr>
        <w:spacing w:after="0" w:line="91"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the due regard to the merits and good faith of the claims or defenses made by the party litigant. This Section does not apply to a suit by the Trustee, a suit by a Holder pursuant to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xml:space="preserve"> or a suit by Holders of more than 10% in principal amount of the Series.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SEVEN</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7.01 </w:t>
      </w:r>
      <w:r>
        <w:rPr>
          <w:rFonts w:ascii="Times New Roman" w:cs="Times New Roman" w:eastAsia="Times New Roman" w:hAnsi="Times New Roman"/>
          <w:sz w:val="14"/>
          <w:szCs w:val="14"/>
          <w:b w:val="1"/>
          <w:bCs w:val="1"/>
          <w:u w:val="single" w:color="auto"/>
          <w:color w:val="auto"/>
        </w:rPr>
        <w:t>Duties of Trustee.</w:t>
      </w:r>
    </w:p>
    <w:p>
      <w:pPr>
        <w:spacing w:after="0" w:line="91" w:lineRule="exact"/>
        <w:rPr>
          <w:sz w:val="20"/>
          <w:szCs w:val="20"/>
          <w:color w:val="auto"/>
        </w:rPr>
      </w:pPr>
    </w:p>
    <w:p>
      <w:pPr>
        <w:jc w:val="both"/>
        <w:ind w:right="20" w:firstLine="312"/>
        <w:spacing w:after="0" w:line="259" w:lineRule="auto"/>
        <w:tabs>
          <w:tab w:leader="none" w:pos="497"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with respect to Securities of any Series, the Trustee shall, prior to the receipt of directions from the Holders of a majority in principal amount of the Securities of the Series, exercise its rights and powers and use the same degree of care and skill in their exercise as a prudent man would exercise or use under the circumstances in the conduct of his own affairs.</w:t>
      </w:r>
    </w:p>
    <w:p>
      <w:pPr>
        <w:spacing w:after="0" w:line="139" w:lineRule="exact"/>
        <w:rPr>
          <w:rFonts w:ascii="Times New Roman" w:cs="Times New Roman" w:eastAsia="Times New Roman" w:hAnsi="Times New Roman"/>
          <w:sz w:val="14"/>
          <w:szCs w:val="14"/>
          <w:color w:val="auto"/>
        </w:rPr>
      </w:pPr>
    </w:p>
    <w:p>
      <w:pPr>
        <w:ind w:left="500" w:hanging="188"/>
        <w:spacing w:after="0"/>
        <w:tabs>
          <w:tab w:leader="none" w:pos="50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86"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 and no implied covenants or obligations shall be read into this Indenture against the Trustee.</w:t>
      </w:r>
    </w:p>
    <w:p>
      <w:pPr>
        <w:spacing w:after="0" w:line="86" w:lineRule="exact"/>
        <w:rPr>
          <w:rFonts w:ascii="Times New Roman" w:cs="Times New Roman" w:eastAsia="Times New Roman" w:hAnsi="Times New Roman"/>
          <w:sz w:val="14"/>
          <w:szCs w:val="14"/>
          <w:color w:val="auto"/>
        </w:rPr>
      </w:pPr>
    </w:p>
    <w:p>
      <w:pPr>
        <w:ind w:right="40" w:firstLine="3"/>
        <w:spacing w:after="0" w:line="272" w:lineRule="auto"/>
        <w:tabs>
          <w:tab w:leader="none" w:pos="19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60"/>
          </w:cols>
          <w:pgMar w:left="300" w:top="1114" w:right="339" w:bottom="1440" w:gutter="0" w:footer="0" w:header="0"/>
        </w:sectPr>
      </w:pPr>
    </w:p>
    <w:bookmarkStart w:id="114" w:name="page115"/>
    <w:bookmarkEnd w:id="114"/>
    <w:p>
      <w:pPr>
        <w:ind w:right="220"/>
        <w:spacing w:after="0" w:line="272" w:lineRule="auto"/>
        <w:rPr>
          <w:sz w:val="20"/>
          <w:szCs w:val="20"/>
          <w:color w:val="auto"/>
        </w:rPr>
      </w:pPr>
      <w:r>
        <w:rPr>
          <w:rFonts w:ascii="Times New Roman" w:cs="Times New Roman" w:eastAsia="Times New Roman" w:hAnsi="Times New Roman"/>
          <w:sz w:val="14"/>
          <w:szCs w:val="14"/>
          <w:color w:val="auto"/>
        </w:rPr>
        <w:t>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w:t>
      </w:r>
    </w:p>
    <w:p>
      <w:pPr>
        <w:spacing w:after="0" w:line="131" w:lineRule="exact"/>
        <w:rPr>
          <w:sz w:val="20"/>
          <w:szCs w:val="20"/>
          <w:color w:val="auto"/>
        </w:rPr>
      </w:pPr>
    </w:p>
    <w:p>
      <w:pPr>
        <w:ind w:left="500" w:hanging="188"/>
        <w:spacing w:after="0"/>
        <w:tabs>
          <w:tab w:leader="none" w:pos="5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liability for its own negligent action, its own negligent failure to act or its own willful misconduct, except that:</w:t>
      </w:r>
    </w:p>
    <w:p>
      <w:pPr>
        <w:spacing w:after="0" w:line="86"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paragraph does not limit the effect of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this Section.</w:t>
      </w:r>
    </w:p>
    <w:p>
      <w:pPr>
        <w:spacing w:after="0" w:line="86"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Trust Officer, unless it is proved that the Trustee was negligent in ascertaining the pertinent facts.</w:t>
      </w:r>
    </w:p>
    <w:p>
      <w:pPr>
        <w:spacing w:after="0" w:line="86" w:lineRule="exact"/>
        <w:rPr>
          <w:rFonts w:ascii="Times New Roman" w:cs="Times New Roman" w:eastAsia="Times New Roman" w:hAnsi="Times New Roman"/>
          <w:sz w:val="14"/>
          <w:szCs w:val="14"/>
          <w:color w:val="auto"/>
        </w:rPr>
      </w:pPr>
    </w:p>
    <w:p>
      <w:pPr>
        <w:ind w:firstLine="3"/>
        <w:spacing w:after="0" w:line="272" w:lineRule="auto"/>
        <w:tabs>
          <w:tab w:leader="none" w:pos="19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14"/>
          <w:szCs w:val="14"/>
          <w:u w:val="single" w:color="auto"/>
          <w:color w:val="auto"/>
        </w:rPr>
        <w:t>Section 6.05</w:t>
      </w:r>
      <w:r>
        <w:rPr>
          <w:rFonts w:ascii="Times New Roman" w:cs="Times New Roman" w:eastAsia="Times New Roman" w:hAnsi="Times New Roman"/>
          <w:sz w:val="14"/>
          <w:szCs w:val="14"/>
          <w:color w:val="auto"/>
        </w:rPr>
        <w:t xml:space="preserve"> or any other direction of the Holders permitted hereunder.</w:t>
      </w:r>
    </w:p>
    <w:p>
      <w:pPr>
        <w:spacing w:after="0" w:line="48" w:lineRule="exact"/>
        <w:rPr>
          <w:rFonts w:ascii="Times New Roman" w:cs="Times New Roman" w:eastAsia="Times New Roman" w:hAnsi="Times New Roman"/>
          <w:sz w:val="14"/>
          <w:szCs w:val="14"/>
          <w:color w:val="auto"/>
        </w:rPr>
      </w:pPr>
    </w:p>
    <w:p>
      <w:pPr>
        <w:ind w:left="500" w:hanging="188"/>
        <w:spacing w:after="0"/>
        <w:tabs>
          <w:tab w:leader="none" w:pos="50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Every provision of this Indenture that in any way relates to the Trustee is subject to </w:t>
      </w:r>
      <w:r>
        <w:rPr>
          <w:rFonts w:ascii="Times New Roman" w:cs="Times New Roman" w:eastAsia="Times New Roman" w:hAnsi="Times New Roman"/>
          <w:sz w:val="14"/>
          <w:szCs w:val="14"/>
          <w:u w:val="single" w:color="auto"/>
          <w:color w:val="auto"/>
        </w:rPr>
        <w:t>paragraphs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Section.</w:t>
      </w:r>
    </w:p>
    <w:p>
      <w:pPr>
        <w:spacing w:after="0" w:line="169" w:lineRule="exact"/>
        <w:rPr>
          <w:rFonts w:ascii="Times New Roman" w:cs="Times New Roman" w:eastAsia="Times New Roman" w:hAnsi="Times New Roman"/>
          <w:sz w:val="14"/>
          <w:szCs w:val="14"/>
          <w:color w:val="auto"/>
        </w:rPr>
      </w:pPr>
    </w:p>
    <w:p>
      <w:pPr>
        <w:ind w:left="500" w:hanging="188"/>
        <w:spacing w:after="0"/>
        <w:tabs>
          <w:tab w:leader="none" w:pos="50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refuse to perform any duty or exercise any right or power unless it receives indemnity satisfactory to it against any loss, liability or expense.</w:t>
      </w:r>
    </w:p>
    <w:p>
      <w:pPr>
        <w:spacing w:after="0" w:line="169" w:lineRule="exact"/>
        <w:rPr>
          <w:rFonts w:ascii="Times New Roman" w:cs="Times New Roman" w:eastAsia="Times New Roman" w:hAnsi="Times New Roman"/>
          <w:sz w:val="14"/>
          <w:szCs w:val="14"/>
          <w:color w:val="auto"/>
        </w:rPr>
      </w:pPr>
    </w:p>
    <w:p>
      <w:pPr>
        <w:ind w:right="180" w:firstLine="312"/>
        <w:spacing w:after="0" w:line="272" w:lineRule="auto"/>
        <w:tabs>
          <w:tab w:leader="none" w:pos="482"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any money received by it except as the Trustee may agree with the Company. Money held in trust by the Trustee need not be segregated from other funds except to the extent required by law.</w:t>
      </w:r>
    </w:p>
    <w:p>
      <w:pPr>
        <w:spacing w:after="0" w:line="130" w:lineRule="exact"/>
        <w:rPr>
          <w:rFonts w:ascii="Times New Roman" w:cs="Times New Roman" w:eastAsia="Times New Roman" w:hAnsi="Times New Roman"/>
          <w:sz w:val="14"/>
          <w:szCs w:val="14"/>
          <w:color w:val="auto"/>
        </w:rPr>
      </w:pPr>
    </w:p>
    <w:p>
      <w:pPr>
        <w:ind w:right="260" w:firstLine="312"/>
        <w:spacing w:after="0" w:line="311" w:lineRule="auto"/>
        <w:tabs>
          <w:tab w:leader="none" w:pos="504"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provisions contained in this Indenture shall require the Trustee to expend or risk its own funds or otherwise incur financial liability in the performance of any of its duties or in the exercise of any of its rights or powers, if there shall be reasonable grounds for believing that the repayment of such funds or adequate indemnity against such liability is not reasonably assured to 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7.02 </w:t>
      </w:r>
      <w:r>
        <w:rPr>
          <w:rFonts w:ascii="Times New Roman" w:cs="Times New Roman" w:eastAsia="Times New Roman" w:hAnsi="Times New Roman"/>
          <w:sz w:val="14"/>
          <w:szCs w:val="14"/>
          <w:b w:val="1"/>
          <w:bCs w:val="1"/>
          <w:u w:val="single" w:color="auto"/>
          <w:color w:val="auto"/>
        </w:rPr>
        <w:t>Rights of Trustee.</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right="340" w:firstLine="312"/>
        <w:spacing w:after="0" w:line="311" w:lineRule="auto"/>
        <w:tabs>
          <w:tab w:leader="none" w:pos="497"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w:t>
      </w:r>
    </w:p>
    <w:p>
      <w:pPr>
        <w:spacing w:after="0" w:line="108" w:lineRule="exact"/>
        <w:rPr>
          <w:rFonts w:ascii="Times New Roman" w:cs="Times New Roman" w:eastAsia="Times New Roman" w:hAnsi="Times New Roman"/>
          <w:sz w:val="13"/>
          <w:szCs w:val="13"/>
          <w:color w:val="auto"/>
        </w:rPr>
      </w:pPr>
    </w:p>
    <w:p>
      <w:pPr>
        <w:ind w:right="200" w:firstLine="312"/>
        <w:spacing w:after="0" w:line="259" w:lineRule="auto"/>
        <w:tabs>
          <w:tab w:leader="none" w:pos="50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Before the Trustee acts or refrains from acting, it may require an Officers’ Certificate or an Opinion of Counsel or both, which shall conform to </w:t>
      </w:r>
      <w:r>
        <w:rPr>
          <w:rFonts w:ascii="Times New Roman" w:cs="Times New Roman" w:eastAsia="Times New Roman" w:hAnsi="Times New Roman"/>
          <w:sz w:val="14"/>
          <w:szCs w:val="14"/>
          <w:u w:val="single" w:color="auto"/>
          <w:color w:val="auto"/>
        </w:rPr>
        <w:t>Sections 12.04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12.05</w:t>
      </w:r>
      <w:r>
        <w:rPr>
          <w:rFonts w:ascii="Times New Roman" w:cs="Times New Roman" w:eastAsia="Times New Roman" w:hAnsi="Times New Roman"/>
          <w:sz w:val="14"/>
          <w:szCs w:val="14"/>
          <w:color w:val="auto"/>
        </w:rPr>
        <w:t xml:space="preserve"> hereof and containing such other statements as the Trustee reasonably deems necessary to perform its duties hereunder. The Trustee shall not be liable for any action it takes or omits to take in good faith in reliance on the Officers’ Certificate, Opinion of Counsel or any other direction of the Company permitted hereunder.</w:t>
      </w:r>
    </w:p>
    <w:p>
      <w:pPr>
        <w:spacing w:after="0" w:line="139" w:lineRule="exact"/>
        <w:rPr>
          <w:rFonts w:ascii="Times New Roman" w:cs="Times New Roman" w:eastAsia="Times New Roman" w:hAnsi="Times New Roman"/>
          <w:sz w:val="14"/>
          <w:szCs w:val="14"/>
          <w:color w:val="auto"/>
        </w:rPr>
      </w:pPr>
    </w:p>
    <w:p>
      <w:pPr>
        <w:ind w:left="500" w:hanging="188"/>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act through agents and shall not be responsible for the misconduct or negligence of any agent appointed with due care.</w:t>
      </w:r>
    </w:p>
    <w:p>
      <w:pPr>
        <w:spacing w:after="0" w:line="169" w:lineRule="exact"/>
        <w:rPr>
          <w:rFonts w:ascii="Times New Roman" w:cs="Times New Roman" w:eastAsia="Times New Roman" w:hAnsi="Times New Roman"/>
          <w:sz w:val="14"/>
          <w:szCs w:val="14"/>
          <w:color w:val="auto"/>
        </w:rPr>
      </w:pPr>
    </w:p>
    <w:p>
      <w:pPr>
        <w:ind w:right="100" w:firstLine="312"/>
        <w:spacing w:after="0" w:line="272" w:lineRule="auto"/>
        <w:tabs>
          <w:tab w:leader="none" w:pos="50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suffered or omitted by it in good faith and believed by it to be authorized or within the discretion or rights or powers conferred upon it by this Indenture.</w:t>
      </w:r>
    </w:p>
    <w:p>
      <w:pPr>
        <w:spacing w:after="0" w:line="130" w:lineRule="exact"/>
        <w:rPr>
          <w:rFonts w:ascii="Times New Roman" w:cs="Times New Roman" w:eastAsia="Times New Roman" w:hAnsi="Times New Roman"/>
          <w:sz w:val="14"/>
          <w:szCs w:val="14"/>
          <w:color w:val="auto"/>
        </w:rPr>
      </w:pPr>
    </w:p>
    <w:p>
      <w:pPr>
        <w:ind w:right="280" w:firstLine="312"/>
        <w:spacing w:after="0" w:line="272" w:lineRule="auto"/>
        <w:tabs>
          <w:tab w:leader="none" w:pos="497"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00" w:top="1118" w:right="339" w:bottom="1440" w:gutter="0" w:footer="0" w:header="0"/>
        </w:sectPr>
      </w:pPr>
    </w:p>
    <w:bookmarkStart w:id="115" w:name="page116"/>
    <w:bookmarkEnd w:id="115"/>
    <w:p>
      <w:pPr>
        <w:ind w:left="480" w:hanging="168"/>
        <w:spacing w:after="0"/>
        <w:tabs>
          <w:tab w:leader="none" w:pos="4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specifically provided in the Indenture, any demand, request, direction or notice from the Company shall be sufficient if signed by an Officer of the Company.</w:t>
      </w:r>
    </w:p>
    <w:p>
      <w:pPr>
        <w:spacing w:after="0" w:line="169" w:lineRule="exact"/>
        <w:rPr>
          <w:rFonts w:ascii="Times New Roman" w:cs="Times New Roman" w:eastAsia="Times New Roman" w:hAnsi="Times New Roman"/>
          <w:sz w:val="14"/>
          <w:szCs w:val="14"/>
          <w:color w:val="auto"/>
        </w:rPr>
      </w:pPr>
    </w:p>
    <w:p>
      <w:pPr>
        <w:ind w:right="60" w:firstLine="312"/>
        <w:spacing w:after="0" w:line="272" w:lineRule="auto"/>
        <w:tabs>
          <w:tab w:leader="none" w:pos="50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all purposes under this Indenture, the Trustee shall not be deemed to have notice or knowledge of any Event of Default unless written notice of any Event of Default is received by the Trustee at its address specified in </w:t>
      </w:r>
      <w:r>
        <w:rPr>
          <w:rFonts w:ascii="Times New Roman" w:cs="Times New Roman" w:eastAsia="Times New Roman" w:hAnsi="Times New Roman"/>
          <w:sz w:val="14"/>
          <w:szCs w:val="14"/>
          <w:u w:val="single" w:color="auto"/>
          <w:color w:val="auto"/>
        </w:rPr>
        <w:t>Section 12.02</w:t>
      </w:r>
      <w:r>
        <w:rPr>
          <w:rFonts w:ascii="Times New Roman" w:cs="Times New Roman" w:eastAsia="Times New Roman" w:hAnsi="Times New Roman"/>
          <w:sz w:val="14"/>
          <w:szCs w:val="14"/>
          <w:color w:val="auto"/>
        </w:rPr>
        <w:t xml:space="preserve"> hereof and such notice references the Securities generally, the Company and this Indenture.</w:t>
      </w:r>
    </w:p>
    <w:p>
      <w:pPr>
        <w:spacing w:after="0" w:line="130" w:lineRule="exact"/>
        <w:rPr>
          <w:rFonts w:ascii="Times New Roman" w:cs="Times New Roman" w:eastAsia="Times New Roman" w:hAnsi="Times New Roman"/>
          <w:sz w:val="14"/>
          <w:szCs w:val="14"/>
          <w:color w:val="auto"/>
        </w:rPr>
      </w:pPr>
    </w:p>
    <w:p>
      <w:pPr>
        <w:ind w:right="20" w:firstLine="312"/>
        <w:spacing w:after="0" w:line="259" w:lineRule="auto"/>
        <w:tabs>
          <w:tab w:leader="none" w:pos="50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39" w:lineRule="exact"/>
        <w:rPr>
          <w:rFonts w:ascii="Times New Roman" w:cs="Times New Roman" w:eastAsia="Times New Roman" w:hAnsi="Times New Roman"/>
          <w:sz w:val="14"/>
          <w:szCs w:val="14"/>
          <w:color w:val="auto"/>
        </w:rPr>
      </w:pPr>
    </w:p>
    <w:p>
      <w:pPr>
        <w:ind w:right="20" w:firstLine="312"/>
        <w:spacing w:after="0" w:line="254" w:lineRule="auto"/>
        <w:tabs>
          <w:tab w:leader="none" w:pos="47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44" w:lineRule="exact"/>
        <w:rPr>
          <w:rFonts w:ascii="Times New Roman" w:cs="Times New Roman" w:eastAsia="Times New Roman" w:hAnsi="Times New Roman"/>
          <w:sz w:val="14"/>
          <w:szCs w:val="14"/>
          <w:color w:val="auto"/>
        </w:rPr>
      </w:pPr>
    </w:p>
    <w:p>
      <w:pPr>
        <w:ind w:right="420" w:firstLine="312"/>
        <w:spacing w:after="0" w:line="272" w:lineRule="auto"/>
        <w:tabs>
          <w:tab w:leader="none" w:pos="47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30" w:lineRule="exact"/>
        <w:rPr>
          <w:rFonts w:ascii="Times New Roman" w:cs="Times New Roman" w:eastAsia="Times New Roman" w:hAnsi="Times New Roman"/>
          <w:sz w:val="14"/>
          <w:szCs w:val="14"/>
          <w:color w:val="auto"/>
        </w:rPr>
      </w:pPr>
    </w:p>
    <w:p>
      <w:pPr>
        <w:ind w:right="100" w:firstLine="312"/>
        <w:spacing w:after="0" w:line="272" w:lineRule="auto"/>
        <w:tabs>
          <w:tab w:leader="none" w:pos="50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30" w:lineRule="exact"/>
        <w:rPr>
          <w:rFonts w:ascii="Times New Roman" w:cs="Times New Roman" w:eastAsia="Times New Roman" w:hAnsi="Times New Roman"/>
          <w:sz w:val="14"/>
          <w:szCs w:val="14"/>
          <w:color w:val="auto"/>
        </w:rPr>
      </w:pPr>
    </w:p>
    <w:p>
      <w:pPr>
        <w:ind w:right="400" w:firstLine="312"/>
        <w:spacing w:after="0" w:line="272" w:lineRule="auto"/>
        <w:tabs>
          <w:tab w:leader="none" w:pos="47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w:t>
      </w:r>
    </w:p>
    <w:p>
      <w:pPr>
        <w:spacing w:after="0" w:line="130" w:lineRule="exact"/>
        <w:rPr>
          <w:rFonts w:ascii="Times New Roman" w:cs="Times New Roman" w:eastAsia="Times New Roman" w:hAnsi="Times New Roman"/>
          <w:sz w:val="14"/>
          <w:szCs w:val="14"/>
          <w:color w:val="auto"/>
        </w:rPr>
      </w:pPr>
    </w:p>
    <w:p>
      <w:pPr>
        <w:jc w:val="both"/>
        <w:ind w:right="60" w:firstLine="312"/>
        <w:spacing w:after="0" w:line="254" w:lineRule="auto"/>
        <w:tabs>
          <w:tab w:leader="none" w:pos="543"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7.03 </w:t>
      </w:r>
      <w:r>
        <w:rPr>
          <w:rFonts w:ascii="Times New Roman" w:cs="Times New Roman" w:eastAsia="Times New Roman" w:hAnsi="Times New Roman"/>
          <w:sz w:val="14"/>
          <w:szCs w:val="14"/>
          <w:b w:val="1"/>
          <w:bCs w:val="1"/>
          <w:u w:val="single" w:color="auto"/>
          <w:color w:val="auto"/>
        </w:rPr>
        <w:t>Individual Rights of Trustee.</w:t>
      </w:r>
    </w:p>
    <w:p>
      <w:pPr>
        <w:spacing w:after="0" w:line="91" w:lineRule="exact"/>
        <w:rPr>
          <w:sz w:val="20"/>
          <w:szCs w:val="20"/>
          <w:color w:val="auto"/>
        </w:rPr>
      </w:pPr>
    </w:p>
    <w:p>
      <w:pPr>
        <w:ind w:right="200" w:firstLine="310"/>
        <w:spacing w:after="0" w:line="272" w:lineRule="auto"/>
        <w:rPr>
          <w:sz w:val="20"/>
          <w:szCs w:val="20"/>
          <w:color w:val="auto"/>
        </w:rPr>
      </w:pPr>
      <w:r>
        <w:rPr>
          <w:rFonts w:ascii="Times New Roman" w:cs="Times New Roman" w:eastAsia="Times New Roman" w:hAnsi="Times New Roman"/>
          <w:sz w:val="14"/>
          <w:szCs w:val="14"/>
          <w:color w:val="auto"/>
        </w:rPr>
        <w:t xml:space="preserve">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w:t>
      </w:r>
      <w:r>
        <w:rPr>
          <w:rFonts w:ascii="Times New Roman" w:cs="Times New Roman" w:eastAsia="Times New Roman" w:hAnsi="Times New Roman"/>
          <w:sz w:val="14"/>
          <w:szCs w:val="14"/>
          <w:u w:val="single" w:color="auto"/>
          <w:color w:val="auto"/>
        </w:rPr>
        <w:t>Sections 7.10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7.11</w:t>
      </w:r>
      <w:r>
        <w:rPr>
          <w:rFonts w:ascii="Times New Roman" w:cs="Times New Roman" w:eastAsia="Times New Roman" w:hAnsi="Times New Roman"/>
          <w:sz w:val="14"/>
          <w:szCs w:val="14"/>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7.04 </w:t>
      </w:r>
      <w:r>
        <w:rPr>
          <w:rFonts w:ascii="Times New Roman" w:cs="Times New Roman" w:eastAsia="Times New Roman" w:hAnsi="Times New Roman"/>
          <w:sz w:val="14"/>
          <w:szCs w:val="14"/>
          <w:b w:val="1"/>
          <w:bCs w:val="1"/>
          <w:u w:val="single" w:color="auto"/>
          <w:color w:val="auto"/>
        </w:rPr>
        <w:t>Trustee’s Disclaimer.</w:t>
      </w:r>
    </w:p>
    <w:p>
      <w:pPr>
        <w:spacing w:after="0" w:line="91"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the Securities or of any prospectus used to sell the Securities of any Series; it shall not be accountable for the Company’s use of the proceeds from the Securities;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118"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 xml:space="preserve">Section 7.05 </w:t>
      </w:r>
      <w:r>
        <w:rPr>
          <w:rFonts w:ascii="Times New Roman" w:cs="Times New Roman" w:eastAsia="Times New Roman" w:hAnsi="Times New Roman"/>
          <w:sz w:val="14"/>
          <w:szCs w:val="14"/>
          <w:b w:val="1"/>
          <w:bCs w:val="1"/>
          <w:u w:val="single" w:color="auto"/>
          <w:color w:val="auto"/>
        </w:rPr>
        <w:t>Notice of Defaults.</w:t>
      </w:r>
    </w:p>
    <w:p>
      <w:pPr>
        <w:spacing w:after="0" w:line="91" w:lineRule="exact"/>
        <w:rPr>
          <w:sz w:val="20"/>
          <w:szCs w:val="20"/>
          <w:color w:val="auto"/>
        </w:rPr>
      </w:pPr>
    </w:p>
    <w:p>
      <w:pPr>
        <w:ind w:right="40" w:firstLine="310"/>
        <w:spacing w:after="0" w:line="254" w:lineRule="auto"/>
        <w:rPr>
          <w:sz w:val="20"/>
          <w:szCs w:val="20"/>
          <w:color w:val="auto"/>
        </w:rPr>
      </w:pPr>
      <w:r>
        <w:rPr>
          <w:rFonts w:ascii="Times New Roman" w:cs="Times New Roman" w:eastAsia="Times New Roman" w:hAnsi="Times New Roman"/>
          <w:sz w:val="14"/>
          <w:szCs w:val="14"/>
          <w:color w:val="auto"/>
        </w:rPr>
        <w:t>If a Default on a Series occurs and is continuing and if it is known to the Trustee, the Trustee shall deliver to each Securityholder of the Series notice of the Default (which shall specify any uncured Default known to it) within 90 days after the Trustee obtains such knowledge. Except in the case of a default in payment of principal of or interest on a Series, the Trustee may withhold the notice if and so long as the board of directors of the Trustee, the executive or any trust committee of such directors and/or responsible officers of the Trustee in good faith determine(s) that withholding the notice is in the interests of Holders of the Series.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7.06 </w:t>
      </w:r>
      <w:r>
        <w:rPr>
          <w:rFonts w:ascii="Times New Roman" w:cs="Times New Roman" w:eastAsia="Times New Roman" w:hAnsi="Times New Roman"/>
          <w:sz w:val="14"/>
          <w:szCs w:val="14"/>
          <w:b w:val="1"/>
          <w:bCs w:val="1"/>
          <w:u w:val="single" w:color="auto"/>
          <w:color w:val="auto"/>
        </w:rPr>
        <w:t>Reports by Trustee to Holders.</w:t>
      </w:r>
    </w:p>
    <w:p>
      <w:pPr>
        <w:spacing w:after="0" w:line="91" w:lineRule="exact"/>
        <w:rPr>
          <w:sz w:val="20"/>
          <w:szCs w:val="20"/>
          <w:color w:val="auto"/>
        </w:rPr>
      </w:pPr>
    </w:p>
    <w:p>
      <w:pPr>
        <w:ind w:firstLine="310"/>
        <w:spacing w:after="0" w:line="259" w:lineRule="auto"/>
        <w:rPr>
          <w:sz w:val="20"/>
          <w:szCs w:val="20"/>
          <w:color w:val="auto"/>
        </w:rPr>
      </w:pPr>
      <w:r>
        <w:rPr>
          <w:rFonts w:ascii="Times New Roman" w:cs="Times New Roman" w:eastAsia="Times New Roman" w:hAnsi="Times New Roman"/>
          <w:sz w:val="14"/>
          <w:szCs w:val="14"/>
          <w:color w:val="auto"/>
        </w:rPr>
        <w:t>Within 60 days after each May 15 beginning with the May 15 following the date of this Base Indenture, the Trustee shall mail to each Securityholder a brief report dated as of such May 15 that complies with TIA § 313(a) (but if no event described in TIA § 313(1) through (8) has occurred within the twelve months preceding the reporting date no report in relation thereto need be transmitted). The Trustee also shall comply with TIA § 313(b).</w:t>
      </w:r>
    </w:p>
    <w:p>
      <w:pPr>
        <w:spacing w:after="0" w:line="139" w:lineRule="exact"/>
        <w:rPr>
          <w:sz w:val="20"/>
          <w:szCs w:val="20"/>
          <w:color w:val="auto"/>
        </w:rPr>
      </w:pPr>
    </w:p>
    <w:p>
      <w:pPr>
        <w:ind w:right="480" w:firstLine="310"/>
        <w:spacing w:after="0" w:line="272" w:lineRule="auto"/>
        <w:rPr>
          <w:sz w:val="20"/>
          <w:szCs w:val="20"/>
          <w:color w:val="auto"/>
        </w:rPr>
      </w:pPr>
      <w:r>
        <w:rPr>
          <w:rFonts w:ascii="Times New Roman" w:cs="Times New Roman" w:eastAsia="Times New Roman" w:hAnsi="Times New Roman"/>
          <w:sz w:val="14"/>
          <w:szCs w:val="14"/>
          <w:color w:val="auto"/>
        </w:rPr>
        <w:t>A copy of each report at the time of its mailing to Securityholders shall be delivered to the Company and filed by the Trustee with the SEC and each national securities exchange on which the Securities are listed. The Company agrees to notify the Trustee of each national securities exchange on which the Securities are listed.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7.07 </w:t>
      </w:r>
      <w:r>
        <w:rPr>
          <w:rFonts w:ascii="Times New Roman" w:cs="Times New Roman" w:eastAsia="Times New Roman" w:hAnsi="Times New Roman"/>
          <w:sz w:val="14"/>
          <w:szCs w:val="14"/>
          <w:b w:val="1"/>
          <w:bCs w:val="1"/>
          <w:u w:val="single" w:color="auto"/>
          <w:color w:val="auto"/>
        </w:rPr>
        <w:t>Compensation and Indemnity.</w:t>
      </w:r>
    </w:p>
    <w:p>
      <w:pPr>
        <w:spacing w:after="0" w:line="91" w:lineRule="exact"/>
        <w:rPr>
          <w:sz w:val="20"/>
          <w:szCs w:val="20"/>
          <w:color w:val="auto"/>
        </w:rPr>
      </w:pPr>
    </w:p>
    <w:p>
      <w:pPr>
        <w:ind w:right="60" w:firstLine="310"/>
        <w:spacing w:after="0" w:line="250" w:lineRule="auto"/>
        <w:rPr>
          <w:sz w:val="20"/>
          <w:szCs w:val="20"/>
          <w:color w:val="auto"/>
        </w:rPr>
      </w:pPr>
      <w:r>
        <w:rPr>
          <w:rFonts w:ascii="Times New Roman" w:cs="Times New Roman" w:eastAsia="Times New Roman" w:hAnsi="Times New Roman"/>
          <w:sz w:val="14"/>
          <w:szCs w:val="14"/>
          <w:color w:val="auto"/>
        </w:rPr>
        <w:t>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or expense incurred or made by or on behalf of it in connection with the administration of this Indenture or the trust hereunder and its duties hereunder including the costs and expenses of defending itself against or investigating any claim in the premises. The Trustee shall notify the Company promptly of any claim of which it has received written notice and for which it may seek indemnity. The Company need not reimburse any expense or indemnify against any loss or liability incurred by the Trustee through the Trustee’s, or its officers’, directors’, or employees’ negligence or willful misconduct.</w:t>
      </w:r>
    </w:p>
    <w:p>
      <w:pPr>
        <w:spacing w:after="0" w:line="147" w:lineRule="exact"/>
        <w:rPr>
          <w:sz w:val="20"/>
          <w:szCs w:val="20"/>
          <w:color w:val="auto"/>
        </w:rPr>
      </w:pPr>
    </w:p>
    <w:p>
      <w:pPr>
        <w:ind w:right="20" w:firstLine="310"/>
        <w:spacing w:after="0" w:line="252" w:lineRule="auto"/>
        <w:rPr>
          <w:sz w:val="20"/>
          <w:szCs w:val="20"/>
          <w:color w:val="auto"/>
        </w:rPr>
      </w:pPr>
      <w:r>
        <w:rPr>
          <w:rFonts w:ascii="Times New Roman" w:cs="Times New Roman" w:eastAsia="Times New Roman" w:hAnsi="Times New Roman"/>
          <w:sz w:val="14"/>
          <w:szCs w:val="14"/>
          <w:color w:val="auto"/>
        </w:rPr>
        <w:t xml:space="preserve">Unless otherwise provided in any supplemental indenture or Authorizing Resolution relating to any Series, to ensure the Company’s payment obligations in this Section, the Trustee shall have a claim prior to the Securities of all Series on all money or Property held or collected by the Trustee, except that held in trust to pay principal of or interest on particular Securities. When the Trustee incurs expenses or renders services in connection with an Event of Default specified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or in connection with </w:t>
      </w:r>
      <w:r>
        <w:rPr>
          <w:rFonts w:ascii="Times New Roman" w:cs="Times New Roman" w:eastAsia="Times New Roman" w:hAnsi="Times New Roman"/>
          <w:sz w:val="14"/>
          <w:szCs w:val="14"/>
          <w:u w:val="single" w:color="auto"/>
          <w:color w:val="auto"/>
        </w:rPr>
        <w:t>Article Six</w:t>
      </w:r>
      <w:r>
        <w:rPr>
          <w:rFonts w:ascii="Times New Roman" w:cs="Times New Roman" w:eastAsia="Times New Roman" w:hAnsi="Times New Roman"/>
          <w:sz w:val="14"/>
          <w:szCs w:val="14"/>
          <w:color w:val="auto"/>
        </w:rPr>
        <w:t xml:space="preserve"> hereof, the expenses (including the reasonable fees and expenses of its counsel) and the compensation for services in connection therewith are to constitute expenses of administration under any Bankruptcy Law. Section 7.07 shall survive the discharge of the Indenture or resignation of Trustee.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7.08 </w:t>
      </w:r>
      <w:r>
        <w:rPr>
          <w:rFonts w:ascii="Times New Roman" w:cs="Times New Roman" w:eastAsia="Times New Roman" w:hAnsi="Times New Roman"/>
          <w:sz w:val="14"/>
          <w:szCs w:val="14"/>
          <w:b w:val="1"/>
          <w:bCs w:val="1"/>
          <w:u w:val="single" w:color="auto"/>
          <w:color w:val="auto"/>
        </w:rPr>
        <w:t>Replacement of Trustee.</w:t>
      </w:r>
    </w:p>
    <w:p>
      <w:pPr>
        <w:spacing w:after="0" w:line="91" w:lineRule="exact"/>
        <w:rPr>
          <w:sz w:val="20"/>
          <w:szCs w:val="20"/>
          <w:color w:val="auto"/>
        </w:rPr>
      </w:pPr>
    </w:p>
    <w:p>
      <w:pPr>
        <w:ind w:right="100" w:firstLine="310"/>
        <w:spacing w:after="0" w:line="254" w:lineRule="auto"/>
        <w:rPr>
          <w:sz w:val="20"/>
          <w:szCs w:val="20"/>
          <w:color w:val="auto"/>
        </w:rPr>
      </w:pPr>
      <w:r>
        <w:rPr>
          <w:rFonts w:ascii="Times New Roman" w:cs="Times New Roman" w:eastAsia="Times New Roman" w:hAnsi="Times New Roman"/>
          <w:sz w:val="14"/>
          <w:szCs w:val="14"/>
          <w:color w:val="auto"/>
        </w:rPr>
        <w:t>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any Securityholder may 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114"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color w:val="auto"/>
        </w:rPr>
        <w:t>any court of competent jurisdiction for the removal of the Trustee and the appointment of a successor trustee for any or no reason, including if:</w:t>
      </w:r>
    </w:p>
    <w:p>
      <w:pPr>
        <w:spacing w:after="0" w:line="18" w:lineRule="exact"/>
        <w:rPr>
          <w:sz w:val="20"/>
          <w:szCs w:val="20"/>
          <w:color w:val="auto"/>
        </w:rPr>
      </w:pPr>
    </w:p>
    <w:p>
      <w:pPr>
        <w:ind w:left="480" w:hanging="292"/>
        <w:spacing w:after="0"/>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fails to comply with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xml:space="preserve"> after written request by the Company or any bona fide Securityholder who has been a Securityholder for at least six months;</w:t>
      </w:r>
    </w:p>
    <w:p>
      <w:pPr>
        <w:spacing w:after="0" w:line="4" w:lineRule="exact"/>
        <w:rPr>
          <w:rFonts w:ascii="Times New Roman" w:cs="Times New Roman" w:eastAsia="Times New Roman" w:hAnsi="Times New Roman"/>
          <w:sz w:val="14"/>
          <w:szCs w:val="14"/>
          <w:color w:val="auto"/>
        </w:rPr>
      </w:pPr>
    </w:p>
    <w:p>
      <w:pPr>
        <w:ind w:left="480" w:hanging="292"/>
        <w:spacing w:after="0"/>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a bankrupt or an insolvent;</w:t>
      </w:r>
    </w:p>
    <w:p>
      <w:pPr>
        <w:spacing w:after="0" w:line="4" w:lineRule="exact"/>
        <w:rPr>
          <w:rFonts w:ascii="Times New Roman" w:cs="Times New Roman" w:eastAsia="Times New Roman" w:hAnsi="Times New Roman"/>
          <w:sz w:val="14"/>
          <w:szCs w:val="14"/>
          <w:color w:val="auto"/>
        </w:rPr>
      </w:pPr>
    </w:p>
    <w:p>
      <w:pPr>
        <w:ind w:left="480" w:hanging="292"/>
        <w:spacing w:after="0"/>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receiver or other public officer takes charge of the Trustee or its Property; or</w:t>
      </w:r>
    </w:p>
    <w:p>
      <w:pPr>
        <w:spacing w:after="0" w:line="4" w:lineRule="exact"/>
        <w:rPr>
          <w:rFonts w:ascii="Times New Roman" w:cs="Times New Roman" w:eastAsia="Times New Roman" w:hAnsi="Times New Roman"/>
          <w:sz w:val="14"/>
          <w:szCs w:val="14"/>
          <w:color w:val="auto"/>
        </w:rPr>
      </w:pPr>
    </w:p>
    <w:p>
      <w:pPr>
        <w:ind w:left="480" w:hanging="292"/>
        <w:spacing w:after="0"/>
        <w:tabs>
          <w:tab w:leader="none" w:pos="4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156" w:lineRule="exact"/>
        <w:rPr>
          <w:sz w:val="20"/>
          <w:szCs w:val="20"/>
          <w:color w:val="auto"/>
        </w:rPr>
      </w:pPr>
    </w:p>
    <w:p>
      <w:pPr>
        <w:ind w:firstLine="310"/>
        <w:spacing w:after="0" w:line="259"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w:t>
      </w:r>
    </w:p>
    <w:p>
      <w:pPr>
        <w:spacing w:after="0" w:line="139" w:lineRule="exact"/>
        <w:rPr>
          <w:sz w:val="20"/>
          <w:szCs w:val="20"/>
          <w:color w:val="auto"/>
        </w:rPr>
      </w:pPr>
    </w:p>
    <w:p>
      <w:pPr>
        <w:jc w:val="both"/>
        <w:ind w:right="320" w:firstLine="310"/>
        <w:spacing w:after="0" w:line="259" w:lineRule="auto"/>
        <w:rPr>
          <w:sz w:val="20"/>
          <w:szCs w:val="20"/>
          <w:color w:val="auto"/>
        </w:rPr>
      </w:pPr>
      <w:r>
        <w:rPr>
          <w:rFonts w:ascii="Times New Roman" w:cs="Times New Roman" w:eastAsia="Times New Roman" w:hAnsi="Times New Roman"/>
          <w:sz w:val="14"/>
          <w:szCs w:val="14"/>
          <w:color w:val="auto"/>
        </w:rPr>
        <w:t>A successor trustee shall deliver a written acceptance of its appointment to the retiring Trustee and to the Company. Immediately after that, the retiring Trustee shall, upon payment of its charges hereunder,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Securityholder.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7.09 </w:t>
      </w:r>
      <w:r>
        <w:rPr>
          <w:rFonts w:ascii="Times New Roman" w:cs="Times New Roman" w:eastAsia="Times New Roman" w:hAnsi="Times New Roman"/>
          <w:sz w:val="14"/>
          <w:szCs w:val="14"/>
          <w:b w:val="1"/>
          <w:bCs w:val="1"/>
          <w:u w:val="single" w:color="auto"/>
          <w:color w:val="auto"/>
        </w:rPr>
        <w:t>Successor Trustee by Merger, etc.</w:t>
      </w:r>
    </w:p>
    <w:p>
      <w:pPr>
        <w:spacing w:after="0" w:line="91" w:lineRule="exact"/>
        <w:rPr>
          <w:sz w:val="20"/>
          <w:szCs w:val="20"/>
          <w:color w:val="auto"/>
        </w:rPr>
      </w:pPr>
    </w:p>
    <w:p>
      <w:pPr>
        <w:ind w:right="200" w:firstLine="310"/>
        <w:spacing w:after="0" w:line="272" w:lineRule="auto"/>
        <w:rPr>
          <w:sz w:val="20"/>
          <w:szCs w:val="20"/>
          <w:color w:val="auto"/>
        </w:rPr>
      </w:pPr>
      <w:r>
        <w:rPr>
          <w:rFonts w:ascii="Times New Roman" w:cs="Times New Roman" w:eastAsia="Times New Roman" w:hAnsi="Times New Roman"/>
          <w:sz w:val="14"/>
          <w:szCs w:val="14"/>
          <w:color w:val="auto"/>
        </w:rPr>
        <w:t>If the Trustee consolidates with, merges with or into or converts into, or transfers all or substantially all of its corporate trust business to, another corporation, the successor corporation without any further act shall be the successor trustee.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7.10 </w:t>
      </w:r>
      <w:r>
        <w:rPr>
          <w:rFonts w:ascii="Times New Roman" w:cs="Times New Roman" w:eastAsia="Times New Roman" w:hAnsi="Times New Roman"/>
          <w:sz w:val="14"/>
          <w:szCs w:val="14"/>
          <w:b w:val="1"/>
          <w:bCs w:val="1"/>
          <w:u w:val="single" w:color="auto"/>
          <w:color w:val="auto"/>
        </w:rPr>
        <w:t>Eligibility; Disqualification.</w:t>
      </w:r>
    </w:p>
    <w:p>
      <w:pPr>
        <w:spacing w:after="0" w:line="91" w:lineRule="exact"/>
        <w:rPr>
          <w:sz w:val="20"/>
          <w:szCs w:val="20"/>
          <w:color w:val="auto"/>
        </w:rPr>
      </w:pPr>
    </w:p>
    <w:p>
      <w:pPr>
        <w:ind w:right="260" w:firstLine="310"/>
        <w:spacing w:after="0" w:line="272"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The Trustee shall have a combined capital and surplus of at least $10,000,000 as set forth in its most recent published annual report of condition. The Trustee shall comply with TIA § 310(b).</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7.11 </w:t>
      </w:r>
      <w:r>
        <w:rPr>
          <w:rFonts w:ascii="Times New Roman" w:cs="Times New Roman" w:eastAsia="Times New Roman" w:hAnsi="Times New Roman"/>
          <w:sz w:val="14"/>
          <w:szCs w:val="14"/>
          <w:b w:val="1"/>
          <w:bCs w:val="1"/>
          <w:u w:val="single" w:color="auto"/>
          <w:color w:val="auto"/>
        </w:rPr>
        <w:t>Preferential Collection of Claims Against Company.</w:t>
      </w:r>
    </w:p>
    <w:p>
      <w:pPr>
        <w:spacing w:after="0" w:line="91" w:lineRule="exact"/>
        <w:rPr>
          <w:sz w:val="20"/>
          <w:szCs w:val="20"/>
          <w:color w:val="auto"/>
        </w:rPr>
      </w:pPr>
    </w:p>
    <w:p>
      <w:pPr>
        <w:ind w:right="260" w:firstLine="310"/>
        <w:spacing w:after="0" w:line="272" w:lineRule="auto"/>
        <w:rPr>
          <w:sz w:val="20"/>
          <w:szCs w:val="20"/>
          <w:color w:val="auto"/>
        </w:rPr>
      </w:pPr>
      <w:r>
        <w:rPr>
          <w:rFonts w:ascii="Times New Roman" w:cs="Times New Roman" w:eastAsia="Times New Roman" w:hAnsi="Times New Roman"/>
          <w:sz w:val="14"/>
          <w:szCs w:val="14"/>
          <w:color w:val="auto"/>
        </w:rPr>
        <w:t>The Trustee shall comply with TIA § 311(a), excluding any creditor relationship listed in TIA § 311(b). A Trustee who has resigned or been removed shall be subject to TIA § 311(a) to the extent indicated therein.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EIGHT</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DISCHARGE OF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8.01 </w:t>
      </w:r>
      <w:r>
        <w:rPr>
          <w:rFonts w:ascii="Times New Roman" w:cs="Times New Roman" w:eastAsia="Times New Roman" w:hAnsi="Times New Roman"/>
          <w:sz w:val="14"/>
          <w:szCs w:val="14"/>
          <w:b w:val="1"/>
          <w:bCs w:val="1"/>
          <w:u w:val="single" w:color="auto"/>
          <w:color w:val="auto"/>
        </w:rPr>
        <w:t>Defeasance upon Deposit of Moneys or Government Obligations.</w:t>
      </w:r>
    </w:p>
    <w:p>
      <w:pPr>
        <w:spacing w:after="0" w:line="91" w:lineRule="exact"/>
        <w:rPr>
          <w:sz w:val="20"/>
          <w:szCs w:val="20"/>
          <w:color w:val="auto"/>
        </w:rPr>
      </w:pPr>
    </w:p>
    <w:p>
      <w:pPr>
        <w:ind w:right="540" w:firstLine="312"/>
        <w:spacing w:after="0" w:line="272" w:lineRule="auto"/>
        <w:tabs>
          <w:tab w:leader="none" w:pos="49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at its option and at any time, elect to have either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below be applied to the outstanding Securities of any Series upon compliance with the applicable conditions set forth in </w:t>
      </w:r>
      <w:r>
        <w:rPr>
          <w:rFonts w:ascii="Times New Roman" w:cs="Times New Roman" w:eastAsia="Times New Roman" w:hAnsi="Times New Roman"/>
          <w:sz w:val="14"/>
          <w:szCs w:val="14"/>
          <w:u w:val="single" w:color="auto"/>
          <w:color w:val="auto"/>
        </w:rPr>
        <w:t>paragraph (d)</w:t>
      </w:r>
      <w:r>
        <w:rPr>
          <w:rFonts w:ascii="Times New Roman" w:cs="Times New Roman" w:eastAsia="Times New Roman" w:hAnsi="Times New Roman"/>
          <w:sz w:val="14"/>
          <w:szCs w:val="14"/>
          <w:color w:val="auto"/>
        </w:rPr>
        <w:t>.</w:t>
      </w:r>
    </w:p>
    <w:p>
      <w:pPr>
        <w:spacing w:after="0" w:line="130" w:lineRule="exact"/>
        <w:rPr>
          <w:rFonts w:ascii="Times New Roman" w:cs="Times New Roman" w:eastAsia="Times New Roman" w:hAnsi="Times New Roman"/>
          <w:sz w:val="14"/>
          <w:szCs w:val="14"/>
          <w:color w:val="auto"/>
        </w:rPr>
      </w:pPr>
    </w:p>
    <w:p>
      <w:pPr>
        <w:ind w:right="20" w:firstLine="312"/>
        <w:spacing w:after="0" w:line="254" w:lineRule="auto"/>
        <w:tabs>
          <w:tab w:leader="none" w:pos="504"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Company’s exercise under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the option applicable to this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with respect to any Series, the Company shall be deemed to have been released and discharged from its obligations with respect to the outstanding Securities of the Series on the date the applicable conditions set forth below are satisfied (hereinafter, “</w:t>
      </w:r>
      <w:r>
        <w:rPr>
          <w:rFonts w:ascii="Times New Roman" w:cs="Times New Roman" w:eastAsia="Times New Roman" w:hAnsi="Times New Roman"/>
          <w:sz w:val="14"/>
          <w:szCs w:val="14"/>
          <w:b w:val="1"/>
          <w:bCs w:val="1"/>
          <w:color w:val="auto"/>
        </w:rPr>
        <w:t>Legal Defeasance</w:t>
      </w:r>
      <w:r>
        <w:rPr>
          <w:rFonts w:ascii="Times New Roman" w:cs="Times New Roman" w:eastAsia="Times New Roman" w:hAnsi="Times New Roman"/>
          <w:sz w:val="14"/>
          <w:szCs w:val="14"/>
          <w:color w:val="auto"/>
        </w:rPr>
        <w:t>”). For this purpose, such Legal Defeasance means that the Company shall be deemed to have paid and discharged the entire indebtedness represented by the outstanding Securities of a Series, which shall thereafter be deemed to be “outstanding” only for the purposes of the Sections and matters under this Indenture referred to in (i) and (ii) below, and the Company shall be deemed to have satisfied all its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118" w:right="319" w:bottom="1440" w:gutter="0" w:footer="0" w:header="0"/>
        </w:sectPr>
      </w:pPr>
    </w:p>
    <w:bookmarkStart w:id="118" w:name="page119"/>
    <w:bookmarkEnd w:id="118"/>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 xml:space="preserve">under such Securities and this Indenture insofar as such Securities are concerned, except for the following which shall survive until otherwise terminated or discharged hereunder: (i) the rights of Holders of outstanding Securities of a Series to receive solely from the trust fund described in </w:t>
      </w:r>
      <w:r>
        <w:rPr>
          <w:rFonts w:ascii="Times New Roman" w:cs="Times New Roman" w:eastAsia="Times New Roman" w:hAnsi="Times New Roman"/>
          <w:sz w:val="14"/>
          <w:szCs w:val="14"/>
          <w:u w:val="single" w:color="auto"/>
          <w:color w:val="auto"/>
        </w:rPr>
        <w:t>paragraph (d)</w:t>
      </w:r>
      <w:r>
        <w:rPr>
          <w:rFonts w:ascii="Times New Roman" w:cs="Times New Roman" w:eastAsia="Times New Roman" w:hAnsi="Times New Roman"/>
          <w:sz w:val="14"/>
          <w:szCs w:val="14"/>
          <w:color w:val="auto"/>
        </w:rPr>
        <w:t xml:space="preserve"> below and as more fully set forth in such paragraph, payments in respect of the principal of and interest on such Securities when such payments are due and (ii) obligations listed in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subject to compliance with this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The Company may exercise its option under this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with respect to a Series notwithstanding the prior exercise of its option under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below with respect to the Securities of the Series.</w:t>
      </w:r>
    </w:p>
    <w:p>
      <w:pPr>
        <w:spacing w:after="0" w:line="144" w:lineRule="exact"/>
        <w:rPr>
          <w:sz w:val="20"/>
          <w:szCs w:val="20"/>
          <w:color w:val="auto"/>
        </w:rPr>
      </w:pPr>
    </w:p>
    <w:p>
      <w:pPr>
        <w:ind w:right="40" w:firstLine="312"/>
        <w:spacing w:after="0" w:line="249" w:lineRule="auto"/>
        <w:tabs>
          <w:tab w:leader="none" w:pos="49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Company’s exercise under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the option applicable to this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with respect to a Series, the Company shall be released and discharged from the obligations under any covenant contained in </w:t>
      </w:r>
      <w:r>
        <w:rPr>
          <w:rFonts w:ascii="Times New Roman" w:cs="Times New Roman" w:eastAsia="Times New Roman" w:hAnsi="Times New Roman"/>
          <w:sz w:val="14"/>
          <w:szCs w:val="14"/>
          <w:u w:val="single" w:color="auto"/>
          <w:color w:val="auto"/>
        </w:rPr>
        <w:t>Article Five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4.03</w:t>
      </w:r>
      <w:r>
        <w:rPr>
          <w:rFonts w:ascii="Times New Roman" w:cs="Times New Roman" w:eastAsia="Times New Roman" w:hAnsi="Times New Roman"/>
          <w:sz w:val="14"/>
          <w:szCs w:val="14"/>
          <w:color w:val="auto"/>
        </w:rPr>
        <w:t xml:space="preserve"> and any other covenant contained in or referenced in the Authorizing Resolution or supplemental indenture relating to such Series (to the extent such release and discharge shall not be prohibited thereby), on and after the date the conditions set forth below are satisfied (hereinafter, “</w:t>
      </w:r>
      <w:r>
        <w:rPr>
          <w:rFonts w:ascii="Times New Roman" w:cs="Times New Roman" w:eastAsia="Times New Roman" w:hAnsi="Times New Roman"/>
          <w:sz w:val="14"/>
          <w:szCs w:val="14"/>
          <w:b w:val="1"/>
          <w:bCs w:val="1"/>
          <w:color w:val="auto"/>
        </w:rPr>
        <w:t>Covenant Defeasance</w:t>
      </w:r>
      <w:r>
        <w:rPr>
          <w:rFonts w:ascii="Times New Roman" w:cs="Times New Roman" w:eastAsia="Times New Roman" w:hAnsi="Times New Roman"/>
          <w:sz w:val="14"/>
          <w:szCs w:val="14"/>
          <w:color w:val="auto"/>
        </w:rPr>
        <w:t>”),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a Series, the Company may omit to comply with and shall have no liability in respect of any term, condition or limitation set forth in the</w:t>
      </w:r>
    </w:p>
    <w:p>
      <w:pPr>
        <w:spacing w:after="0" w:line="2" w:lineRule="exact"/>
        <w:rPr>
          <w:rFonts w:ascii="Times New Roman" w:cs="Times New Roman" w:eastAsia="Times New Roman" w:hAnsi="Times New Roman"/>
          <w:sz w:val="14"/>
          <w:szCs w:val="14"/>
          <w:color w:val="auto"/>
        </w:rPr>
      </w:pPr>
    </w:p>
    <w:p>
      <w:pPr>
        <w:jc w:val="both"/>
        <w:ind w:right="160"/>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covenants described in the preceding sentence,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cs="Times New Roman" w:eastAsia="Times New Roman" w:hAnsi="Times New Roman"/>
          <w:sz w:val="14"/>
          <w:szCs w:val="14"/>
          <w:u w:val="single" w:color="auto"/>
          <w:color w:val="auto"/>
        </w:rPr>
        <w:t>Section 6.01(3)</w:t>
      </w:r>
      <w:r>
        <w:rPr>
          <w:rFonts w:ascii="Times New Roman" w:cs="Times New Roman" w:eastAsia="Times New Roman" w:hAnsi="Times New Roman"/>
          <w:sz w:val="14"/>
          <w:szCs w:val="14"/>
          <w:color w:val="auto"/>
        </w:rPr>
        <w:t xml:space="preserve"> or otherwise, but, except as specified above, the remainder of this Indenture and such Securities shall be unaffected thereby.</w:t>
      </w:r>
    </w:p>
    <w:p>
      <w:pPr>
        <w:spacing w:after="0" w:line="146" w:lineRule="exact"/>
        <w:rPr>
          <w:rFonts w:ascii="Times New Roman" w:cs="Times New Roman" w:eastAsia="Times New Roman" w:hAnsi="Times New Roman"/>
          <w:sz w:val="14"/>
          <w:szCs w:val="14"/>
          <w:color w:val="auto"/>
        </w:rPr>
      </w:pPr>
    </w:p>
    <w:p>
      <w:pPr>
        <w:ind w:left="500" w:hanging="188"/>
        <w:spacing w:after="0"/>
        <w:tabs>
          <w:tab w:leader="none" w:pos="5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shall be the conditions to application of either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above to the outstanding Securities of the applicable Series:</w:t>
      </w:r>
    </w:p>
    <w:p>
      <w:pPr>
        <w:spacing w:after="0" w:line="169" w:lineRule="exact"/>
        <w:rPr>
          <w:rFonts w:ascii="Times New Roman" w:cs="Times New Roman" w:eastAsia="Times New Roman" w:hAnsi="Times New Roman"/>
          <w:sz w:val="14"/>
          <w:szCs w:val="14"/>
          <w:color w:val="auto"/>
        </w:rPr>
      </w:pPr>
    </w:p>
    <w:p>
      <w:pPr>
        <w:ind w:right="40" w:firstLine="746"/>
        <w:spacing w:after="0" w:line="252" w:lineRule="auto"/>
        <w:tabs>
          <w:tab w:leader="none" w:pos="93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irrevocably deposited in trust with the Trustee (or another qualifying trustee), pursuant to an irrevocable trust and security agreement in form and substance reasonably satisfactory to the Trustee, money in the currency in which the Securities of such Series are payable or Government Obligations or a combination thereof in such amounts and at such times as are sufficient, in the opinion of a nationally recognized firm of independent public accountants, to pay the principal of and interest on the outstanding Securities of such Series to maturity or redemption; </w:t>
      </w: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Trustee (or other qualifying trustee) shall have received an irrevocable written order from the Company instructing the Trustee (or other qualifying trustee) to apply such money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the proceeds of such Government Obligations to said payments with respect to the Securities of such Series to maturity or redemption;</w:t>
      </w:r>
    </w:p>
    <w:p>
      <w:pPr>
        <w:spacing w:after="0" w:line="145" w:lineRule="exact"/>
        <w:rPr>
          <w:rFonts w:ascii="Times New Roman" w:cs="Times New Roman" w:eastAsia="Times New Roman" w:hAnsi="Times New Roman"/>
          <w:sz w:val="14"/>
          <w:szCs w:val="14"/>
          <w:color w:val="auto"/>
        </w:rPr>
      </w:pPr>
    </w:p>
    <w:p>
      <w:pPr>
        <w:ind w:firstLine="746"/>
        <w:spacing w:after="0" w:line="272" w:lineRule="auto"/>
        <w:tabs>
          <w:tab w:leader="none" w:pos="93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Default or Event of Default (other than a Default or Event of Default resulting from non-compliance with any covenant from which the Company is released upon effectiveness of such Legal Defeasance or Covenant Defeasance pursuant to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hereof, as applicable) shall have occurred and be continuing on the date of such deposit or result therefrom;</w:t>
      </w:r>
    </w:p>
    <w:p>
      <w:pPr>
        <w:spacing w:after="0" w:line="130" w:lineRule="exact"/>
        <w:rPr>
          <w:rFonts w:ascii="Times New Roman" w:cs="Times New Roman" w:eastAsia="Times New Roman" w:hAnsi="Times New Roman"/>
          <w:sz w:val="14"/>
          <w:szCs w:val="14"/>
          <w:color w:val="auto"/>
        </w:rPr>
      </w:pPr>
    </w:p>
    <w:p>
      <w:pPr>
        <w:ind w:right="60" w:firstLine="746"/>
        <w:spacing w:after="0" w:line="250" w:lineRule="auto"/>
        <w:tabs>
          <w:tab w:leader="none" w:pos="93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 the event the Company elects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hereof, the Company shall deliver to the Trustee an Opinion of Counsel in the United States, in form and substance reasonably satisfactory to the Trustee, to the effect that (A) the Company has received from, or there has been published by, the Internal Revenue Service a ruling or (B) since the Issue Date pertaining to such Series, there has been a change in the applicable federal income tax law, in either case to the effect that, and based thereon such Opinion of Counsel shall state that, or (ii) in the event the Company elects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hereof, the Company shall deliver to the Trustee an Opinion of Counsel in the United States, in form and substance reasonably satisfactory to the Trustee, to the effect that, in the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300" w:top="1118" w:right="339" w:bottom="1440" w:gutter="0" w:footer="0" w:header="0"/>
        </w:sectPr>
      </w:pPr>
    </w:p>
    <w:bookmarkStart w:id="119" w:name="page120"/>
    <w:bookmarkEnd w:id="119"/>
    <w:p>
      <w:pPr>
        <w:ind w:right="120" w:firstLine="746"/>
        <w:spacing w:after="0" w:line="272" w:lineRule="auto"/>
        <w:tabs>
          <w:tab w:leader="none" w:pos="938"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delivered to the Trustee an Officers’ Certificate, stating that the deposit under </w:t>
      </w:r>
      <w:r>
        <w:rPr>
          <w:rFonts w:ascii="Times New Roman" w:cs="Times New Roman" w:eastAsia="Times New Roman" w:hAnsi="Times New Roman"/>
          <w:sz w:val="14"/>
          <w:szCs w:val="14"/>
          <w:u w:val="single" w:color="auto"/>
          <w:color w:val="auto"/>
        </w:rPr>
        <w:t>clause (1)</w:t>
      </w:r>
      <w:r>
        <w:rPr>
          <w:rFonts w:ascii="Times New Roman" w:cs="Times New Roman" w:eastAsia="Times New Roman" w:hAnsi="Times New Roman"/>
          <w:sz w:val="14"/>
          <w:szCs w:val="14"/>
          <w:color w:val="auto"/>
        </w:rPr>
        <w:t xml:space="preserve"> was not made by the Company with the intent of preferring the Holders of the Securities of such Series over any other creditors of the Company or with the intent of defeating, hindering, delaying or defrauding any other creditors of the Company or others;</w:t>
      </w:r>
    </w:p>
    <w:p>
      <w:pPr>
        <w:spacing w:after="0" w:line="130" w:lineRule="exact"/>
        <w:rPr>
          <w:rFonts w:ascii="Times New Roman" w:cs="Times New Roman" w:eastAsia="Times New Roman" w:hAnsi="Times New Roman"/>
          <w:sz w:val="14"/>
          <w:szCs w:val="14"/>
          <w:color w:val="auto"/>
        </w:rPr>
      </w:pPr>
    </w:p>
    <w:p>
      <w:pPr>
        <w:jc w:val="both"/>
        <w:ind w:firstLine="746"/>
        <w:spacing w:after="0" w:line="259" w:lineRule="auto"/>
        <w:tabs>
          <w:tab w:leader="none" w:pos="938"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(subject to customary assumptions and qualifications) to the effect that, assuming no intervening bankruptcy of the Company between the date of deposit and the 91st day following the deposit and assuming that no Holder is an “insider” of the Company under applicable Bankruptcy Law, after the 91st day following the deposit, the trust funds shall not be subject to the effect of Section 547 of the United States Bankruptcy Code or any analogous New York State law provision; and</w:t>
      </w:r>
    </w:p>
    <w:p>
      <w:pPr>
        <w:spacing w:after="0" w:line="139" w:lineRule="exact"/>
        <w:rPr>
          <w:rFonts w:ascii="Times New Roman" w:cs="Times New Roman" w:eastAsia="Times New Roman" w:hAnsi="Times New Roman"/>
          <w:sz w:val="14"/>
          <w:szCs w:val="14"/>
          <w:color w:val="auto"/>
        </w:rPr>
      </w:pPr>
    </w:p>
    <w:p>
      <w:pPr>
        <w:ind w:right="520" w:firstLine="746"/>
        <w:spacing w:after="0" w:line="272" w:lineRule="auto"/>
        <w:tabs>
          <w:tab w:leader="none" w:pos="938"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delivered to the Trustee an Officers’ Certificate and an Opinion of Counsel, each stating that all conditions precedent specified herein relating to the defeasance contemplated by this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have been complied with.</w:t>
      </w:r>
    </w:p>
    <w:p>
      <w:pPr>
        <w:spacing w:after="0" w:line="13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4"/>
          <w:szCs w:val="14"/>
          <w:color w:val="auto"/>
        </w:rPr>
        <w:t>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w:t>
      </w:r>
    </w:p>
    <w:p>
      <w:pPr>
        <w:spacing w:after="0" w:line="131" w:lineRule="exact"/>
        <w:rPr>
          <w:sz w:val="20"/>
          <w:szCs w:val="20"/>
          <w:color w:val="auto"/>
        </w:rPr>
      </w:pPr>
    </w:p>
    <w:p>
      <w:pPr>
        <w:ind w:left="500" w:hanging="188"/>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Company’s rights above under this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the Company may terminate all of its obligations under this Indenture with respect to a Series, when:</w:t>
      </w:r>
    </w:p>
    <w:p>
      <w:pPr>
        <w:spacing w:after="0" w:line="169" w:lineRule="exact"/>
        <w:rPr>
          <w:rFonts w:ascii="Times New Roman" w:cs="Times New Roman" w:eastAsia="Times New Roman" w:hAnsi="Times New Roman"/>
          <w:sz w:val="14"/>
          <w:szCs w:val="14"/>
          <w:color w:val="auto"/>
        </w:rPr>
      </w:pPr>
    </w:p>
    <w:p>
      <w:pPr>
        <w:ind w:right="20" w:firstLine="746"/>
        <w:spacing w:after="0" w:line="249" w:lineRule="auto"/>
        <w:tabs>
          <w:tab w:leader="none" w:pos="938"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Securities of such Series theretofore authenticated and delivered (other than Securities which have been destroyed, lost or stolen and which have been replaced or paid as provided in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xml:space="preserve"> and Securities for whose payment money has theretofore been deposited in trust or segregated and held in trust by the Company and thereafter repaid to the Company or discharged from such trust) have been delivered to the Trustee for cancellation or all such Securities not theretofore delivered to the Trustee for cancellation (A) have become due and payable, (B) will become due and payable at maturity within one year or (C) are to be called for redemption within one year under arrangements satisfactory to the Trustee for the giving of notice of redemption by the Trustee in the name, and at the expense, of the Company, and in each such case,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w:t>
      </w:r>
    </w:p>
    <w:p>
      <w:pPr>
        <w:spacing w:after="0" w:line="150" w:lineRule="exact"/>
        <w:rPr>
          <w:rFonts w:ascii="Times New Roman" w:cs="Times New Roman" w:eastAsia="Times New Roman" w:hAnsi="Times New Roman"/>
          <w:sz w:val="14"/>
          <w:szCs w:val="14"/>
          <w:color w:val="auto"/>
        </w:rPr>
      </w:pPr>
    </w:p>
    <w:p>
      <w:pPr>
        <w:ind w:left="940" w:hanging="194"/>
        <w:spacing w:after="0"/>
        <w:tabs>
          <w:tab w:leader="none" w:pos="9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w:t>
      </w:r>
    </w:p>
    <w:p>
      <w:pPr>
        <w:spacing w:after="0" w:line="169" w:lineRule="exact"/>
        <w:rPr>
          <w:rFonts w:ascii="Times New Roman" w:cs="Times New Roman" w:eastAsia="Times New Roman" w:hAnsi="Times New Roman"/>
          <w:sz w:val="14"/>
          <w:szCs w:val="14"/>
          <w:color w:val="auto"/>
        </w:rPr>
      </w:pPr>
    </w:p>
    <w:p>
      <w:pPr>
        <w:ind w:right="140" w:firstLine="746"/>
        <w:spacing w:after="0" w:line="272" w:lineRule="auto"/>
        <w:tabs>
          <w:tab w:leader="none" w:pos="938"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irrevocable instructions to the Trustee (or such other qualifying trustee), to apply the deposited money toward the payment of the Securities of such Series at maturity or redemption, as the case may be; and</w:t>
      </w:r>
    </w:p>
    <w:p>
      <w:pPr>
        <w:spacing w:after="0" w:line="130" w:lineRule="exact"/>
        <w:rPr>
          <w:rFonts w:ascii="Times New Roman" w:cs="Times New Roman" w:eastAsia="Times New Roman" w:hAnsi="Times New Roman"/>
          <w:sz w:val="14"/>
          <w:szCs w:val="14"/>
          <w:color w:val="auto"/>
        </w:rPr>
      </w:pPr>
    </w:p>
    <w:p>
      <w:pPr>
        <w:ind w:right="580" w:firstLine="746"/>
        <w:spacing w:after="0" w:line="272" w:lineRule="auto"/>
        <w:tabs>
          <w:tab w:leader="none" w:pos="938"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delivered to the Trustee an Officers’ Certificate and an Opinion of Counsel, stating that all conditions precedent specified in this </w:t>
      </w:r>
      <w:r>
        <w:rPr>
          <w:rFonts w:ascii="Times New Roman" w:cs="Times New Roman" w:eastAsia="Times New Roman" w:hAnsi="Times New Roman"/>
          <w:sz w:val="14"/>
          <w:szCs w:val="14"/>
          <w:u w:val="single" w:color="auto"/>
          <w:color w:val="auto"/>
        </w:rPr>
        <w:t>Section 8.01(e)</w:t>
      </w:r>
      <w:r>
        <w:rPr>
          <w:rFonts w:ascii="Times New Roman" w:cs="Times New Roman" w:eastAsia="Times New Roman" w:hAnsi="Times New Roman"/>
          <w:sz w:val="14"/>
          <w:szCs w:val="14"/>
          <w:color w:val="auto"/>
        </w:rPr>
        <w:t xml:space="preserve"> relating to the satisfaction and discharge of this Indenture have been complied with.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8.02 </w:t>
      </w:r>
      <w:r>
        <w:rPr>
          <w:rFonts w:ascii="Times New Roman" w:cs="Times New Roman" w:eastAsia="Times New Roman" w:hAnsi="Times New Roman"/>
          <w:sz w:val="14"/>
          <w:szCs w:val="14"/>
          <w:b w:val="1"/>
          <w:bCs w:val="1"/>
          <w:u w:val="single" w:color="auto"/>
          <w:color w:val="auto"/>
        </w:rPr>
        <w:t>Survival of the Company’s Obligations.</w:t>
      </w:r>
    </w:p>
    <w:p>
      <w:pPr>
        <w:spacing w:after="0" w:line="91" w:lineRule="exact"/>
        <w:rPr>
          <w:sz w:val="20"/>
          <w:szCs w:val="20"/>
          <w:color w:val="auto"/>
        </w:rPr>
      </w:pPr>
    </w:p>
    <w:p>
      <w:pPr>
        <w:ind w:right="80" w:firstLine="310"/>
        <w:spacing w:after="0" w:line="259" w:lineRule="auto"/>
        <w:rPr>
          <w:sz w:val="20"/>
          <w:szCs w:val="20"/>
          <w:color w:val="auto"/>
        </w:rPr>
      </w:pPr>
      <w:r>
        <w:rPr>
          <w:rFonts w:ascii="Times New Roman" w:cs="Times New Roman" w:eastAsia="Times New Roman" w:hAnsi="Times New Roman"/>
          <w:sz w:val="14"/>
          <w:szCs w:val="14"/>
          <w:color w:val="auto"/>
        </w:rPr>
        <w:t xml:space="preserve">Notwithstanding the satisfaction and discharge of this Indenture under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the Company’s obligations in </w:t>
      </w:r>
      <w:r>
        <w:rPr>
          <w:rFonts w:ascii="Times New Roman" w:cs="Times New Roman" w:eastAsia="Times New Roman" w:hAnsi="Times New Roman"/>
          <w:sz w:val="14"/>
          <w:szCs w:val="14"/>
          <w:u w:val="single" w:color="auto"/>
          <w:color w:val="auto"/>
        </w:rPr>
        <w:t>Paragraph 8</w:t>
      </w:r>
      <w:r>
        <w:rPr>
          <w:rFonts w:ascii="Times New Roman" w:cs="Times New Roman" w:eastAsia="Times New Roman" w:hAnsi="Times New Roman"/>
          <w:sz w:val="14"/>
          <w:szCs w:val="14"/>
          <w:color w:val="auto"/>
        </w:rPr>
        <w:t xml:space="preserve"> of the Securities and </w:t>
      </w:r>
      <w:r>
        <w:rPr>
          <w:rFonts w:ascii="Times New Roman" w:cs="Times New Roman" w:eastAsia="Times New Roman" w:hAnsi="Times New Roman"/>
          <w:sz w:val="14"/>
          <w:szCs w:val="14"/>
          <w:u w:val="single" w:color="auto"/>
          <w:color w:val="auto"/>
        </w:rPr>
        <w:t>Sections 2.03</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2.07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8.04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8.05</w:t>
      </w:r>
      <w:r>
        <w:rPr>
          <w:rFonts w:ascii="Times New Roman" w:cs="Times New Roman" w:eastAsia="Times New Roman" w:hAnsi="Times New Roman"/>
          <w:sz w:val="14"/>
          <w:szCs w:val="14"/>
          <w:color w:val="auto"/>
        </w:rPr>
        <w:t xml:space="preserve">, however, shall survive until the Securities of an applicable Series are no longer outstanding. Thereafter, the Company’s obligations in </w:t>
      </w:r>
      <w:r>
        <w:rPr>
          <w:rFonts w:ascii="Times New Roman" w:cs="Times New Roman" w:eastAsia="Times New Roman" w:hAnsi="Times New Roman"/>
          <w:sz w:val="14"/>
          <w:szCs w:val="14"/>
          <w:u w:val="single" w:color="auto"/>
          <w:color w:val="auto"/>
        </w:rPr>
        <w:t>Paragraph 8</w:t>
      </w:r>
      <w:r>
        <w:rPr>
          <w:rFonts w:ascii="Times New Roman" w:cs="Times New Roman" w:eastAsia="Times New Roman" w:hAnsi="Times New Roman"/>
          <w:sz w:val="14"/>
          <w:szCs w:val="14"/>
          <w:color w:val="auto"/>
        </w:rPr>
        <w:t xml:space="preserve"> of the Securities of such Series and </w:t>
      </w:r>
      <w:r>
        <w:rPr>
          <w:rFonts w:ascii="Times New Roman" w:cs="Times New Roman" w:eastAsia="Times New Roman" w:hAnsi="Times New Roman"/>
          <w:sz w:val="14"/>
          <w:szCs w:val="14"/>
          <w:u w:val="single" w:color="auto"/>
          <w:color w:val="auto"/>
        </w:rPr>
        <w:t>Sections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8.04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8.05</w:t>
      </w:r>
      <w:r>
        <w:rPr>
          <w:rFonts w:ascii="Times New Roman" w:cs="Times New Roman" w:eastAsia="Times New Roman" w:hAnsi="Times New Roman"/>
          <w:sz w:val="14"/>
          <w:szCs w:val="14"/>
          <w:color w:val="auto"/>
        </w:rPr>
        <w:t xml:space="preserve"> shall survive (as they relate to such Series) such satisfaction and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18"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 xml:space="preserve">Section 8.03 </w:t>
      </w:r>
      <w:r>
        <w:rPr>
          <w:rFonts w:ascii="Times New Roman" w:cs="Times New Roman" w:eastAsia="Times New Roman" w:hAnsi="Times New Roman"/>
          <w:sz w:val="14"/>
          <w:szCs w:val="14"/>
          <w:b w:val="1"/>
          <w:bCs w:val="1"/>
          <w:u w:val="single" w:color="auto"/>
          <w:color w:val="auto"/>
        </w:rPr>
        <w:t>Application of Trust Money.</w:t>
      </w:r>
    </w:p>
    <w:p>
      <w:pPr>
        <w:spacing w:after="0" w:line="91" w:lineRule="exact"/>
        <w:rPr>
          <w:sz w:val="20"/>
          <w:szCs w:val="20"/>
          <w:color w:val="auto"/>
        </w:rPr>
      </w:pPr>
    </w:p>
    <w:p>
      <w:pPr>
        <w:ind w:right="380" w:firstLine="310"/>
        <w:spacing w:after="0" w:line="272" w:lineRule="auto"/>
        <w:rPr>
          <w:sz w:val="20"/>
          <w:szCs w:val="20"/>
          <w:color w:val="auto"/>
        </w:rPr>
      </w:pPr>
      <w:r>
        <w:rPr>
          <w:rFonts w:ascii="Times New Roman" w:cs="Times New Roman" w:eastAsia="Times New Roman" w:hAnsi="Times New Roman"/>
          <w:sz w:val="14"/>
          <w:szCs w:val="14"/>
          <w:color w:val="auto"/>
        </w:rPr>
        <w:t xml:space="preserve">The Trustee shall hold in trust money or Government Obligations deposited with it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It shall apply the deposited money and the money from Government Obligations in accordance with this Indenture to the payment of principal of and interest on the Securities of the defeased Series.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8.04 </w:t>
      </w:r>
      <w:r>
        <w:rPr>
          <w:rFonts w:ascii="Times New Roman" w:cs="Times New Roman" w:eastAsia="Times New Roman" w:hAnsi="Times New Roman"/>
          <w:sz w:val="14"/>
          <w:szCs w:val="14"/>
          <w:b w:val="1"/>
          <w:bCs w:val="1"/>
          <w:u w:val="single" w:color="auto"/>
          <w:color w:val="auto"/>
        </w:rPr>
        <w:t>Repayment to the Company.</w:t>
      </w:r>
    </w:p>
    <w:p>
      <w:pPr>
        <w:spacing w:after="0" w:line="91" w:lineRule="exact"/>
        <w:rPr>
          <w:sz w:val="20"/>
          <w:szCs w:val="20"/>
          <w:color w:val="auto"/>
        </w:rPr>
      </w:pPr>
    </w:p>
    <w:p>
      <w:pPr>
        <w:ind w:right="40" w:firstLine="310"/>
        <w:spacing w:after="0" w:line="251" w:lineRule="auto"/>
        <w:rPr>
          <w:sz w:val="20"/>
          <w:szCs w:val="20"/>
          <w:color w:val="auto"/>
        </w:rPr>
      </w:pPr>
      <w:r>
        <w:rPr>
          <w:rFonts w:ascii="Times New Roman" w:cs="Times New Roman" w:eastAsia="Times New Roman" w:hAnsi="Times New Roman"/>
          <w:sz w:val="14"/>
          <w:szCs w:val="14"/>
          <w:color w:val="auto"/>
        </w:rPr>
        <w:t xml:space="preserve">The Trustee and the Paying Agent shall promptly pay to the Company upon request any excess money or securities held by them at any time. The Trustee and the Paying Agent shall pay to the Company upon request any money held by them for the payment of principal or interest that remains unclaimed for two years,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Trustee or such Paying Agent, before being required to make any such repayment, may at the expense of the Company cause to be published once in a newspaper of general circulation in the City of New York or mail to each such Holder notice that such money remains unclaimed and that, after a date specified therein, which shall not be less than 30 days from the date of such publication or mailing, any unclaimed balance of such money then remaining will be repaid to the Company. After payment to the Company, Securityholders entitled to the money must look to the Company for payment as general creditors unless applicable abandoned property law designates another person and all liability of the Trustee or such Paying Agent with respect to such money shall cease.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8.05 </w:t>
      </w:r>
      <w:r>
        <w:rPr>
          <w:rFonts w:ascii="Times New Roman" w:cs="Times New Roman" w:eastAsia="Times New Roman" w:hAnsi="Times New Roman"/>
          <w:sz w:val="14"/>
          <w:szCs w:val="14"/>
          <w:b w:val="1"/>
          <w:bCs w:val="1"/>
          <w:u w:val="single" w:color="auto"/>
          <w:color w:val="auto"/>
        </w:rPr>
        <w:t>Reinstatement.</w:t>
      </w:r>
    </w:p>
    <w:p>
      <w:pPr>
        <w:spacing w:after="0" w:line="91" w:lineRule="exact"/>
        <w:rPr>
          <w:sz w:val="20"/>
          <w:szCs w:val="20"/>
          <w:color w:val="auto"/>
        </w:rPr>
      </w:pPr>
    </w:p>
    <w:p>
      <w:pPr>
        <w:ind w:firstLine="310"/>
        <w:spacing w:after="0" w:line="250" w:lineRule="auto"/>
        <w:rPr>
          <w:sz w:val="20"/>
          <w:szCs w:val="20"/>
          <w:color w:val="auto"/>
        </w:rPr>
      </w:pPr>
      <w:r>
        <w:rPr>
          <w:rFonts w:ascii="Times New Roman" w:cs="Times New Roman" w:eastAsia="Times New Roman" w:hAnsi="Times New Roman"/>
          <w:sz w:val="14"/>
          <w:szCs w:val="14"/>
          <w:color w:val="auto"/>
        </w:rPr>
        <w:t xml:space="preserve">If the Trustee is unable to apply any money or Government Obligations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until such time as the Trustee is permitted to apply all such money or Government Obligations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(a) if the Company has made any payment of interest on or principal of any Securities of the Series because of the reinstatement of its obligations hereunder, the Company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 therefor at any time, if such reinstatement of the Company’s obligations has occurred and continues to be in effect.</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NINE</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RESERVED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TEN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AMENDMENTS, SUPPLEMENTS AND WAIVERS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10.01 </w:t>
      </w:r>
      <w:r>
        <w:rPr>
          <w:rFonts w:ascii="Times New Roman" w:cs="Times New Roman" w:eastAsia="Times New Roman" w:hAnsi="Times New Roman"/>
          <w:sz w:val="14"/>
          <w:szCs w:val="14"/>
          <w:b w:val="1"/>
          <w:bCs w:val="1"/>
          <w:u w:val="single" w:color="auto"/>
          <w:color w:val="auto"/>
        </w:rPr>
        <w:t>Without Consent of Holders.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a Series without notice to or consent of any Securityholder of such Series:</w:t>
      </w:r>
    </w:p>
    <w:p>
      <w:pPr>
        <w:spacing w:after="0" w:line="18" w:lineRule="exact"/>
        <w:rPr>
          <w:sz w:val="20"/>
          <w:szCs w:val="20"/>
          <w:color w:val="auto"/>
        </w:rPr>
      </w:pPr>
    </w:p>
    <w:p>
      <w:pPr>
        <w:ind w:left="540" w:hanging="290"/>
        <w:spacing w:after="0"/>
        <w:tabs>
          <w:tab w:leader="none" w:pos="5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comply with </w:t>
      </w:r>
      <w:r>
        <w:rPr>
          <w:rFonts w:ascii="Times New Roman" w:cs="Times New Roman" w:eastAsia="Times New Roman" w:hAnsi="Times New Roman"/>
          <w:sz w:val="14"/>
          <w:szCs w:val="14"/>
          <w:u w:val="single" w:color="auto"/>
          <w:color w:val="auto"/>
        </w:rPr>
        <w:t>Article Five</w:t>
      </w:r>
      <w:r>
        <w:rPr>
          <w:rFonts w:ascii="Times New Roman" w:cs="Times New Roman" w:eastAsia="Times New Roman" w:hAnsi="Times New Roman"/>
          <w:sz w:val="14"/>
          <w:szCs w:val="14"/>
          <w:color w:val="auto"/>
        </w:rPr>
        <w:t>;</w:t>
      </w:r>
    </w:p>
    <w:p>
      <w:pPr>
        <w:spacing w:after="0" w:line="4" w:lineRule="exact"/>
        <w:rPr>
          <w:rFonts w:ascii="Times New Roman" w:cs="Times New Roman" w:eastAsia="Times New Roman" w:hAnsi="Times New Roman"/>
          <w:sz w:val="14"/>
          <w:szCs w:val="14"/>
          <w:color w:val="auto"/>
        </w:rPr>
      </w:pPr>
    </w:p>
    <w:p>
      <w:pPr>
        <w:ind w:left="560" w:right="40" w:hanging="310"/>
        <w:spacing w:after="0" w:line="246" w:lineRule="auto"/>
        <w:tabs>
          <w:tab w:leader="none" w:pos="54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specific provisions of this Indenture shall not apply to a Series not previously issued or to make a change to specific provisions of this Indenture that only applies to any Series not previously issued or to additional Securities of a Series not previously issued;</w:t>
      </w:r>
    </w:p>
    <w:p>
      <w:pPr>
        <w:ind w:left="540" w:hanging="290"/>
        <w:spacing w:after="0"/>
        <w:tabs>
          <w:tab w:leader="none" w:pos="5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create a Series and establish its terms;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release a guarantor in respect of any Series which, in accordance with the terms of this Indenture applicable to the particular Series, ceases to be liable in respect of its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60"/>
          </w:cols>
          <w:pgMar w:left="300" w:top="1114" w:right="339" w:bottom="1440" w:gutter="0" w:footer="0" w:header="0"/>
        </w:sectPr>
      </w:pPr>
    </w:p>
    <w:bookmarkStart w:id="121" w:name="page122"/>
    <w:bookmarkEnd w:id="121"/>
    <w:p>
      <w:pPr>
        <w:ind w:left="540" w:hanging="290"/>
        <w:spacing w:after="0"/>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 guarantor in respect of any Series;</w:t>
      </w:r>
    </w:p>
    <w:p>
      <w:pPr>
        <w:spacing w:after="0" w:line="17"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any Series;</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or surrender any right or power conferred upon the Company;</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appoint a successor trustee with respect to the Securities;</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TIA;</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does not adversely affect the rights of Securityholders; and</w:t>
      </w:r>
    </w:p>
    <w:p>
      <w:pPr>
        <w:spacing w:after="0" w:line="4" w:lineRule="exact"/>
        <w:rPr>
          <w:rFonts w:ascii="Times New Roman" w:cs="Times New Roman" w:eastAsia="Times New Roman" w:hAnsi="Times New Roman"/>
          <w:sz w:val="14"/>
          <w:szCs w:val="14"/>
          <w:color w:val="auto"/>
        </w:rPr>
      </w:pPr>
    </w:p>
    <w:p>
      <w:pPr>
        <w:ind w:left="620" w:hanging="370"/>
        <w:spacing w:after="0"/>
        <w:tabs>
          <w:tab w:leader="none" w:pos="6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provisions of the Indenture to the final offering memorandum or prospectus in respect of any Series.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After an amendment under this </w:t>
      </w:r>
      <w:r>
        <w:rPr>
          <w:rFonts w:ascii="Times New Roman" w:cs="Times New Roman" w:eastAsia="Times New Roman" w:hAnsi="Times New Roman"/>
          <w:sz w:val="14"/>
          <w:szCs w:val="14"/>
          <w:u w:val="single" w:color="auto"/>
          <w:color w:val="auto"/>
        </w:rPr>
        <w:t>Section 10.01</w:t>
      </w:r>
      <w:r>
        <w:rPr>
          <w:rFonts w:ascii="Times New Roman" w:cs="Times New Roman" w:eastAsia="Times New Roman" w:hAnsi="Times New Roman"/>
          <w:sz w:val="14"/>
          <w:szCs w:val="14"/>
          <w:color w:val="auto"/>
        </w:rPr>
        <w:t xml:space="preserve"> becomes effective, the Company shall mail notice of such amendment to the Securityholders.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10.02 </w:t>
      </w:r>
      <w:r>
        <w:rPr>
          <w:rFonts w:ascii="Times New Roman" w:cs="Times New Roman" w:eastAsia="Times New Roman" w:hAnsi="Times New Roman"/>
          <w:sz w:val="14"/>
          <w:szCs w:val="14"/>
          <w:b w:val="1"/>
          <w:bCs w:val="1"/>
          <w:u w:val="single" w:color="auto"/>
          <w:color w:val="auto"/>
        </w:rPr>
        <w:t>With Consent of Holders.</w:t>
      </w:r>
    </w:p>
    <w:p>
      <w:pPr>
        <w:spacing w:after="0" w:line="91" w:lineRule="exact"/>
        <w:rPr>
          <w:sz w:val="20"/>
          <w:szCs w:val="20"/>
          <w:color w:val="auto"/>
        </w:rPr>
      </w:pPr>
    </w:p>
    <w:p>
      <w:pPr>
        <w:ind w:firstLine="310"/>
        <w:spacing w:after="0" w:line="274" w:lineRule="auto"/>
        <w:rPr>
          <w:sz w:val="20"/>
          <w:szCs w:val="20"/>
          <w:color w:val="auto"/>
        </w:rPr>
      </w:pPr>
      <w:r>
        <w:rPr>
          <w:rFonts w:ascii="Times New Roman" w:cs="Times New Roman" w:eastAsia="Times New Roman" w:hAnsi="Times New Roman"/>
          <w:sz w:val="13"/>
          <w:szCs w:val="13"/>
          <w:color w:val="auto"/>
        </w:rPr>
        <w:t xml:space="preserve">The Company and the Trustee may amend or supplement any provision of the Securities of a Series or of this Indenture relating to such Series without notice to any Securityholder of such Series but with the written consent of the Holders of at least a majority in principal amount of the outstanding Securities of such Series (including consents obtained in connection with a purchase of, or tender offer or exchange offer for, Securities of such Series). Each such Series shall vote as a separate class. The Holders of a majority in principal amount of the outstanding Securities of any Series may waive compliance by the Company with any provision of the Securities of such Series or of this Indenture relating to such Series without notice to any Securityholder (including any waiver granted in connection with a purchase of, or tender offer or exchange offer for, Securities of such Series). Without the consent of each Holder of a Security the terms of which are directly amended, supplemented or waived, however, an amendment, supplement or waiver, including a waiver pursuant to </w:t>
      </w:r>
      <w:r>
        <w:rPr>
          <w:rFonts w:ascii="Times New Roman" w:cs="Times New Roman" w:eastAsia="Times New Roman" w:hAnsi="Times New Roman"/>
          <w:sz w:val="13"/>
          <w:szCs w:val="13"/>
          <w:u w:val="single" w:color="auto"/>
          <w:color w:val="auto"/>
        </w:rPr>
        <w:t>Section 6.04</w:t>
      </w:r>
      <w:r>
        <w:rPr>
          <w:rFonts w:ascii="Times New Roman" w:cs="Times New Roman" w:eastAsia="Times New Roman" w:hAnsi="Times New Roman"/>
          <w:sz w:val="13"/>
          <w:szCs w:val="13"/>
          <w:color w:val="auto"/>
        </w:rPr>
        <w:t>, may not (with respect to any Securities of such Series held by a non-consenting Holder):</w:t>
      </w:r>
    </w:p>
    <w:p>
      <w:pPr>
        <w:spacing w:after="0" w:line="132" w:lineRule="exact"/>
        <w:rPr>
          <w:sz w:val="20"/>
          <w:szCs w:val="20"/>
          <w:color w:val="auto"/>
        </w:rPr>
      </w:pPr>
    </w:p>
    <w:p>
      <w:pPr>
        <w:ind w:left="940" w:hanging="194"/>
        <w:spacing w:after="0"/>
        <w:tabs>
          <w:tab w:leader="none" w:pos="9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Securities of the relevant Series whose Holders must consent to an amendment, supplement or waiver;</w:t>
      </w:r>
    </w:p>
    <w:p>
      <w:pPr>
        <w:spacing w:after="0" w:line="169" w:lineRule="exact"/>
        <w:rPr>
          <w:rFonts w:ascii="Times New Roman" w:cs="Times New Roman" w:eastAsia="Times New Roman" w:hAnsi="Times New Roman"/>
          <w:sz w:val="14"/>
          <w:szCs w:val="14"/>
          <w:color w:val="auto"/>
        </w:rPr>
      </w:pPr>
    </w:p>
    <w:p>
      <w:pPr>
        <w:ind w:left="940" w:hanging="194"/>
        <w:spacing w:after="0"/>
        <w:tabs>
          <w:tab w:leader="none" w:pos="9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defaulted interest, on any Security;</w:t>
      </w:r>
    </w:p>
    <w:p>
      <w:pPr>
        <w:spacing w:after="0" w:line="169" w:lineRule="exact"/>
        <w:rPr>
          <w:rFonts w:ascii="Times New Roman" w:cs="Times New Roman" w:eastAsia="Times New Roman" w:hAnsi="Times New Roman"/>
          <w:sz w:val="14"/>
          <w:szCs w:val="14"/>
          <w:color w:val="auto"/>
        </w:rPr>
      </w:pPr>
    </w:p>
    <w:p>
      <w:pPr>
        <w:ind w:right="260" w:firstLine="746"/>
        <w:spacing w:after="0" w:line="259" w:lineRule="auto"/>
        <w:tabs>
          <w:tab w:leader="none" w:pos="93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reduce the principal of or extend the fixed maturity of any Security or alter the provisions (including related definitions) with respect to redemption of any Security pursuant to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Three</w:t>
      </w:r>
      <w:r>
        <w:rPr>
          <w:rFonts w:ascii="Times New Roman" w:cs="Times New Roman" w:eastAsia="Times New Roman" w:hAnsi="Times New Roman"/>
          <w:sz w:val="14"/>
          <w:szCs w:val="14"/>
          <w:color w:val="auto"/>
        </w:rPr>
        <w:t xml:space="preserve"> hereof or with respect to any obligations on the part of the Company to offer to purchase or to redeem Securities of a Series pursuant to the Authorizing Resolution or supplemental indenture pertaining to such Series in a manner adverse to Holders;</w:t>
      </w:r>
    </w:p>
    <w:p>
      <w:pPr>
        <w:spacing w:after="0" w:line="139" w:lineRule="exact"/>
        <w:rPr>
          <w:rFonts w:ascii="Times New Roman" w:cs="Times New Roman" w:eastAsia="Times New Roman" w:hAnsi="Times New Roman"/>
          <w:sz w:val="14"/>
          <w:szCs w:val="14"/>
          <w:color w:val="auto"/>
        </w:rPr>
      </w:pPr>
    </w:p>
    <w:p>
      <w:pPr>
        <w:ind w:right="380" w:firstLine="746"/>
        <w:spacing w:after="0" w:line="272" w:lineRule="auto"/>
        <w:tabs>
          <w:tab w:leader="none" w:pos="93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adversely affects any right of a Holder to convert or exchange any Security into or for shares of the Company’s Capital Stock or other securities, cash or other property in accordance with the terms of such Security;</w:t>
      </w:r>
    </w:p>
    <w:p>
      <w:pPr>
        <w:spacing w:after="0" w:line="130" w:lineRule="exact"/>
        <w:rPr>
          <w:rFonts w:ascii="Times New Roman" w:cs="Times New Roman" w:eastAsia="Times New Roman" w:hAnsi="Times New Roman"/>
          <w:sz w:val="14"/>
          <w:szCs w:val="14"/>
          <w:color w:val="auto"/>
        </w:rPr>
      </w:pPr>
    </w:p>
    <w:p>
      <w:pPr>
        <w:ind w:left="940" w:hanging="194"/>
        <w:spacing w:after="0"/>
        <w:tabs>
          <w:tab w:leader="none" w:pos="9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ranking or priority of the Securities of the relevant Series or any guarantee thereof;</w:t>
      </w:r>
    </w:p>
    <w:p>
      <w:pPr>
        <w:spacing w:after="0" w:line="169" w:lineRule="exact"/>
        <w:rPr>
          <w:rFonts w:ascii="Times New Roman" w:cs="Times New Roman" w:eastAsia="Times New Roman" w:hAnsi="Times New Roman"/>
          <w:sz w:val="14"/>
          <w:szCs w:val="14"/>
          <w:color w:val="auto"/>
        </w:rPr>
      </w:pPr>
    </w:p>
    <w:p>
      <w:pPr>
        <w:ind w:left="940" w:hanging="194"/>
        <w:spacing w:after="0"/>
        <w:tabs>
          <w:tab w:leader="none" w:pos="9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guarantor of any Series from any of its obligations under its guarantee or this Indenture otherwise than in accordance with the terms of this Indenture;</w:t>
      </w:r>
    </w:p>
    <w:p>
      <w:pPr>
        <w:spacing w:after="0" w:line="169" w:lineRule="exact"/>
        <w:rPr>
          <w:rFonts w:ascii="Times New Roman" w:cs="Times New Roman" w:eastAsia="Times New Roman" w:hAnsi="Times New Roman"/>
          <w:sz w:val="14"/>
          <w:szCs w:val="14"/>
          <w:color w:val="auto"/>
        </w:rPr>
      </w:pPr>
    </w:p>
    <w:p>
      <w:pPr>
        <w:ind w:right="200" w:firstLine="746"/>
        <w:spacing w:after="0" w:line="272" w:lineRule="auto"/>
        <w:tabs>
          <w:tab w:leader="none" w:pos="93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change in </w:t>
      </w:r>
      <w:r>
        <w:rPr>
          <w:rFonts w:ascii="Times New Roman" w:cs="Times New Roman" w:eastAsia="Times New Roman" w:hAnsi="Times New Roman"/>
          <w:sz w:val="14"/>
          <w:szCs w:val="14"/>
          <w:u w:val="single" w:color="auto"/>
          <w:color w:val="auto"/>
        </w:rPr>
        <w:t>Sections 6.04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6.07</w:t>
      </w:r>
      <w:r>
        <w:rPr>
          <w:rFonts w:ascii="Times New Roman" w:cs="Times New Roman" w:eastAsia="Times New Roman" w:hAnsi="Times New Roman"/>
          <w:sz w:val="14"/>
          <w:szCs w:val="14"/>
          <w:color w:val="auto"/>
        </w:rPr>
        <w:t xml:space="preserve"> or this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except to increase the percentage required for modification or waiver or to provide for consent of each affected Holder of Securities of such Series;</w:t>
      </w:r>
    </w:p>
    <w:p>
      <w:pPr>
        <w:spacing w:after="0" w:line="130" w:lineRule="exact"/>
        <w:rPr>
          <w:rFonts w:ascii="Times New Roman" w:cs="Times New Roman" w:eastAsia="Times New Roman" w:hAnsi="Times New Roman"/>
          <w:sz w:val="14"/>
          <w:szCs w:val="14"/>
          <w:color w:val="auto"/>
        </w:rPr>
      </w:pPr>
    </w:p>
    <w:p>
      <w:pPr>
        <w:ind w:left="940" w:hanging="194"/>
        <w:spacing w:after="0"/>
        <w:tabs>
          <w:tab w:leader="none" w:pos="9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continuing Default or Event of Default in the payment of the principal of or interest on any Security;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00" w:top="1118" w:right="359" w:bottom="1440" w:gutter="0" w:footer="0" w:header="0"/>
        </w:sectPr>
      </w:pPr>
    </w:p>
    <w:bookmarkStart w:id="122" w:name="page123"/>
    <w:bookmarkEnd w:id="122"/>
    <w:p>
      <w:pPr>
        <w:ind w:left="320" w:right="920" w:firstLine="426"/>
        <w:spacing w:after="0" w:line="492" w:lineRule="auto"/>
        <w:tabs>
          <w:tab w:leader="none" w:pos="948"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Security payable at a place or in money other than that stated in the Security, or impair the right of any Securityholder to bring suit as permitted by </w:t>
      </w:r>
      <w:r>
        <w:rPr>
          <w:rFonts w:ascii="Times New Roman" w:cs="Times New Roman" w:eastAsia="Times New Roman" w:hAnsi="Times New Roman"/>
          <w:sz w:val="14"/>
          <w:szCs w:val="14"/>
          <w:u w:val="single" w:color="auto"/>
          <w:color w:val="auto"/>
        </w:rPr>
        <w:t>Section 6.07</w:t>
      </w:r>
      <w:r>
        <w:rPr>
          <w:rFonts w:ascii="Times New Roman" w:cs="Times New Roman" w:eastAsia="Times New Roman" w:hAnsi="Times New Roman"/>
          <w:sz w:val="14"/>
          <w:szCs w:val="14"/>
          <w:color w:val="auto"/>
        </w:rPr>
        <w:t>. An amendment of a provision included solely for the benefit of one or more Series does not affect the interests of Securityholders of any other Series.</w:t>
      </w:r>
    </w:p>
    <w:p>
      <w:pPr>
        <w:spacing w:after="0" w:line="1" w:lineRule="exact"/>
        <w:rPr>
          <w:sz w:val="20"/>
          <w:szCs w:val="20"/>
          <w:color w:val="auto"/>
        </w:rPr>
      </w:pPr>
    </w:p>
    <w:p>
      <w:pPr>
        <w:ind w:right="120" w:firstLine="310"/>
        <w:spacing w:after="0" w:line="272" w:lineRule="auto"/>
        <w:rPr>
          <w:sz w:val="20"/>
          <w:szCs w:val="20"/>
          <w:color w:val="auto"/>
        </w:rPr>
      </w:pPr>
      <w:r>
        <w:rPr>
          <w:rFonts w:ascii="Times New Roman" w:cs="Times New Roman" w:eastAsia="Times New Roman" w:hAnsi="Times New Roman"/>
          <w:sz w:val="14"/>
          <w:szCs w:val="14"/>
          <w:color w:val="auto"/>
        </w:rPr>
        <w:t>It shall not be necessary for the consent of the Holders under this Section to approve the particular form of any proposed supplement, but it shall be sufficient if such consent approves the substance thereof.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10.03 </w:t>
      </w:r>
      <w:r>
        <w:rPr>
          <w:rFonts w:ascii="Times New Roman" w:cs="Times New Roman" w:eastAsia="Times New Roman" w:hAnsi="Times New Roman"/>
          <w:sz w:val="14"/>
          <w:szCs w:val="14"/>
          <w:b w:val="1"/>
          <w:bCs w:val="1"/>
          <w:u w:val="single" w:color="auto"/>
          <w:color w:val="auto"/>
        </w:rPr>
        <w:t>Compliance with Trust Indenture Act.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Every amendment to or supplement of this Indenture or any Securities shall comply with the TIA as then in effect.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10.04 </w:t>
      </w:r>
      <w:r>
        <w:rPr>
          <w:rFonts w:ascii="Times New Roman" w:cs="Times New Roman" w:eastAsia="Times New Roman" w:hAnsi="Times New Roman"/>
          <w:sz w:val="14"/>
          <w:szCs w:val="14"/>
          <w:b w:val="1"/>
          <w:bCs w:val="1"/>
          <w:u w:val="single" w:color="auto"/>
          <w:color w:val="auto"/>
        </w:rPr>
        <w:t>Revocation and Effect of Consents.</w:t>
      </w:r>
    </w:p>
    <w:p>
      <w:pPr>
        <w:spacing w:after="0" w:line="91" w:lineRule="exact"/>
        <w:rPr>
          <w:sz w:val="20"/>
          <w:szCs w:val="20"/>
          <w:color w:val="auto"/>
        </w:rPr>
      </w:pPr>
    </w:p>
    <w:p>
      <w:pPr>
        <w:ind w:firstLine="310"/>
        <w:spacing w:after="0" w:line="252" w:lineRule="auto"/>
        <w:rPr>
          <w:sz w:val="20"/>
          <w:szCs w:val="20"/>
          <w:color w:val="auto"/>
        </w:rPr>
      </w:pPr>
      <w:r>
        <w:rPr>
          <w:rFonts w:ascii="Times New Roman" w:cs="Times New Roman" w:eastAsia="Times New Roman" w:hAnsi="Times New Roman"/>
          <w:sz w:val="14"/>
          <w:szCs w:val="14"/>
          <w:color w:val="auto"/>
        </w:rPr>
        <w:t>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w:t>
      </w:r>
    </w:p>
    <w:p>
      <w:pPr>
        <w:spacing w:after="0" w:line="146" w:lineRule="exact"/>
        <w:rPr>
          <w:sz w:val="20"/>
          <w:szCs w:val="20"/>
          <w:color w:val="auto"/>
        </w:rPr>
      </w:pPr>
    </w:p>
    <w:p>
      <w:pPr>
        <w:ind w:right="80" w:firstLine="310"/>
        <w:spacing w:after="0" w:line="252"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of Securities of any Series entitled to consent to any amendment, supplement or waiver, which record date shall be at least 10 days prior to the first solicitation of such consent.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w:t>
      </w:r>
    </w:p>
    <w:p>
      <w:pPr>
        <w:spacing w:after="0" w:line="146" w:lineRule="exact"/>
        <w:rPr>
          <w:sz w:val="20"/>
          <w:szCs w:val="20"/>
          <w:color w:val="auto"/>
        </w:rPr>
      </w:pPr>
    </w:p>
    <w:p>
      <w:pPr>
        <w:ind w:firstLine="310"/>
        <w:spacing w:after="0" w:line="250" w:lineRule="auto"/>
        <w:rPr>
          <w:sz w:val="20"/>
          <w:szCs w:val="20"/>
          <w:color w:val="auto"/>
        </w:rPr>
      </w:pPr>
      <w:r>
        <w:rPr>
          <w:rFonts w:ascii="Times New Roman" w:cs="Times New Roman" w:eastAsia="Times New Roman" w:hAnsi="Times New Roman"/>
          <w:sz w:val="14"/>
          <w:szCs w:val="14"/>
          <w:color w:val="auto"/>
        </w:rPr>
        <w:t xml:space="preserve">An amendment, supplement or waiver with respect to a Series becomes effective upon the (i) receipt by the Company or the Trustee of the requisite consents, (ii) satisfaction of any conditions to effectiveness as set forth in this Indenture or any indenture supplemental hereto containing such amendment, supplement or waiver and (iii) execution of such amendment, supplement or waiver (or the related supplemental indenture) by the Company and the Trustee. After an amendment, supplement or waiver with respect to a Series becomes effective, it shall bind every Holder of such Series, unless it makes a change described in any of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10.02</w:t>
      </w:r>
      <w:r>
        <w:rPr>
          <w:rFonts w:ascii="Times New Roman" w:cs="Times New Roman" w:eastAsia="Times New Roman" w:hAnsi="Times New Roman"/>
          <w:sz w:val="14"/>
          <w:szCs w:val="14"/>
          <w:color w:val="auto"/>
        </w:rPr>
        <w:t xml:space="preserve">, in which case, the amendment, supplement or waiver shall bind a Holder of a Security of such Series only if it has consented to such amendment, supplement or waiver and every subsequent Holder of a Security or portion of a Security that evidences the same debt as the consenting Holder’s Security;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waiver shall impair or affect the right of any Holder to receive payment of principal of and interest on a Security, on or after the respective due dates expressed in such Security, or to bring suit for the enforcement of any such payment on or after such respective dates without the consent of such Holder.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10.05 </w:t>
      </w:r>
      <w:r>
        <w:rPr>
          <w:rFonts w:ascii="Times New Roman" w:cs="Times New Roman" w:eastAsia="Times New Roman" w:hAnsi="Times New Roman"/>
          <w:sz w:val="14"/>
          <w:szCs w:val="14"/>
          <w:b w:val="1"/>
          <w:bCs w:val="1"/>
          <w:u w:val="single" w:color="auto"/>
          <w:color w:val="auto"/>
        </w:rPr>
        <w:t>Notation on or Exchange of Securities.</w:t>
      </w:r>
    </w:p>
    <w:p>
      <w:pPr>
        <w:spacing w:after="0" w:line="91" w:lineRule="exact"/>
        <w:rPr>
          <w:sz w:val="20"/>
          <w:szCs w:val="20"/>
          <w:color w:val="auto"/>
        </w:rPr>
      </w:pPr>
    </w:p>
    <w:p>
      <w:pPr>
        <w:ind w:right="140" w:firstLine="310"/>
        <w:spacing w:after="0" w:line="259" w:lineRule="auto"/>
        <w:rPr>
          <w:sz w:val="20"/>
          <w:szCs w:val="20"/>
          <w:color w:val="auto"/>
        </w:rPr>
      </w:pPr>
      <w:r>
        <w:rPr>
          <w:rFonts w:ascii="Times New Roman" w:cs="Times New Roman" w:eastAsia="Times New Roman" w:hAnsi="Times New Roman"/>
          <w:sz w:val="14"/>
          <w:szCs w:val="14"/>
          <w:color w:val="auto"/>
        </w:rPr>
        <w:t>If an amendment, supplement or waiver changes the terms of a Security, the Company may require the 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60"/>
          </w:cols>
          <w:pgMar w:left="300" w:top="1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color w:val="auto"/>
        </w:rPr>
        <w:t xml:space="preserve">Section 10.06 </w:t>
      </w:r>
      <w:r>
        <w:rPr>
          <w:rFonts w:ascii="Times New Roman" w:cs="Times New Roman" w:eastAsia="Times New Roman" w:hAnsi="Times New Roman"/>
          <w:sz w:val="14"/>
          <w:szCs w:val="14"/>
          <w:b w:val="1"/>
          <w:bCs w:val="1"/>
          <w:u w:val="single" w:color="auto"/>
          <w:color w:val="auto"/>
        </w:rPr>
        <w:t>Trustee to Sign Amendments, etc.</w:t>
      </w:r>
    </w:p>
    <w:p>
      <w:pPr>
        <w:spacing w:after="0" w:line="91"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7.02(b)</w:t>
      </w:r>
      <w:r>
        <w:rPr>
          <w:rFonts w:ascii="Times New Roman" w:cs="Times New Roman" w:eastAsia="Times New Roman" w:hAnsi="Times New Roman"/>
          <w:sz w:val="14"/>
          <w:szCs w:val="14"/>
          <w:color w:val="auto"/>
        </w:rPr>
        <w:t>, the Trustee shall sign any amendment, supplement or waiver authorized pursuant to this Article if the amendment, supplement or waiver does not adversely affect the rights, duties, liabilities or immunities of the Trustee. If it does, the Trustee may but need not sign it. In signing or refusing to sign such amendment or supplemental indenture, the Trustee shall be provided with and shall be fully protected in relying upon, an Officers’ Certificate and an Opinion of Counsel as conclusive evidence that such amendment, supplement or waiver is authorized or permitted by this Indenture, and (solely with respect to such Opinion of Counsel) that it will be valid and binding upon the Company and enforceable in accordance with its terms.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ELEVEN</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IN FOREIGN CURRENCIES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11.01 </w:t>
      </w:r>
      <w:r>
        <w:rPr>
          <w:rFonts w:ascii="Times New Roman" w:cs="Times New Roman" w:eastAsia="Times New Roman" w:hAnsi="Times New Roman"/>
          <w:sz w:val="14"/>
          <w:szCs w:val="14"/>
          <w:b w:val="1"/>
          <w:bCs w:val="1"/>
          <w:u w:val="single" w:color="auto"/>
          <w:color w:val="auto"/>
        </w:rPr>
        <w:t>Applicability of Article.</w:t>
      </w:r>
    </w:p>
    <w:p>
      <w:pPr>
        <w:spacing w:after="0" w:line="91" w:lineRule="exact"/>
        <w:rPr>
          <w:sz w:val="20"/>
          <w:szCs w:val="20"/>
          <w:color w:val="auto"/>
        </w:rPr>
      </w:pPr>
    </w:p>
    <w:p>
      <w:pPr>
        <w:ind w:right="20" w:firstLine="310"/>
        <w:spacing w:after="0" w:line="251" w:lineRule="auto"/>
        <w:rPr>
          <w:sz w:val="20"/>
          <w:szCs w:val="20"/>
          <w:color w:val="auto"/>
        </w:rPr>
      </w:pPr>
      <w:r>
        <w:rPr>
          <w:rFonts w:ascii="Times New Roman" w:cs="Times New Roman" w:eastAsia="Times New Roman" w:hAnsi="Times New Roman"/>
          <w:sz w:val="14"/>
          <w:szCs w:val="14"/>
          <w:color w:val="auto"/>
        </w:rPr>
        <w:t>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3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ARTICLE TWELVE</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12.01 </w:t>
      </w:r>
      <w:r>
        <w:rPr>
          <w:rFonts w:ascii="Times New Roman" w:cs="Times New Roman" w:eastAsia="Times New Roman" w:hAnsi="Times New Roman"/>
          <w:sz w:val="14"/>
          <w:szCs w:val="14"/>
          <w:b w:val="1"/>
          <w:bCs w:val="1"/>
          <w:u w:val="single" w:color="auto"/>
          <w:color w:val="auto"/>
        </w:rPr>
        <w:t>Trust Indenture Act Controls.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to be included in this Indenture by the TIA, the required provision shall control.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12.02 </w:t>
      </w:r>
      <w:r>
        <w:rPr>
          <w:rFonts w:ascii="Times New Roman" w:cs="Times New Roman" w:eastAsia="Times New Roman" w:hAnsi="Times New Roman"/>
          <w:sz w:val="14"/>
          <w:szCs w:val="14"/>
          <w:b w:val="1"/>
          <w:bCs w:val="1"/>
          <w:u w:val="single" w:color="auto"/>
          <w:color w:val="auto"/>
        </w:rPr>
        <w:t>Notices.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order, consent, notice or communication shall be sufficiently given if in writing and delivered in person or mailed by first class mail, postage prepaid, addressed as follows: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69" w:lineRule="exact"/>
        <w:rPr>
          <w:sz w:val="20"/>
          <w:szCs w:val="20"/>
          <w:color w:val="auto"/>
        </w:rPr>
      </w:pPr>
    </w:p>
    <w:p>
      <w:pPr>
        <w:ind w:right="60" w:firstLine="310"/>
        <w:spacing w:after="0" w:line="272" w:lineRule="auto"/>
        <w:rPr>
          <w:sz w:val="20"/>
          <w:szCs w:val="20"/>
          <w:color w:val="auto"/>
        </w:rPr>
      </w:pPr>
      <w:r>
        <w:rPr>
          <w:rFonts w:ascii="Times New Roman" w:cs="Times New Roman" w:eastAsia="Times New Roman" w:hAnsi="Times New Roman"/>
          <w:sz w:val="14"/>
          <w:szCs w:val="14"/>
          <w:color w:val="auto"/>
        </w:rPr>
        <w:t>Any notice or communication mailed to a Securityholder shall be mailed to him by first class mail at his address as it appears on the registration books of the Registrar and shall be sufficiently given to him if so mailed within the time prescribed.</w:t>
      </w:r>
    </w:p>
    <w:p>
      <w:pPr>
        <w:spacing w:after="0" w:line="131" w:lineRule="exact"/>
        <w:rPr>
          <w:sz w:val="20"/>
          <w:szCs w:val="20"/>
          <w:color w:val="auto"/>
        </w:rPr>
      </w:pPr>
    </w:p>
    <w:p>
      <w:pPr>
        <w:ind w:right="260" w:firstLine="310"/>
        <w:spacing w:after="0" w:line="272" w:lineRule="auto"/>
        <w:rPr>
          <w:sz w:val="20"/>
          <w:szCs w:val="20"/>
          <w:color w:val="auto"/>
        </w:rPr>
      </w:pPr>
      <w:r>
        <w:rPr>
          <w:rFonts w:ascii="Times New Roman" w:cs="Times New Roman" w:eastAsia="Times New Roman" w:hAnsi="Times New Roman"/>
          <w:sz w:val="14"/>
          <w:szCs w:val="14"/>
          <w:color w:val="auto"/>
        </w:rPr>
        <w:t>Failure to mail a notice or communication to a Securityholder or any defect in it shall not affect its sufficiency with respect to other Securityholders. If a notice or communication is mailed in the manner provided above,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00" w:top="1114"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color w:val="auto"/>
        </w:rPr>
        <w:t>duly given, whether or not the addressee receives it except that notice to the Trustee shall only be effective upon receipt thereof by the Trustee.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the Company mails notice or communications to the Securityholders, it shall mail a copy to the Trustee at the same time.</w:t>
      </w:r>
    </w:p>
    <w:p>
      <w:pPr>
        <w:spacing w:after="0" w:line="169" w:lineRule="exact"/>
        <w:rPr>
          <w:sz w:val="20"/>
          <w:szCs w:val="20"/>
          <w:color w:val="auto"/>
        </w:rPr>
      </w:pPr>
    </w:p>
    <w:p>
      <w:pPr>
        <w:ind w:right="80" w:firstLine="310"/>
        <w:spacing w:after="0" w:line="251" w:lineRule="auto"/>
        <w:rPr>
          <w:sz w:val="20"/>
          <w:szCs w:val="20"/>
          <w:color w:val="auto"/>
        </w:rPr>
      </w:pPr>
      <w:r>
        <w:rPr>
          <w:rFonts w:ascii="Times New Roman" w:cs="Times New Roman" w:eastAsia="Times New Roman" w:hAnsi="Times New Roman"/>
          <w:sz w:val="14"/>
          <w:szCs w:val="14"/>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12.03 </w:t>
      </w:r>
      <w:r>
        <w:rPr>
          <w:rFonts w:ascii="Times New Roman" w:cs="Times New Roman" w:eastAsia="Times New Roman" w:hAnsi="Times New Roman"/>
          <w:sz w:val="14"/>
          <w:szCs w:val="14"/>
          <w:b w:val="1"/>
          <w:bCs w:val="1"/>
          <w:u w:val="single" w:color="auto"/>
          <w:color w:val="auto"/>
        </w:rPr>
        <w:t>Communications by Holders with Other Holders.</w:t>
      </w:r>
    </w:p>
    <w:p>
      <w:pPr>
        <w:spacing w:after="0" w:line="91" w:lineRule="exact"/>
        <w:rPr>
          <w:sz w:val="20"/>
          <w:szCs w:val="20"/>
          <w:color w:val="auto"/>
        </w:rPr>
      </w:pPr>
    </w:p>
    <w:p>
      <w:pPr>
        <w:ind w:firstLine="310"/>
        <w:spacing w:after="0" w:line="272" w:lineRule="auto"/>
        <w:rPr>
          <w:sz w:val="20"/>
          <w:szCs w:val="20"/>
          <w:color w:val="auto"/>
        </w:rPr>
      </w:pPr>
      <w:r>
        <w:rPr>
          <w:rFonts w:ascii="Times New Roman" w:cs="Times New Roman" w:eastAsia="Times New Roman" w:hAnsi="Times New Roman"/>
          <w:sz w:val="14"/>
          <w:szCs w:val="14"/>
          <w:color w:val="auto"/>
        </w:rPr>
        <w:t>Securityholders may communicate pursuant to TIA § 312(b) with other Securityholders with respect to their rights under this Indenture or the Securities. The Company, the Trustee, the Registrar and anyone else shall have the protection of TIA § 312(c).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12.04 </w:t>
      </w:r>
      <w:r>
        <w:rPr>
          <w:rFonts w:ascii="Times New Roman" w:cs="Times New Roman" w:eastAsia="Times New Roman" w:hAnsi="Times New Roman"/>
          <w:sz w:val="14"/>
          <w:szCs w:val="14"/>
          <w:b w:val="1"/>
          <w:bCs w:val="1"/>
          <w:u w:val="single" w:color="auto"/>
          <w:color w:val="auto"/>
        </w:rPr>
        <w:t>Certificate and Opinion as to Conditions Precedent.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8" w:lineRule="exact"/>
        <w:rPr>
          <w:sz w:val="20"/>
          <w:szCs w:val="20"/>
          <w:color w:val="auto"/>
        </w:rPr>
      </w:pPr>
    </w:p>
    <w:p>
      <w:pPr>
        <w:ind w:left="560" w:right="260" w:hanging="310"/>
        <w:spacing w:after="0" w:line="246" w:lineRule="auto"/>
        <w:tabs>
          <w:tab w:leader="none" w:pos="54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Officers’ Certificate (which shall include the statements set forth in </w:t>
      </w:r>
      <w:r>
        <w:rPr>
          <w:rFonts w:ascii="Times New Roman" w:cs="Times New Roman" w:eastAsia="Times New Roman" w:hAnsi="Times New Roman"/>
          <w:sz w:val="14"/>
          <w:szCs w:val="14"/>
          <w:u w:val="single" w:color="auto"/>
          <w:color w:val="auto"/>
        </w:rPr>
        <w:t>Section 12.05</w:t>
      </w:r>
      <w:r>
        <w:rPr>
          <w:rFonts w:ascii="Times New Roman" w:cs="Times New Roman" w:eastAsia="Times New Roman" w:hAnsi="Times New Roman"/>
          <w:sz w:val="14"/>
          <w:szCs w:val="14"/>
          <w:color w:val="auto"/>
        </w:rPr>
        <w:t>) stating that, in the opinion of the signers, all conditions precedent, if any, provided for in this Indenture relating to the proposed action have been complied with; and</w:t>
      </w:r>
    </w:p>
    <w:p>
      <w:pPr>
        <w:ind w:left="560" w:right="440" w:hanging="310"/>
        <w:spacing w:after="0" w:line="252" w:lineRule="auto"/>
        <w:tabs>
          <w:tab w:leader="none" w:pos="54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Opinion of Counsel (which shall include the statements set forth in </w:t>
      </w:r>
      <w:r>
        <w:rPr>
          <w:rFonts w:ascii="Times New Roman" w:cs="Times New Roman" w:eastAsia="Times New Roman" w:hAnsi="Times New Roman"/>
          <w:sz w:val="14"/>
          <w:szCs w:val="14"/>
          <w:u w:val="single" w:color="auto"/>
          <w:color w:val="auto"/>
        </w:rPr>
        <w:t>Section 12.05</w:t>
      </w:r>
      <w:r>
        <w:rPr>
          <w:rFonts w:ascii="Times New Roman" w:cs="Times New Roman" w:eastAsia="Times New Roman" w:hAnsi="Times New Roman"/>
          <w:sz w:val="14"/>
          <w:szCs w:val="14"/>
          <w:color w:val="auto"/>
        </w:rPr>
        <w:t>) stating that, in the opinion of such counsel, all such conditions precedent, if any, provided for in this Indenture relating to the proposed action or inaction, have been complied with.</w:t>
      </w:r>
    </w:p>
    <w:p>
      <w:pPr>
        <w:spacing w:after="0" w:line="144"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Any Officers’ Certificate may be based, and may state that it is so based, insofar as it relates to legal matters, upon a certificate or opinion of, or representations by, internal or external legal counsel. Any Opinion of Counsel may be based, and may state that it is so based, insofar as it relates to factual matters, upon a certificate or opinion of, or representations by, an Officer or Officers of the Company or any guarantor stating that the information with respect to such factual matters is known to the Company or such guarantor, unless such counsel knows that the certificate or opinion or representations with respect to such matters are erroneous.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12.05 </w:t>
      </w:r>
      <w:r>
        <w:rPr>
          <w:rFonts w:ascii="Times New Roman" w:cs="Times New Roman" w:eastAsia="Times New Roman" w:hAnsi="Times New Roman"/>
          <w:sz w:val="14"/>
          <w:szCs w:val="14"/>
          <w:b w:val="1"/>
          <w:bCs w:val="1"/>
          <w:u w:val="single" w:color="auto"/>
          <w:color w:val="auto"/>
        </w:rPr>
        <w:t>Statements Required in Certificate or Opinion.</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shall include:</w:t>
      </w:r>
    </w:p>
    <w:p>
      <w:pPr>
        <w:spacing w:after="0" w:line="18" w:lineRule="exact"/>
        <w:rPr>
          <w:sz w:val="20"/>
          <w:szCs w:val="20"/>
          <w:color w:val="auto"/>
        </w:rPr>
      </w:pPr>
    </w:p>
    <w:p>
      <w:pPr>
        <w:ind w:left="540" w:hanging="290"/>
        <w:spacing w:after="0"/>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4" w:lineRule="exact"/>
        <w:rPr>
          <w:rFonts w:ascii="Times New Roman" w:cs="Times New Roman" w:eastAsia="Times New Roman" w:hAnsi="Times New Roman"/>
          <w:sz w:val="14"/>
          <w:szCs w:val="14"/>
          <w:color w:val="auto"/>
        </w:rPr>
      </w:pPr>
    </w:p>
    <w:p>
      <w:pPr>
        <w:ind w:left="540" w:hanging="290"/>
        <w:spacing w:after="0"/>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4" w:lineRule="exact"/>
        <w:rPr>
          <w:rFonts w:ascii="Times New Roman" w:cs="Times New Roman" w:eastAsia="Times New Roman" w:hAnsi="Times New Roman"/>
          <w:sz w:val="14"/>
          <w:szCs w:val="14"/>
          <w:color w:val="auto"/>
        </w:rPr>
      </w:pPr>
    </w:p>
    <w:p>
      <w:pPr>
        <w:ind w:left="560" w:right="20" w:hanging="310"/>
        <w:spacing w:after="0" w:line="246" w:lineRule="auto"/>
        <w:tabs>
          <w:tab w:leader="none" w:pos="548"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necessary to enable him to express an informed opinion as to whether or not such covenant or condition has been complied with; and</w:t>
      </w:r>
    </w:p>
    <w:p>
      <w:pPr>
        <w:ind w:left="540" w:hanging="290"/>
        <w:spacing w:after="0"/>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20"/>
          </w:cols>
          <w:pgMar w:left="300" w:top="1118"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12.06 </w:t>
      </w:r>
      <w:r>
        <w:rPr>
          <w:rFonts w:ascii="Times New Roman" w:cs="Times New Roman" w:eastAsia="Times New Roman" w:hAnsi="Times New Roman"/>
          <w:sz w:val="14"/>
          <w:szCs w:val="14"/>
          <w:b w:val="1"/>
          <w:bCs w:val="1"/>
          <w:u w:val="single" w:color="auto"/>
          <w:color w:val="auto"/>
        </w:rPr>
        <w:t>Rules by Trustee and Agents.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 meeting of Securityholders. The Registrar or Paying Agent may make reasonable rules for its functions.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12.07 </w:t>
      </w:r>
      <w:r>
        <w:rPr>
          <w:rFonts w:ascii="Times New Roman" w:cs="Times New Roman" w:eastAsia="Times New Roman" w:hAnsi="Times New Roman"/>
          <w:sz w:val="14"/>
          <w:szCs w:val="14"/>
          <w:b w:val="1"/>
          <w:bCs w:val="1"/>
          <w:u w:val="single" w:color="auto"/>
          <w:color w:val="auto"/>
        </w:rPr>
        <w:t>Legal Holidays.</w:t>
      </w:r>
    </w:p>
    <w:p>
      <w:pPr>
        <w:spacing w:after="0" w:line="87" w:lineRule="exact"/>
        <w:rPr>
          <w:sz w:val="20"/>
          <w:szCs w:val="20"/>
          <w:color w:val="auto"/>
        </w:rPr>
      </w:pPr>
    </w:p>
    <w:p>
      <w:pPr>
        <w:ind w:firstLine="310"/>
        <w:spacing w:after="0" w:line="256"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Legal Holiday</w:t>
      </w:r>
      <w:r>
        <w:rPr>
          <w:rFonts w:ascii="Times New Roman" w:cs="Times New Roman" w:eastAsia="Times New Roman" w:hAnsi="Times New Roman"/>
          <w:sz w:val="14"/>
          <w:szCs w:val="14"/>
          <w:color w:val="auto"/>
        </w:rPr>
        <w:t>” is a Saturday, a Sunday, a legal holiday or a day on which banking institutions in New York, New York are not required to be open. If a payment date is a Legal Holiday, payment may be made on the next succeeding day that is not a Legal Holiday, and no interest shall accrue for the intervening period.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 A “</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is any day other than a Legal Holiday.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12.08 </w:t>
      </w:r>
      <w:r>
        <w:rPr>
          <w:rFonts w:ascii="Times New Roman" w:cs="Times New Roman" w:eastAsia="Times New Roman" w:hAnsi="Times New Roman"/>
          <w:sz w:val="14"/>
          <w:szCs w:val="14"/>
          <w:b w:val="1"/>
          <w:bCs w:val="1"/>
          <w:u w:val="single" w:color="auto"/>
          <w:color w:val="auto"/>
        </w:rPr>
        <w:t>Governing Law.</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laws of the State of New York shall govern this Indenture and the Securities of each Series.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12.09 </w:t>
      </w:r>
      <w:r>
        <w:rPr>
          <w:rFonts w:ascii="Times New Roman" w:cs="Times New Roman" w:eastAsia="Times New Roman" w:hAnsi="Times New Roman"/>
          <w:sz w:val="14"/>
          <w:szCs w:val="14"/>
          <w:b w:val="1"/>
          <w:bCs w:val="1"/>
          <w:u w:val="single" w:color="auto"/>
          <w:color w:val="auto"/>
        </w:rPr>
        <w:t>No Adverse Interpretation of Other Agreements.</w:t>
      </w:r>
    </w:p>
    <w:p>
      <w:pPr>
        <w:spacing w:after="0" w:line="91" w:lineRule="exact"/>
        <w:rPr>
          <w:sz w:val="20"/>
          <w:szCs w:val="20"/>
          <w:color w:val="auto"/>
        </w:rPr>
      </w:pPr>
    </w:p>
    <w:p>
      <w:pPr>
        <w:ind w:right="120" w:firstLine="310"/>
        <w:spacing w:after="0" w:line="272"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Any such indenture, loan or debt agreement may not be used to interpret this Indenture.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12.10 </w:t>
      </w:r>
      <w:r>
        <w:rPr>
          <w:rFonts w:ascii="Times New Roman" w:cs="Times New Roman" w:eastAsia="Times New Roman" w:hAnsi="Times New Roman"/>
          <w:sz w:val="14"/>
          <w:szCs w:val="14"/>
          <w:b w:val="1"/>
          <w:bCs w:val="1"/>
          <w:u w:val="single" w:color="auto"/>
          <w:color w:val="auto"/>
        </w:rPr>
        <w:t>No Recourse Against Others.</w:t>
      </w:r>
    </w:p>
    <w:p>
      <w:pPr>
        <w:spacing w:after="0" w:line="91" w:lineRule="exact"/>
        <w:rPr>
          <w:sz w:val="20"/>
          <w:szCs w:val="20"/>
          <w:color w:val="auto"/>
        </w:rPr>
      </w:pPr>
    </w:p>
    <w:p>
      <w:pPr>
        <w:ind w:right="240" w:firstLine="310"/>
        <w:spacing w:after="0" w:line="272" w:lineRule="auto"/>
        <w:rPr>
          <w:sz w:val="20"/>
          <w:szCs w:val="20"/>
          <w:color w:val="auto"/>
        </w:rPr>
      </w:pPr>
      <w:r>
        <w:rPr>
          <w:rFonts w:ascii="Times New Roman" w:cs="Times New Roman" w:eastAsia="Times New Roman" w:hAnsi="Times New Roman"/>
          <w:sz w:val="14"/>
          <w:szCs w:val="14"/>
          <w:color w:val="auto"/>
        </w:rPr>
        <w:t xml:space="preserve">All liability described in </w:t>
      </w:r>
      <w:r>
        <w:rPr>
          <w:rFonts w:ascii="Times New Roman" w:cs="Times New Roman" w:eastAsia="Times New Roman" w:hAnsi="Times New Roman"/>
          <w:sz w:val="14"/>
          <w:szCs w:val="14"/>
          <w:u w:val="single" w:color="auto"/>
          <w:color w:val="auto"/>
        </w:rPr>
        <w:t>Paragraph 12</w:t>
      </w:r>
      <w:r>
        <w:rPr>
          <w:rFonts w:ascii="Times New Roman" w:cs="Times New Roman" w:eastAsia="Times New Roman" w:hAnsi="Times New Roman"/>
          <w:sz w:val="14"/>
          <w:szCs w:val="14"/>
          <w:color w:val="auto"/>
        </w:rPr>
        <w:t xml:space="preserve"> of the Securities of any director, officer, employee or stockholder, as such, of the Company is, to the fullest extent permitted by applicable law, waived and released.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12.11 </w:t>
      </w:r>
      <w:r>
        <w:rPr>
          <w:rFonts w:ascii="Times New Roman" w:cs="Times New Roman" w:eastAsia="Times New Roman" w:hAnsi="Times New Roman"/>
          <w:sz w:val="14"/>
          <w:szCs w:val="14"/>
          <w:b w:val="1"/>
          <w:bCs w:val="1"/>
          <w:u w:val="single" w:color="auto"/>
          <w:color w:val="auto"/>
        </w:rPr>
        <w:t>Successors and Assigns.</w:t>
      </w:r>
    </w:p>
    <w:p>
      <w:pPr>
        <w:spacing w:after="0" w:line="91" w:lineRule="exact"/>
        <w:rPr>
          <w:sz w:val="20"/>
          <w:szCs w:val="20"/>
          <w:color w:val="auto"/>
        </w:rPr>
      </w:pPr>
    </w:p>
    <w:p>
      <w:pPr>
        <w:ind w:right="140" w:firstLine="310"/>
        <w:spacing w:after="0" w:line="272" w:lineRule="auto"/>
        <w:rPr>
          <w:sz w:val="20"/>
          <w:szCs w:val="20"/>
          <w:color w:val="auto"/>
        </w:rPr>
      </w:pPr>
      <w:r>
        <w:rPr>
          <w:rFonts w:ascii="Times New Roman" w:cs="Times New Roman" w:eastAsia="Times New Roman" w:hAnsi="Times New Roman"/>
          <w:sz w:val="14"/>
          <w:szCs w:val="14"/>
          <w:color w:val="auto"/>
        </w:rPr>
        <w:t>All covenants and agreements of the Company in this Indenture and the Securities shall bind its successors and assigns. All agreements of the Trustee in this Indenture shall bind its successors and assigns.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12.12 </w:t>
      </w:r>
      <w:r>
        <w:rPr>
          <w:rFonts w:ascii="Times New Roman" w:cs="Times New Roman" w:eastAsia="Times New Roman" w:hAnsi="Times New Roman"/>
          <w:sz w:val="14"/>
          <w:szCs w:val="14"/>
          <w:b w:val="1"/>
          <w:bCs w:val="1"/>
          <w:u w:val="single" w:color="auto"/>
          <w:color w:val="auto"/>
        </w:rPr>
        <w:t>Duplicate Originals.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parties may sign any number of copies of this Indenture. Each signed copy shall be an original, but all of them together represent the same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12.13 </w:t>
      </w:r>
      <w:r>
        <w:rPr>
          <w:rFonts w:ascii="Times New Roman" w:cs="Times New Roman" w:eastAsia="Times New Roman" w:hAnsi="Times New Roman"/>
          <w:sz w:val="14"/>
          <w:szCs w:val="14"/>
          <w:b w:val="1"/>
          <w:bCs w:val="1"/>
          <w:u w:val="single" w:color="auto"/>
          <w:color w:val="auto"/>
        </w:rPr>
        <w:t>Severability.</w:t>
      </w:r>
    </w:p>
    <w:p>
      <w:pPr>
        <w:spacing w:after="0" w:line="91" w:lineRule="exact"/>
        <w:rPr>
          <w:sz w:val="20"/>
          <w:szCs w:val="20"/>
          <w:color w:val="auto"/>
        </w:rPr>
      </w:pPr>
    </w:p>
    <w:p>
      <w:pPr>
        <w:ind w:right="80" w:firstLine="310"/>
        <w:spacing w:after="0" w:line="272"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Section 12.14 </w:t>
      </w:r>
      <w:r>
        <w:rPr>
          <w:rFonts w:ascii="Times New Roman" w:cs="Times New Roman" w:eastAsia="Times New Roman" w:hAnsi="Times New Roman"/>
          <w:sz w:val="14"/>
          <w:szCs w:val="14"/>
          <w:b w:val="1"/>
          <w:bCs w:val="1"/>
          <w:u w:val="single" w:color="auto"/>
          <w:color w:val="auto"/>
        </w:rPr>
        <w:t>Waiver of Jury Trial.</w:t>
      </w:r>
    </w:p>
    <w:p>
      <w:pPr>
        <w:spacing w:after="0" w:line="91" w:lineRule="exact"/>
        <w:rPr>
          <w:sz w:val="20"/>
          <w:szCs w:val="20"/>
          <w:color w:val="auto"/>
        </w:rPr>
      </w:pPr>
    </w:p>
    <w:p>
      <w:pPr>
        <w:ind w:right="260" w:firstLine="310"/>
        <w:spacing w:after="0" w:line="311" w:lineRule="auto"/>
        <w:rPr>
          <w:sz w:val="20"/>
          <w:szCs w:val="20"/>
          <w:color w:val="auto"/>
        </w:rPr>
      </w:pPr>
      <w:r>
        <w:rPr>
          <w:rFonts w:ascii="Times New Roman" w:cs="Times New Roman" w:eastAsia="Times New Roman" w:hAnsi="Times New Roman"/>
          <w:sz w:val="13"/>
          <w:szCs w:val="13"/>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20"/>
          </w:cols>
          <w:pgMar w:left="300" w:top="1114" w:right="379" w:bottom="1440" w:gutter="0" w:footer="0" w:header="0"/>
        </w:sectPr>
      </w:pPr>
    </w:p>
    <w:bookmarkStart w:id="126" w:name="page127"/>
    <w:bookmarkEnd w:id="126"/>
    <w:p>
      <w:pPr>
        <w:ind w:left="48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Indenture to be duly executed, all as of the date first above written.</w:t>
      </w:r>
    </w:p>
    <w:p>
      <w:pPr>
        <w:spacing w:after="0" w:line="31"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SPYRE THERAPEUTICS, INC.</w:t>
      </w:r>
    </w:p>
    <w:p>
      <w:pPr>
        <w:spacing w:after="0" w:line="14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10795</wp:posOffset>
            </wp:positionV>
            <wp:extent cx="237934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2379345" cy="6350"/>
                    </a:xfrm>
                    <a:prstGeom prst="rect">
                      <a:avLst/>
                    </a:prstGeom>
                    <a:noFill/>
                  </pic:spPr>
                </pic:pic>
              </a:graphicData>
            </a:graphic>
          </wp:anchor>
        </w:drawing>
      </w:r>
    </w:p>
    <w:p>
      <w:pPr>
        <w:ind w:left="642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Title:</w:t>
      </w:r>
    </w:p>
    <w:p>
      <w:pPr>
        <w:spacing w:after="0" w:line="135" w:lineRule="exact"/>
        <w:rPr>
          <w:sz w:val="20"/>
          <w:szCs w:val="20"/>
          <w:color w:val="auto"/>
        </w:rPr>
      </w:pPr>
    </w:p>
    <w:p>
      <w:pPr>
        <w:ind w:left="6420"/>
        <w:spacing w:after="0"/>
        <w:tabs>
          <w:tab w:leader="none" w:pos="71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as Trustee</w:t>
      </w:r>
    </w:p>
    <w:p>
      <w:pPr>
        <w:spacing w:after="0" w:line="13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10795</wp:posOffset>
            </wp:positionV>
            <wp:extent cx="237934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2379345" cy="6350"/>
                    </a:xfrm>
                    <a:prstGeom prst="rect">
                      <a:avLst/>
                    </a:prstGeom>
                    <a:noFill/>
                  </pic:spPr>
                </pic:pic>
              </a:graphicData>
            </a:graphic>
          </wp:anchor>
        </w:drawing>
      </w:r>
    </w:p>
    <w:p>
      <w:pPr>
        <w:ind w:left="642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839"/>
          </w:cols>
          <w:pgMar w:left="620" w:top="1114" w:right="1440" w:bottom="1440" w:gutter="0" w:footer="0" w:header="0"/>
        </w:sectPr>
      </w:pPr>
    </w:p>
    <w:bookmarkStart w:id="127" w:name="page128"/>
    <w:bookmarkEnd w:id="127"/>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promises to pay to or registered assigns the principal sum of [Dollars]* 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 Dates: 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Dates: 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20" w:hanging="1017"/>
        <w:spacing w:after="0"/>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right="1240"/>
        <w:spacing w:after="0" w:line="311" w:lineRule="auto"/>
        <w:rPr>
          <w:sz w:val="20"/>
          <w:szCs w:val="20"/>
          <w:color w:val="auto"/>
        </w:rPr>
      </w:pPr>
      <w:r>
        <w:rPr>
          <w:rFonts w:ascii="Times New Roman" w:cs="Times New Roman" w:eastAsia="Times New Roman" w:hAnsi="Times New Roman"/>
          <w:sz w:val="13"/>
          <w:szCs w:val="13"/>
          <w:color w:val="auto"/>
        </w:rPr>
        <w:t>as Trustee, certifies that this is one of the Securities referred to in the within mentioned Indenture.</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24130</wp:posOffset>
            </wp:positionV>
            <wp:extent cx="266128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2661285" cy="6350"/>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CUSIP/ISIN No.:</w:t>
      </w:r>
    </w:p>
    <w:p>
      <w:pPr>
        <w:spacing w:after="0" w:line="242" w:lineRule="exact"/>
        <w:rPr>
          <w:sz w:val="20"/>
          <w:szCs w:val="20"/>
          <w:color w:val="auto"/>
        </w:rPr>
      </w:pPr>
    </w:p>
    <w:p>
      <w:pPr>
        <w:jc w:val="center"/>
        <w:ind w:right="3559"/>
        <w:spacing w:after="0"/>
        <w:rPr>
          <w:sz w:val="20"/>
          <w:szCs w:val="20"/>
          <w:color w:val="auto"/>
        </w:rPr>
      </w:pPr>
      <w:r>
        <w:rPr>
          <w:rFonts w:ascii="Times New Roman" w:cs="Times New Roman" w:eastAsia="Times New Roman" w:hAnsi="Times New Roman"/>
          <w:sz w:val="14"/>
          <w:szCs w:val="14"/>
          <w:color w:val="auto"/>
        </w:rPr>
        <w:t>[Title of Security]</w:t>
      </w:r>
    </w:p>
    <w:p>
      <w:pPr>
        <w:spacing w:after="0" w:line="165" w:lineRule="exact"/>
        <w:rPr>
          <w:sz w:val="20"/>
          <w:szCs w:val="20"/>
          <w:color w:val="auto"/>
        </w:rPr>
      </w:pPr>
    </w:p>
    <w:p>
      <w:pPr>
        <w:jc w:val="center"/>
        <w:ind w:right="3559"/>
        <w:spacing w:after="0"/>
        <w:rPr>
          <w:sz w:val="20"/>
          <w:szCs w:val="20"/>
          <w:color w:val="auto"/>
        </w:rPr>
      </w:pPr>
      <w:r>
        <w:rPr>
          <w:rFonts w:ascii="Times New Roman" w:cs="Times New Roman" w:eastAsia="Times New Roman" w:hAnsi="Times New Roman"/>
          <w:sz w:val="13"/>
          <w:szCs w:val="13"/>
          <w:b w:val="1"/>
          <w:bCs w:val="1"/>
          <w:color w:val="auto"/>
        </w:rPr>
        <w:t>SPYRE THERAPEUTICS, INC.</w:t>
      </w:r>
    </w:p>
    <w:p>
      <w:pPr>
        <w:spacing w:after="0" w:line="33" w:lineRule="exact"/>
        <w:rPr>
          <w:sz w:val="20"/>
          <w:szCs w:val="20"/>
          <w:color w:val="auto"/>
        </w:rPr>
      </w:pPr>
    </w:p>
    <w:p>
      <w:pPr>
        <w:jc w:val="center"/>
        <w:ind w:right="3559"/>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b w:val="1"/>
          <w:bCs w:val="1"/>
          <w:color w:val="auto"/>
        </w:rPr>
        <w:t>SPYRE THERAPEUTICS, INC.</w:t>
      </w:r>
    </w:p>
    <w:p>
      <w:pPr>
        <w:spacing w:after="0" w:line="19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10795</wp:posOffset>
            </wp:positionV>
            <wp:extent cx="237934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2379345" cy="635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Title:</w:t>
      </w:r>
    </w:p>
    <w:p>
      <w:pPr>
        <w:spacing w:after="0" w:line="1673" w:lineRule="exact"/>
        <w:rPr>
          <w:sz w:val="20"/>
          <w:szCs w:val="20"/>
          <w:color w:val="auto"/>
        </w:rPr>
      </w:pPr>
    </w:p>
    <w:p>
      <w:pPr>
        <w:sectPr>
          <w:pgSz w:w="11900" w:h="16838" w:orient="portrait"/>
          <w:cols w:equalWidth="0" w:num="2">
            <w:col w:w="4080" w:space="600"/>
            <w:col w:w="5479"/>
          </w:cols>
          <w:pgMar w:left="300" w:top="1103" w:right="1440" w:bottom="1440" w:gutter="0" w:footer="0" w:header="0"/>
        </w:sectPr>
      </w:pPr>
    </w:p>
    <w:p>
      <w:pPr>
        <w:spacing w:after="0" w:line="145" w:lineRule="exact"/>
        <w:rPr>
          <w:sz w:val="20"/>
          <w:szCs w:val="20"/>
          <w:color w:val="auto"/>
        </w:rPr>
      </w:pPr>
    </w:p>
    <w:p>
      <w:pPr>
        <w:ind w:left="200" w:hanging="197"/>
        <w:spacing w:after="0"/>
        <w:tabs>
          <w:tab w:leader="none" w:pos="2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other currency. Insert corresponding provisions on reverse side of Security in respect of foreign currency denomination or interest payment requirement.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41"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1103" w:right="1440"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SPYRE THERAPEUTICS,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Security]</w:t>
      </w:r>
    </w:p>
    <w:p>
      <w:pPr>
        <w:spacing w:after="0" w:line="165" w:lineRule="exact"/>
        <w:rPr>
          <w:sz w:val="20"/>
          <w:szCs w:val="20"/>
          <w:color w:val="auto"/>
        </w:rPr>
      </w:pPr>
    </w:p>
    <w:p>
      <w:pPr>
        <w:ind w:firstLine="310"/>
        <w:spacing w:after="0" w:line="254" w:lineRule="auto"/>
        <w:rPr>
          <w:sz w:val="20"/>
          <w:szCs w:val="20"/>
          <w:color w:val="auto"/>
        </w:rPr>
      </w:pPr>
      <w:r>
        <w:rPr>
          <w:rFonts w:ascii="Times New Roman" w:cs="Times New Roman" w:eastAsia="Times New Roman" w:hAnsi="Times New Roman"/>
          <w:sz w:val="14"/>
          <w:szCs w:val="14"/>
          <w:color w:val="auto"/>
        </w:rPr>
        <w:t>SPYRE THERAPEUTICS, INC., a Delaware corporation (together with its successors and assigns,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issued this Security under an Indenture dated as of (as amended, modified or supplemented from time to time in accordance therewith, the “</w:t>
      </w:r>
      <w:r>
        <w:rPr>
          <w:rFonts w:ascii="Times New Roman" w:cs="Times New Roman" w:eastAsia="Times New Roman" w:hAnsi="Times New Roman"/>
          <w:sz w:val="14"/>
          <w:szCs w:val="14"/>
          <w:b w:val="1"/>
          <w:bCs w:val="1"/>
          <w:color w:val="auto"/>
        </w:rPr>
        <w:t>Base Indenture</w:t>
      </w:r>
      <w:r>
        <w:rPr>
          <w:rFonts w:ascii="Times New Roman" w:cs="Times New Roman" w:eastAsia="Times New Roman" w:hAnsi="Times New Roman"/>
          <w:sz w:val="14"/>
          <w:szCs w:val="14"/>
          <w:color w:val="auto"/>
        </w:rPr>
        <w:t>”), as supplemented by the Supplemental Indenture dated as of (the “</w:t>
      </w:r>
      <w:r>
        <w:rPr>
          <w:rFonts w:ascii="Times New Roman" w:cs="Times New Roman" w:eastAsia="Times New Roman" w:hAnsi="Times New Roman"/>
          <w:sz w:val="14"/>
          <w:szCs w:val="14"/>
          <w:b w:val="1"/>
          <w:bCs w:val="1"/>
          <w:color w:val="auto"/>
        </w:rPr>
        <w:t>Supplemental Indenture</w:t>
      </w:r>
      <w:r>
        <w:rPr>
          <w:rFonts w:ascii="Times New Roman" w:cs="Times New Roman" w:eastAsia="Times New Roman" w:hAnsi="Times New Roman"/>
          <w:sz w:val="14"/>
          <w:szCs w:val="14"/>
          <w:color w:val="auto"/>
        </w:rPr>
        <w:t>” and together with the Base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by and among the Company and [ ], as trustee (in such capacity,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to which reference is hereby made for a statement of the respective rights, obligations, duties and immunities thereunder of the Company, the Trustee and the Holders and of the terms upon which the Securities are, and are to be, authorized and delivered. All terms used in this Security that are defined in the Indenture shall have the meanings assigned to them therein.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1. Interest. </w:t>
            </w:r>
            <w:r>
              <w:rPr>
                <w:rFonts w:ascii="Times New Roman" w:cs="Times New Roman" w:eastAsia="Times New Roman" w:hAnsi="Times New Roman"/>
                <w:sz w:val="14"/>
                <w:szCs w:val="14"/>
                <w:color w:val="auto"/>
              </w:rPr>
              <w:t>The Company promises to pay interest on the principal amount of this Security at the rate per annum shown above. The Company will pay interest semiannually on</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w:t>
            </w:r>
          </w:p>
        </w:tc>
      </w:tr>
      <w:tr>
        <w:trPr>
          <w:trHeight w:val="20"/>
        </w:trPr>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r>
      <w:tr>
        <w:trPr>
          <w:trHeight w:val="163"/>
        </w:trPr>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 each year, commencing</w:t>
            </w:r>
          </w:p>
        </w:tc>
        <w:tc>
          <w:tcPr>
            <w:tcW w:w="5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8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w w:val="98"/>
              </w:rPr>
              <w:t>, until the principal is paid or made available for payment. Interest on the Securities will accrue from the most recent date to which interest has been paid or</w:t>
            </w:r>
          </w:p>
        </w:tc>
      </w:tr>
      <w:tr>
        <w:trPr>
          <w:trHeight w:val="179"/>
        </w:trPr>
        <w:tc>
          <w:tcPr>
            <w:tcW w:w="32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duly provided for or, if no interest has been paid, from</w:t>
            </w:r>
          </w:p>
        </w:tc>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Interest will be computed on the basis of a 360-day year of twelve 30-day months.</w:t>
            </w:r>
          </w:p>
        </w:tc>
        <w:tc>
          <w:tcPr>
            <w:tcW w:w="880" w:type="dxa"/>
            <w:vAlign w:val="bottom"/>
          </w:tcPr>
          <w:p>
            <w:pPr>
              <w:spacing w:after="0"/>
              <w:rPr>
                <w:sz w:val="15"/>
                <w:szCs w:val="15"/>
                <w:color w:val="auto"/>
              </w:rPr>
            </w:pPr>
          </w:p>
        </w:tc>
      </w:tr>
    </w:tbl>
    <w:p>
      <w:pPr>
        <w:spacing w:after="0" w:line="148" w:lineRule="exact"/>
        <w:rPr>
          <w:sz w:val="20"/>
          <w:szCs w:val="20"/>
          <w:color w:val="auto"/>
        </w:rPr>
      </w:pPr>
    </w:p>
    <w:p>
      <w:pPr>
        <w:ind w:firstLine="312"/>
        <w:spacing w:after="0" w:line="256" w:lineRule="auto"/>
        <w:tabs>
          <w:tab w:leader="none" w:pos="447"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Method of Payment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will pay interest on the Securities (except defaulted interest, if any, which will be paid on such special payment date to Holders of record on such special record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as may be fixed by the Company) to the persons who are registered Holders of Securities at the close of business on the [Insert record dates] immediately preceding the interest payment date. Holders must surrender Securities to a Paying Agent to collect principal payments. The Company will pay principal and interest in money of [Insert applicable country or currency] that at the time of payment is legal tender for payment of public and private debts.</w:t>
      </w:r>
    </w:p>
    <w:p>
      <w:pPr>
        <w:spacing w:after="0" w:line="138" w:lineRule="exact"/>
        <w:rPr>
          <w:rFonts w:ascii="Times New Roman" w:cs="Times New Roman" w:eastAsia="Times New Roman" w:hAnsi="Times New Roman"/>
          <w:sz w:val="14"/>
          <w:szCs w:val="14"/>
          <w:b w:val="1"/>
          <w:bCs w:val="1"/>
          <w:color w:val="auto"/>
        </w:rPr>
      </w:pPr>
    </w:p>
    <w:p>
      <w:pPr>
        <w:ind w:right="160" w:firstLine="312"/>
        <w:spacing w:after="0" w:line="278" w:lineRule="auto"/>
        <w:tabs>
          <w:tab w:leader="none" w:pos="447"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Paying Agent and Registrar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Initially, the Trustee will act as Paying Agent and Registrar. The Company may change or appoint any Paying Agent, Registrar or co-Registrar without notice.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or any of its Subsidiaries or any of their Affiliates may act as Paying Agent, Registrar or co-Registrar.</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4. Optional Redemption.</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may redeem the Securities at any time on or after</w:t>
            </w:r>
          </w:p>
        </w:tc>
        <w:tc>
          <w:tcPr>
            <w:tcW w:w="52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w w:val="97"/>
              </w:rPr>
              <w:t>, in whole or in part, at the following redemption prices (expressed as a percentage of their</w:t>
            </w:r>
          </w:p>
        </w:tc>
      </w:tr>
      <w:tr>
        <w:trPr>
          <w:trHeight w:val="20"/>
        </w:trPr>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7"/>
        </w:trPr>
        <w:tc>
          <w:tcPr>
            <w:tcW w:w="5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principal amount) together with interest accrued and unpaid to the date fixed for redemption:</w:t>
            </w:r>
          </w:p>
        </w:tc>
        <w:tc>
          <w:tcPr>
            <w:tcW w:w="2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1"/>
        </w:trPr>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If redeemed during the twelve-month period</w:t>
            </w:r>
          </w:p>
        </w:tc>
        <w:tc>
          <w:tcPr>
            <w:tcW w:w="2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4"/>
        </w:trPr>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commencing on and ending on in each of</w:t>
            </w:r>
          </w:p>
        </w:tc>
        <w:tc>
          <w:tcPr>
            <w:tcW w:w="2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54"/>
        </w:trPr>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the following years</w:t>
            </w:r>
          </w:p>
        </w:tc>
        <w:tc>
          <w:tcPr>
            <w:tcW w:w="2520" w:type="dxa"/>
            <w:vAlign w:val="bottom"/>
          </w:tcPr>
          <w:p>
            <w:pPr>
              <w:spacing w:after="0"/>
              <w:rPr>
                <w:sz w:val="13"/>
                <w:szCs w:val="13"/>
                <w:color w:val="auto"/>
              </w:rPr>
            </w:pPr>
          </w:p>
        </w:tc>
        <w:tc>
          <w:tcPr>
            <w:tcW w:w="27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Percentage</w:t>
            </w:r>
          </w:p>
        </w:tc>
      </w:tr>
      <w:tr>
        <w:trPr>
          <w:trHeight w:val="196"/>
        </w:trPr>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bl>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[Insert provisions relating to redemption at option of Holders, if any]</w:t>
      </w:r>
    </w:p>
    <w:p>
      <w:pPr>
        <w:spacing w:after="0" w:line="169" w:lineRule="exact"/>
        <w:rPr>
          <w:sz w:val="20"/>
          <w:szCs w:val="20"/>
          <w:color w:val="auto"/>
        </w:rPr>
      </w:pPr>
    </w:p>
    <w:p>
      <w:pPr>
        <w:ind w:right="220" w:firstLine="310"/>
        <w:spacing w:after="0" w:line="236" w:lineRule="auto"/>
        <w:rPr>
          <w:sz w:val="20"/>
          <w:szCs w:val="20"/>
          <w:color w:val="auto"/>
        </w:rPr>
      </w:pPr>
      <w:r>
        <w:rPr>
          <w:rFonts w:ascii="Times New Roman" w:cs="Times New Roman" w:eastAsia="Times New Roman" w:hAnsi="Times New Roman"/>
          <w:sz w:val="14"/>
          <w:szCs w:val="14"/>
          <w:color w:val="auto"/>
        </w:rPr>
        <w:t xml:space="preserve">Notice of redemption will be mailed at least 30 days but not more than 60 days before the redemption date to each Holder of Securities to be redeemed at its registered address. Securities in denominations larger than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may be redeemed in part. On and after the redemption date interest ceases to accrue on Securities or portions of them called for redemption,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Company shall default in the payment of such Securities at the redemption price together with accrued interest, interest shall continue to accrue at the rate borne by the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5. Mandatory Redemption.</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shall redeem [</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of the aggregate principal amount of Securities originally issued under the Indenture on each of [</w:t>
            </w:r>
          </w:p>
        </w:tc>
        <w:tc>
          <w:tcPr>
            <w:tcW w:w="146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6"/>
              </w:rPr>
              <w:t>], which redemptions</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7"/>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are calculated to retire [</w:t>
            </w:r>
          </w:p>
        </w:tc>
        <w:tc>
          <w:tcPr>
            <w:tcW w:w="8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of the Securities originally issued prior to maturity. Such redemptions shall be made at a redemption</w:t>
            </w:r>
          </w:p>
        </w:tc>
        <w:tc>
          <w:tcPr>
            <w:tcW w:w="14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131127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1311275" cy="6350"/>
                    </a:xfrm>
                    <a:prstGeom prst="rect">
                      <a:avLst/>
                    </a:prstGeom>
                    <a:noFill/>
                  </pic:spPr>
                </pic:pic>
              </a:graphicData>
            </a:graphic>
          </wp:anchor>
        </w:drawing>
      </w:r>
    </w:p>
    <w:p>
      <w:pPr>
        <w:spacing w:after="0" w:line="178" w:lineRule="exact"/>
        <w:rPr>
          <w:sz w:val="20"/>
          <w:szCs w:val="20"/>
          <w:color w:val="auto"/>
        </w:rPr>
      </w:pPr>
    </w:p>
    <w:p>
      <w:pPr>
        <w:ind w:left="80" w:hanging="77"/>
        <w:spacing w:after="0"/>
        <w:tabs>
          <w:tab w:leader="none" w:pos="80" w:val="left"/>
        </w:tabs>
        <w:numPr>
          <w:ilvl w:val="0"/>
          <w:numId w:val="1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If applicable</w:t>
      </w:r>
    </w:p>
    <w:p>
      <w:pPr>
        <w:ind w:left="80" w:hanging="77"/>
        <w:spacing w:after="0" w:line="200" w:lineRule="auto"/>
        <w:tabs>
          <w:tab w:leader="none" w:pos="80" w:val="left"/>
        </w:tabs>
        <w:numPr>
          <w:ilvl w:val="0"/>
          <w:numId w:val="1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Insert applicable denominations and multiples.</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 xml:space="preserve"> If applicable.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1114" w:right="319" w:bottom="1440" w:gutter="0" w:footer="0" w:header="0"/>
        </w:sectPr>
      </w:pPr>
    </w:p>
    <w:bookmarkStart w:id="129" w:name="page130"/>
    <w:bookmarkEnd w:id="129"/>
    <w:p>
      <w:pPr>
        <w:ind w:right="100"/>
        <w:spacing w:after="0" w:line="254" w:lineRule="auto"/>
        <w:rPr>
          <w:sz w:val="20"/>
          <w:szCs w:val="20"/>
          <w:color w:val="auto"/>
        </w:rPr>
      </w:pPr>
      <w:r>
        <w:rPr>
          <w:rFonts w:ascii="Times New Roman" w:cs="Times New Roman" w:eastAsia="Times New Roman" w:hAnsi="Times New Roman"/>
          <w:sz w:val="14"/>
          <w:szCs w:val="14"/>
          <w:color w:val="auto"/>
        </w:rPr>
        <w:t xml:space="preserve">price equal to 100% of the principal amount thereof, together with accrued interest to the redemption date. The Company may reduce the principal amount of Securities to be redeemed pursuant to this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by the principal amount of any Securities previously redeemed, retired or acquired, otherwise than pursuant to this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xml:space="preserve">, that the Company has delivered to the Trustee for cancellation and not previously credited to the Company’s obligations under this </w:t>
      </w:r>
      <w:r>
        <w:rPr>
          <w:rFonts w:ascii="Times New Roman" w:cs="Times New Roman" w:eastAsia="Times New Roman" w:hAnsi="Times New Roman"/>
          <w:sz w:val="14"/>
          <w:szCs w:val="14"/>
          <w:u w:val="single" w:color="auto"/>
          <w:color w:val="auto"/>
        </w:rPr>
        <w:t>Paragraph 5</w:t>
      </w:r>
      <w:r>
        <w:rPr>
          <w:rFonts w:ascii="Times New Roman" w:cs="Times New Roman" w:eastAsia="Times New Roman" w:hAnsi="Times New Roman"/>
          <w:sz w:val="14"/>
          <w:szCs w:val="14"/>
          <w:color w:val="auto"/>
        </w:rPr>
        <w:t>. Each such Security shall be received and credited for such purpose by the Trustee at the redemption price and the amount of such mandatory redemption payment shall be reduced accordingly.</w:t>
      </w:r>
    </w:p>
    <w:p>
      <w:pPr>
        <w:spacing w:after="0" w:line="140" w:lineRule="exact"/>
        <w:rPr>
          <w:sz w:val="20"/>
          <w:szCs w:val="20"/>
          <w:color w:val="auto"/>
        </w:rPr>
      </w:pPr>
    </w:p>
    <w:p>
      <w:pPr>
        <w:ind w:right="60" w:firstLine="31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6. </w:t>
      </w:r>
      <w:r>
        <w:rPr>
          <w:rFonts w:ascii="Times New Roman" w:cs="Times New Roman" w:eastAsia="Times New Roman" w:hAnsi="Times New Roman"/>
          <w:sz w:val="14"/>
          <w:szCs w:val="14"/>
          <w:b w:val="1"/>
          <w:bCs w:val="1"/>
          <w:u w:val="single" w:color="auto"/>
          <w:color w:val="auto"/>
        </w:rPr>
        <w:t>Denominations, Transfer,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Securities are in registered form only without coupons in denominations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integral multiples of in excess thereof.</w:t>
      </w:r>
      <w:r>
        <w:rPr>
          <w:rFonts w:ascii="Times New Roman" w:cs="Times New Roman" w:eastAsia="Times New Roman" w:hAnsi="Times New Roman"/>
          <w:sz w:val="17"/>
          <w:szCs w:val="17"/>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transfer or exchange Securities by presentation of such Securities to the Registrar or a co-Registrar with a request to register the transfer or to exchange them for an equal principal amount of Securities of other denominations. The Registrar may require a Holder, among other things, to furnish appropriate endorsements and transfer documents and to pay any taxes and fees required by law or permitted by the Indenture. The Registrar need not transfer or exchange any Security selected for redemption or purchase, except the unredeemed or unpurchased part thereof if the Security is redeemed or purchased in part, or transfer or exchange any Securities for a period of 15 days before a selection of Securities to be redeemed or purchased.</w:t>
      </w:r>
    </w:p>
    <w:p>
      <w:pPr>
        <w:spacing w:after="0" w:line="149" w:lineRule="exact"/>
        <w:rPr>
          <w:sz w:val="20"/>
          <w:szCs w:val="20"/>
          <w:color w:val="auto"/>
        </w:rPr>
      </w:pPr>
    </w:p>
    <w:p>
      <w:pPr>
        <w:ind w:left="440" w:hanging="128"/>
        <w:spacing w:after="0"/>
        <w:tabs>
          <w:tab w:leader="none" w:pos="44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Persons Deemed Owners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registered Holder of this Security shall be treated as the owner of it for all purposes.</w:t>
      </w:r>
    </w:p>
    <w:p>
      <w:pPr>
        <w:spacing w:after="0" w:line="169" w:lineRule="exact"/>
        <w:rPr>
          <w:rFonts w:ascii="Times New Roman" w:cs="Times New Roman" w:eastAsia="Times New Roman" w:hAnsi="Times New Roman"/>
          <w:sz w:val="14"/>
          <w:szCs w:val="14"/>
          <w:b w:val="1"/>
          <w:bCs w:val="1"/>
          <w:color w:val="auto"/>
        </w:rPr>
      </w:pPr>
    </w:p>
    <w:p>
      <w:pPr>
        <w:ind w:right="140" w:firstLine="312"/>
        <w:spacing w:after="0" w:line="278" w:lineRule="auto"/>
        <w:tabs>
          <w:tab w:leader="none" w:pos="447"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Unclaimed Money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any applicable abandoned property law, the Trustee and the Paying Agent shall pay to the Company upon written request any money held by them for the payment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principal or interest that remains unclaimed for two years, and thereafter, Holders entitled to the money must look to the Company for payment as general creditors.</w:t>
      </w:r>
    </w:p>
    <w:p>
      <w:pPr>
        <w:spacing w:after="0" w:line="122" w:lineRule="exact"/>
        <w:rPr>
          <w:rFonts w:ascii="Times New Roman" w:cs="Times New Roman" w:eastAsia="Times New Roman" w:hAnsi="Times New Roman"/>
          <w:sz w:val="14"/>
          <w:szCs w:val="14"/>
          <w:b w:val="1"/>
          <w:bCs w:val="1"/>
          <w:color w:val="auto"/>
        </w:rPr>
      </w:pPr>
    </w:p>
    <w:p>
      <w:pPr>
        <w:jc w:val="both"/>
        <w:ind w:firstLine="312"/>
        <w:spacing w:after="0" w:line="239" w:lineRule="auto"/>
        <w:tabs>
          <w:tab w:leader="none" w:pos="447"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Amendment, Supplement, Waiver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certain exceptions, the Indenture or the Securities of a Series may be amended or supplemented with the consent of the Holders of at least a majority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principal amount of the outstanding Securities of such Series and any past default or compliance with any provision relating to any Series of the Securities may be waived in a particular instance with the consent of the Holders of a majority in principal amount of the outstanding Securities of such Series.</w:t>
      </w:r>
      <w:r>
        <w:rPr>
          <w:rFonts w:ascii="Times New Roman" w:cs="Times New Roman" w:eastAsia="Times New Roman" w:hAnsi="Times New Roman"/>
          <w:sz w:val="17"/>
          <w:szCs w:val="17"/>
          <w:color w:val="auto"/>
          <w:vertAlign w:val="superscript"/>
        </w:rPr>
        <w:t>6</w:t>
      </w:r>
      <w:r>
        <w:rPr>
          <w:rFonts w:ascii="Times New Roman" w:cs="Times New Roman" w:eastAsia="Times New Roman" w:hAnsi="Times New Roman"/>
          <w:sz w:val="14"/>
          <w:szCs w:val="14"/>
          <w:color w:val="auto"/>
        </w:rPr>
        <w:t xml:space="preserve"> Without the consent of any Securityholder, the Company and the Trustee may amend or supplement the Indenture or the Securities in certain respects as specified in the Indenture.</w:t>
      </w:r>
    </w:p>
    <w:p>
      <w:pPr>
        <w:spacing w:after="0" w:line="150" w:lineRule="exact"/>
        <w:rPr>
          <w:rFonts w:ascii="Times New Roman" w:cs="Times New Roman" w:eastAsia="Times New Roman" w:hAnsi="Times New Roman"/>
          <w:sz w:val="14"/>
          <w:szCs w:val="14"/>
          <w:b w:val="1"/>
          <w:bCs w:val="1"/>
          <w:color w:val="auto"/>
        </w:rPr>
      </w:pPr>
    </w:p>
    <w:p>
      <w:pPr>
        <w:ind w:right="280" w:firstLine="312"/>
        <w:spacing w:after="0" w:line="278" w:lineRule="auto"/>
        <w:tabs>
          <w:tab w:leader="none" w:pos="516"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Successor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 a successor corporation assumes all the obligations of its predecessor under the Securities and the Indenture, the predecessor corporation will be released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those obligations.</w:t>
      </w:r>
    </w:p>
    <w:p>
      <w:pPr>
        <w:spacing w:after="0" w:line="122" w:lineRule="exact"/>
        <w:rPr>
          <w:rFonts w:ascii="Times New Roman" w:cs="Times New Roman" w:eastAsia="Times New Roman" w:hAnsi="Times New Roman"/>
          <w:sz w:val="14"/>
          <w:szCs w:val="14"/>
          <w:b w:val="1"/>
          <w:bCs w:val="1"/>
          <w:color w:val="auto"/>
        </w:rPr>
      </w:pPr>
    </w:p>
    <w:p>
      <w:pPr>
        <w:ind w:right="140" w:firstLine="312"/>
        <w:spacing w:after="0" w:line="278" w:lineRule="auto"/>
        <w:tabs>
          <w:tab w:leader="none" w:pos="508"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Trustee Dealings With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certain limitations imposed by the TIA, the Trustee under the Indenture, in its individual or any other capacity, may make loans to, accept deposits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and perform services for the Company or its affiliates, and may otherwise deal with the Company or its affiliates, as if it were not Trustee, including owning or pledging the Securities.</w:t>
      </w:r>
    </w:p>
    <w:p>
      <w:pPr>
        <w:spacing w:after="0" w:line="122" w:lineRule="exact"/>
        <w:rPr>
          <w:rFonts w:ascii="Times New Roman" w:cs="Times New Roman" w:eastAsia="Times New Roman" w:hAnsi="Times New Roman"/>
          <w:sz w:val="14"/>
          <w:szCs w:val="14"/>
          <w:b w:val="1"/>
          <w:bCs w:val="1"/>
          <w:color w:val="auto"/>
        </w:rPr>
      </w:pPr>
    </w:p>
    <w:p>
      <w:pPr>
        <w:ind w:right="160" w:firstLine="312"/>
        <w:spacing w:after="0" w:line="262" w:lineRule="auto"/>
        <w:tabs>
          <w:tab w:leader="none" w:pos="516"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Recourse Against Others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director, officer, employee or stockholder, as such, of the Company shall not have any liability for any obligations of the Company under the Securities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Indenture or for any claim based on, in respect of or by reason of, such obligations or their creation. Each Holder by accepting a Security waives and releases all such liability. The waiver and release are part of the consideration for the issue of the Securities. The waiver may not be effective to waive liabilities under the federal securities laws.</w:t>
      </w:r>
    </w:p>
    <w:p>
      <w:pPr>
        <w:spacing w:after="0" w:line="133" w:lineRule="exact"/>
        <w:rPr>
          <w:rFonts w:ascii="Times New Roman" w:cs="Times New Roman" w:eastAsia="Times New Roman" w:hAnsi="Times New Roman"/>
          <w:sz w:val="14"/>
          <w:szCs w:val="14"/>
          <w:b w:val="1"/>
          <w:bCs w:val="1"/>
          <w:color w:val="auto"/>
        </w:rPr>
      </w:pPr>
    </w:p>
    <w:p>
      <w:pPr>
        <w:ind w:left="520" w:hanging="208"/>
        <w:spacing w:after="0"/>
        <w:tabs>
          <w:tab w:leader="none" w:pos="52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Discharge of Indenture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Indenture contains certain provisions pertaining to defeasance and discharge, which provisions shall for all purposes have the same effect as if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31127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1311275" cy="6350"/>
                    </a:xfrm>
                    <a:prstGeom prst="rect">
                      <a:avLst/>
                    </a:prstGeom>
                    <a:noFill/>
                  </pic:spPr>
                </pic:pic>
              </a:graphicData>
            </a:graphic>
          </wp:anchor>
        </w:drawing>
      </w:r>
    </w:p>
    <w:p>
      <w:pPr>
        <w:spacing w:after="0" w:line="208" w:lineRule="exact"/>
        <w:rPr>
          <w:sz w:val="20"/>
          <w:szCs w:val="20"/>
          <w:color w:val="auto"/>
        </w:rPr>
      </w:pPr>
    </w:p>
    <w:p>
      <w:pPr>
        <w:ind w:left="80" w:hanging="77"/>
        <w:spacing w:after="0"/>
        <w:tabs>
          <w:tab w:leader="none" w:pos="80" w:val="left"/>
        </w:tabs>
        <w:numPr>
          <w:ilvl w:val="0"/>
          <w:numId w:val="1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Insert applicable denominations and multiples.</w:t>
      </w:r>
    </w:p>
    <w:p>
      <w:pPr>
        <w:spacing w:after="0" w:line="202"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5</w:t>
      </w:r>
      <w:r>
        <w:rPr>
          <w:rFonts w:ascii="Times New Roman" w:cs="Times New Roman" w:eastAsia="Times New Roman" w:hAnsi="Times New Roman"/>
          <w:sz w:val="14"/>
          <w:szCs w:val="14"/>
          <w:color w:val="auto"/>
        </w:rPr>
        <w:t xml:space="preserve"> Insert applicable denominations and multiples.</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6</w:t>
      </w:r>
      <w:r>
        <w:rPr>
          <w:rFonts w:ascii="Times New Roman" w:cs="Times New Roman" w:eastAsia="Times New Roman" w:hAnsi="Times New Roman"/>
          <w:sz w:val="14"/>
          <w:szCs w:val="14"/>
          <w:color w:val="auto"/>
        </w:rPr>
        <w:t xml:space="preserve"> If different terms apply, insert a brief summary thereof.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118" w:right="319" w:bottom="1440" w:gutter="0" w:footer="0" w:header="0"/>
        </w:sectPr>
      </w:pPr>
    </w:p>
    <w:bookmarkStart w:id="130" w:name="page131"/>
    <w:bookmarkEnd w:id="130"/>
    <w:p>
      <w:pPr>
        <w:ind w:left="480" w:hanging="208"/>
        <w:spacing w:after="0"/>
        <w:tabs>
          <w:tab w:leader="none" w:pos="480"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Authentication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Security shall not be valid until an authorized signatory of the Trustee signs the certificate of authentication on the other side of this Security.</w:t>
      </w:r>
    </w:p>
    <w:p>
      <w:pPr>
        <w:spacing w:after="0" w:line="169" w:lineRule="exact"/>
        <w:rPr>
          <w:rFonts w:ascii="Times New Roman" w:cs="Times New Roman" w:eastAsia="Times New Roman" w:hAnsi="Times New Roman"/>
          <w:sz w:val="14"/>
          <w:szCs w:val="14"/>
          <w:b w:val="1"/>
          <w:bCs w:val="1"/>
          <w:color w:val="auto"/>
        </w:rPr>
      </w:pPr>
    </w:p>
    <w:p>
      <w:pPr>
        <w:ind w:left="-40" w:firstLine="312"/>
        <w:spacing w:after="0" w:line="278" w:lineRule="auto"/>
        <w:tabs>
          <w:tab w:leader="none" w:pos="476"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Abbreviations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Customary abbreviations may be used in the name of a Holder or an assignee, such as: TEN COM (= tenants in common), TEN ENT (= tenants by the entireties), JT TEN (= joint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tenants with right of survivorship and not as tenants in common), CUST (= custodian), and U/G/M/A (= Uniform Gift to Minors Act).</w:t>
      </w:r>
    </w:p>
    <w:p>
      <w:pPr>
        <w:spacing w:after="0" w:line="122" w:lineRule="exact"/>
        <w:rPr>
          <w:rFonts w:ascii="Times New Roman" w:cs="Times New Roman" w:eastAsia="Times New Roman" w:hAnsi="Times New Roman"/>
          <w:sz w:val="14"/>
          <w:szCs w:val="14"/>
          <w:b w:val="1"/>
          <w:bCs w:val="1"/>
          <w:color w:val="auto"/>
        </w:rPr>
      </w:pPr>
    </w:p>
    <w:p>
      <w:pPr>
        <w:ind w:left="480" w:hanging="208"/>
        <w:spacing w:after="0"/>
        <w:tabs>
          <w:tab w:leader="none" w:pos="480"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SECURITY SHALL BE GOVERNED BY, AND CONSTRUED IN ACCORDANCE WITH, THE LAWS OF THE STATE OF NEW YORK.</w:t>
      </w:r>
    </w:p>
    <w:p>
      <w:pPr>
        <w:spacing w:after="0" w:line="169" w:lineRule="exact"/>
        <w:rPr>
          <w:rFonts w:ascii="Times New Roman" w:cs="Times New Roman" w:eastAsia="Times New Roman" w:hAnsi="Times New Roman"/>
          <w:sz w:val="14"/>
          <w:szCs w:val="14"/>
          <w:b w:val="1"/>
          <w:bCs w:val="1"/>
          <w:color w:val="auto"/>
        </w:rPr>
      </w:pPr>
    </w:p>
    <w:p>
      <w:pPr>
        <w:ind w:left="-40" w:right="20" w:firstLine="312"/>
        <w:spacing w:after="0" w:line="262" w:lineRule="auto"/>
        <w:tabs>
          <w:tab w:leader="none" w:pos="476"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CUSIP and ISIN Numbers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a recommendation promulgated by the Committee on Uniform Security Identification Procedures, the Company has caused CUSIP and ISIN numbers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w:t>
      </w:r>
    </w:p>
    <w:p>
      <w:pPr>
        <w:spacing w:after="0" w:line="133" w:lineRule="exact"/>
        <w:rPr>
          <w:rFonts w:ascii="Times New Roman" w:cs="Times New Roman" w:eastAsia="Times New Roman" w:hAnsi="Times New Roman"/>
          <w:sz w:val="14"/>
          <w:szCs w:val="14"/>
          <w:b w:val="1"/>
          <w:bCs w:val="1"/>
          <w:color w:val="auto"/>
        </w:rPr>
      </w:pPr>
    </w:p>
    <w:p>
      <w:pPr>
        <w:ind w:left="-40" w:right="40" w:firstLine="312"/>
        <w:spacing w:after="0" w:line="278" w:lineRule="auto"/>
        <w:tabs>
          <w:tab w:leader="none" w:pos="476"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Copies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will furnish to any Holder upon written request and without charge a copy of the Indenture and the applicable Authorizing Resolution or supplemental indenture. Requests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made to: Spyre Therapeutics, Inc., [ ], 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00"/>
          </w:cols>
          <w:pgMar w:left="340" w:top="1114" w:right="359" w:bottom="1440" w:gutter="0" w:footer="0" w:header="0"/>
        </w:sectPr>
      </w:pPr>
    </w:p>
    <w:bookmarkStart w:id="131" w:name="page132"/>
    <w:bookmarkEnd w:id="131"/>
    <w:p>
      <w:pPr>
        <w:ind w:left="496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the Holder want to assign this Security, fill in the form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or we assign and transfer this Security to (insert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417195</wp:posOffset>
            </wp:positionV>
            <wp:extent cx="401828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4018280" cy="635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285750</wp:posOffset>
            </wp:positionV>
            <wp:extent cx="401828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4018280" cy="635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154940</wp:posOffset>
            </wp:positionV>
            <wp:extent cx="40182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40182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-100330</wp:posOffset>
            </wp:positionV>
            <wp:extent cx="40182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4018280" cy="635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 agent to transfer this Security on the books of the Company. The agent may substitute another to act for him.</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10795</wp:posOffset>
            </wp:positionV>
            <wp:extent cx="30416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041650" cy="6350"/>
                    </a:xfrm>
                    <a:prstGeom prst="rect">
                      <a:avLst/>
                    </a:prstGeom>
                    <a:noFill/>
                  </pic:spPr>
                </pic:pic>
              </a:graphicData>
            </a:graphic>
          </wp:anchor>
        </w:drawing>
      </w:r>
    </w:p>
    <w:p>
      <w:pPr>
        <w:spacing w:after="0" w:line="1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Your signature</w:t>
      </w:r>
    </w:p>
    <w:p>
      <w:pPr>
        <w:spacing w:after="0" w:line="1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3"/>
          <w:szCs w:val="13"/>
          <w:color w:val="auto"/>
        </w:rPr>
        <w:t>(Sign exactly as your name appears on the other side</w:t>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of this Security)</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1114"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-86995</wp:posOffset>
            </wp:positionV>
            <wp:extent cx="373380" cy="498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73380" cy="49847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4"/>
          <w:szCs w:val="14"/>
          <w:color w:val="auto"/>
        </w:rPr>
        <w:t>PRUDENTIAL TOWER</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800 BOYLSTON STREET</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BOSTON, MA 02199-3600</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WWW.ROPESGRAY.COM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Spyre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221 Crescent Street, Building 23, Suite 105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Waltham, MA 02453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Registration of Securities by Spyre Therapeutics, Inc.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73" w:lineRule="exact"/>
        <w:rPr>
          <w:sz w:val="20"/>
          <w:szCs w:val="20"/>
          <w:color w:val="auto"/>
        </w:rPr>
      </w:pPr>
    </w:p>
    <w:p>
      <w:pPr>
        <w:jc w:val="both"/>
        <w:ind w:right="220" w:firstLine="495"/>
        <w:spacing w:after="0" w:line="248" w:lineRule="auto"/>
        <w:rPr>
          <w:sz w:val="20"/>
          <w:szCs w:val="20"/>
          <w:color w:val="auto"/>
        </w:rPr>
      </w:pPr>
      <w:r>
        <w:rPr>
          <w:rFonts w:ascii="Times New Roman" w:cs="Times New Roman" w:eastAsia="Times New Roman" w:hAnsi="Times New Roman"/>
          <w:sz w:val="17"/>
          <w:szCs w:val="17"/>
          <w:color w:val="auto"/>
        </w:rPr>
        <w:t>We have acted as counsel to Spyre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registration statement on Form S-3ASR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on the date hereof by the Company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registration under the Securities Act and the proposed issuance and sale from time to time pursuant to Rule 415 under the Securities Act of:</w:t>
      </w:r>
    </w:p>
    <w:p>
      <w:pPr>
        <w:spacing w:after="0" w:line="152" w:lineRule="exact"/>
        <w:rPr>
          <w:sz w:val="20"/>
          <w:szCs w:val="20"/>
          <w:color w:val="auto"/>
        </w:rPr>
      </w:pPr>
    </w:p>
    <w:p>
      <w:pPr>
        <w:ind w:left="700" w:hanging="202"/>
        <w:spacing w:after="0"/>
        <w:tabs>
          <w:tab w:leader="none" w:pos="7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of the Company, $0.0001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740" w:hanging="242"/>
        <w:spacing w:after="0"/>
        <w:tabs>
          <w:tab w:leader="none" w:pos="7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 of the Company, $0.0001 par value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right="40" w:firstLine="498"/>
        <w:spacing w:after="0" w:line="252" w:lineRule="auto"/>
        <w:tabs>
          <w:tab w:leader="none" w:pos="78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series of debt securities of the Company (the “</w:t>
      </w:r>
      <w:r>
        <w:rPr>
          <w:rFonts w:ascii="Times New Roman" w:cs="Times New Roman" w:eastAsia="Times New Roman" w:hAnsi="Times New Roman"/>
          <w:sz w:val="17"/>
          <w:szCs w:val="17"/>
          <w:u w:val="single" w:color="auto"/>
          <w:color w:val="auto"/>
        </w:rPr>
        <w:t>Debt Securities</w:t>
      </w:r>
      <w:r>
        <w:rPr>
          <w:rFonts w:ascii="Times New Roman" w:cs="Times New Roman" w:eastAsia="Times New Roman" w:hAnsi="Times New Roman"/>
          <w:sz w:val="17"/>
          <w:szCs w:val="17"/>
          <w:color w:val="auto"/>
        </w:rPr>
        <w:t>”), which Debt Securities may include senior, senior subordinated or subordinated debt securities issued under an indenture, including any supplemental indenture related thereto, and may be convertible into or exchangeable for shares of Common Stock or Preferred Stock;</w:t>
      </w:r>
    </w:p>
    <w:p>
      <w:pPr>
        <w:spacing w:after="0" w:line="137" w:lineRule="exact"/>
        <w:rPr>
          <w:rFonts w:ascii="Times New Roman" w:cs="Times New Roman" w:eastAsia="Times New Roman" w:hAnsi="Times New Roman"/>
          <w:sz w:val="17"/>
          <w:szCs w:val="17"/>
          <w:color w:val="auto"/>
        </w:rPr>
      </w:pPr>
    </w:p>
    <w:p>
      <w:pPr>
        <w:ind w:right="300" w:firstLine="498"/>
        <w:spacing w:after="0" w:line="277" w:lineRule="auto"/>
        <w:tabs>
          <w:tab w:leader="none" w:pos="77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representing the right to receive or the obligation to sell, upon exercise, a number of shares of Common Stock, shares of Preferred Stock, or Debt Securities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740" w:hanging="242"/>
        <w:spacing w:after="0"/>
        <w:tabs>
          <w:tab w:leader="none" w:pos="7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of the Company comprised of any combination of Common Stock, Preferred Stock, Debt Securities, or Warrants (the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Common Stock, the Preferred Stock, the Debt Securities, the Warrants, and the Units are referred to herein collectively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right="100" w:firstLine="495"/>
        <w:spacing w:after="0" w:line="25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ectPr>
          <w:pgSz w:w="11900" w:h="16838" w:orient="portrait"/>
          <w:cols w:equalWidth="0" w:num="1">
            <w:col w:w="11280"/>
          </w:cols>
          <w:pgMar w:left="300" w:top="123" w:right="319" w:bottom="1440" w:gutter="0" w:footer="0" w:header="0"/>
        </w:sectPr>
      </w:pPr>
    </w:p>
    <w:bookmarkStart w:id="133" w:name="page134"/>
    <w:bookmarkEnd w:id="133"/>
    <w:p>
      <w:pPr>
        <w:spacing w:after="0"/>
        <w:tabs>
          <w:tab w:leader="none" w:pos="1760" w:val="left"/>
        </w:tabs>
        <w:rPr>
          <w:sz w:val="20"/>
          <w:szCs w:val="20"/>
          <w:color w:val="auto"/>
        </w:rPr>
      </w:pPr>
      <w:r>
        <w:rPr>
          <w:rFonts w:ascii="Times New Roman" w:cs="Times New Roman" w:eastAsia="Times New Roman" w:hAnsi="Times New Roman"/>
          <w:sz w:val="17"/>
          <w:szCs w:val="17"/>
          <w:color w:val="auto"/>
        </w:rPr>
        <w:t>Spyre Therapeutics, Inc.</w:t>
      </w:r>
      <w:r>
        <w:rPr>
          <w:sz w:val="20"/>
          <w:szCs w:val="20"/>
          <w:color w:val="auto"/>
        </w:rPr>
        <w:tab/>
      </w:r>
      <w:r>
        <w:rPr>
          <w:rFonts w:ascii="Times New Roman" w:cs="Times New Roman" w:eastAsia="Times New Roman" w:hAnsi="Times New Roman"/>
          <w:sz w:val="15"/>
          <w:szCs w:val="15"/>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opinions expressed below are limited to the laws of the State of New York and the Delaware General Corporation Law.</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Based upon and subject to the foregoing and the assumptions, qualifications and limitations set forth below, we are of the opinion that:</w:t>
      </w:r>
    </w:p>
    <w:p>
      <w:pPr>
        <w:spacing w:after="0" w:line="166" w:lineRule="exact"/>
        <w:rPr>
          <w:sz w:val="20"/>
          <w:szCs w:val="20"/>
          <w:color w:val="auto"/>
        </w:rPr>
      </w:pPr>
    </w:p>
    <w:p>
      <w:pPr>
        <w:ind w:right="60" w:firstLine="498"/>
        <w:spacing w:after="0" w:line="250" w:lineRule="auto"/>
        <w:tabs>
          <w:tab w:leader="none" w:pos="78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issuance and sale of any shares of Common Stock have been duly authorized by all necessary corporate action of the Company and (ii) 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 The Common Stock covered in the opinion in this paragraph includes any shares of Common Stock that may be issued upon exercise, conversion or exchange pursuant to the terms of any other Securities.</w:t>
      </w:r>
    </w:p>
    <w:p>
      <w:pPr>
        <w:spacing w:after="0" w:line="138" w:lineRule="exact"/>
        <w:rPr>
          <w:rFonts w:ascii="Times New Roman" w:cs="Times New Roman" w:eastAsia="Times New Roman" w:hAnsi="Times New Roman"/>
          <w:sz w:val="17"/>
          <w:szCs w:val="17"/>
          <w:color w:val="auto"/>
        </w:rPr>
      </w:pPr>
    </w:p>
    <w:p>
      <w:pPr>
        <w:ind w:firstLine="498"/>
        <w:spacing w:after="0" w:line="248" w:lineRule="auto"/>
        <w:tabs>
          <w:tab w:leader="none" w:pos="78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Preferred Stock of a particular series and their issuance and sale have been duly authorized by all necessary corporate action of the Company, (ii) a certificate of designations with respect to such series of Preferred Stock has been duly adopted by the Company and filed with the Secretary of State of the State of Delaware, and (iii) such shares of Preferred Stock have been issued and delivered against payment of the purchase price therefor (in an amount in excess of the par value thereof) in accordance with the applicable purchase, underwriting or other agreement, and as contemplated by the Registration Statement, such shares of Preferred Stock will be validly issued, fully paid, and nonassessable. The Preferred Stock covered in the opinion in this paragraph includes any shares of Preferred Stock that may be issued upon exercise, conversion or exchange pursuant to the terms of any other Securities.</w:t>
      </w:r>
    </w:p>
    <w:p>
      <w:pPr>
        <w:spacing w:after="0" w:line="140" w:lineRule="exact"/>
        <w:rPr>
          <w:rFonts w:ascii="Times New Roman" w:cs="Times New Roman" w:eastAsia="Times New Roman" w:hAnsi="Times New Roman"/>
          <w:sz w:val="17"/>
          <w:szCs w:val="17"/>
          <w:color w:val="auto"/>
        </w:rPr>
      </w:pPr>
    </w:p>
    <w:p>
      <w:pPr>
        <w:ind w:right="60" w:firstLine="498"/>
        <w:spacing w:after="0" w:line="248" w:lineRule="auto"/>
        <w:tabs>
          <w:tab w:leader="none" w:pos="78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Debt Securities and their issuance and sale have been duly authorized by all necessary corporate action of the Company and (ii) 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the Company enforceable against the Company in accordance with their respective terms. The Debt Securities covered in the opinion in this paragraph include any Debt Securities that may be issued upon exercise, conversion or exchange pursuant to the terms of any other Securities.</w:t>
      </w:r>
    </w:p>
    <w:p>
      <w:pPr>
        <w:spacing w:after="0" w:line="150" w:lineRule="exact"/>
        <w:rPr>
          <w:rFonts w:ascii="Times New Roman" w:cs="Times New Roman" w:eastAsia="Times New Roman" w:hAnsi="Times New Roman"/>
          <w:sz w:val="17"/>
          <w:szCs w:val="17"/>
          <w:color w:val="auto"/>
        </w:rPr>
      </w:pPr>
    </w:p>
    <w:p>
      <w:pPr>
        <w:ind w:right="20" w:firstLine="498"/>
        <w:spacing w:after="0" w:line="248" w:lineRule="auto"/>
        <w:tabs>
          <w:tab w:leader="none" w:pos="78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Warrants and their issuance and sale have been duly authorized by all necessary corporate action of the Company and (ii) such Warrants have been duly executed, countersigned and delivered in accordance with the applicable warrant agreement and against payment of the purchase price therefor in accordance with the applicable purchase, underwriting or other agreement, and as contemplated by the Registration Statement, such Warrants will constitute valid and binding obligations of the Company enforceable against the Company in accordance with their terms.</w:t>
      </w:r>
    </w:p>
    <w:p>
      <w:pPr>
        <w:sectPr>
          <w:pgSz w:w="11900" w:h="16838" w:orient="portrait"/>
          <w:cols w:equalWidth="0" w:num="1">
            <w:col w:w="11160"/>
          </w:cols>
          <w:pgMar w:left="300" w:top="129" w:right="439" w:bottom="1440" w:gutter="0" w:footer="0" w:header="0"/>
        </w:sectPr>
      </w:pPr>
    </w:p>
    <w:bookmarkStart w:id="134" w:name="page135"/>
    <w:bookmarkEnd w:id="134"/>
    <w:p>
      <w:pPr>
        <w:spacing w:after="0"/>
        <w:tabs>
          <w:tab w:leader="none" w:pos="1760" w:val="left"/>
        </w:tabs>
        <w:rPr>
          <w:sz w:val="20"/>
          <w:szCs w:val="20"/>
          <w:color w:val="auto"/>
        </w:rPr>
      </w:pPr>
      <w:r>
        <w:rPr>
          <w:rFonts w:ascii="Times New Roman" w:cs="Times New Roman" w:eastAsia="Times New Roman" w:hAnsi="Times New Roman"/>
          <w:sz w:val="17"/>
          <w:szCs w:val="17"/>
          <w:color w:val="auto"/>
        </w:rPr>
        <w:t>Spyre Therapeutics, Inc.</w:t>
      </w:r>
      <w:r>
        <w:rPr>
          <w:sz w:val="20"/>
          <w:szCs w:val="20"/>
          <w:color w:val="auto"/>
        </w:rPr>
        <w:tab/>
      </w:r>
      <w:r>
        <w:rPr>
          <w:rFonts w:ascii="Times New Roman" w:cs="Times New Roman" w:eastAsia="Times New Roman" w:hAnsi="Times New Roman"/>
          <w:sz w:val="15"/>
          <w:szCs w:val="15"/>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firstLine="498"/>
        <w:spacing w:after="0" w:line="253" w:lineRule="auto"/>
        <w:tabs>
          <w:tab w:leader="none" w:pos="78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Units (including the terms of the component Securities) and their issuance and sale have been duly authorized by all necessary corporate action of the Company and (ii) such Units have been duly executed (if the Units are represented by a separate instrument) and delivered against payment of the purchase price therefor in accordance with the applicable purchase, underwriting or other agreement, and as contemplated by the Registration Statement, such Units will constitute valid and binding obligations of the Company enforceable against the Company in accordance with their respective terms.</w:t>
      </w:r>
    </w:p>
    <w:p>
      <w:pPr>
        <w:spacing w:after="0" w:line="136"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15"/>
          <w:szCs w:val="15"/>
          <w:color w:val="auto"/>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warrant or unit agreement, pursuant to which such Securities may be issued, will have been duly authorized, executed and delivered by the Company and the other parties thereto, and the specific terms of such Securities will have been duly established in conformity with the applicable agreement and the certificate of incorporation and bylaws of the Company (if applicable); (iii) at the time of the issuance of any Securities, the Company will be a validly existing corporation under the law of its jurisdiction of incorporation; (iv) the number of shares of Common Stock issued pursuant to the Registration Statement, together with the number of shares outstanding or reserved at the time of issuance, will not exceed the respective number of shares authorized by the Company’s certificate of incorporation in effect at the time of such issuance; (v) the number of shares of Preferred Stock issued pursuant to the Registration Statement, together with the number of shares outstanding or reserved at the time of issuance, will not exceed the respective number of shares authorized by the Company’s certificate of incorporation in effect at the time of such issuance; and (vi)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w:t>
      </w:r>
    </w:p>
    <w:p>
      <w:pPr>
        <w:spacing w:after="0" w:line="318" w:lineRule="exact"/>
        <w:rPr>
          <w:sz w:val="20"/>
          <w:szCs w:val="20"/>
          <w:color w:val="auto"/>
        </w:rPr>
      </w:pPr>
    </w:p>
    <w:p>
      <w:pPr>
        <w:ind w:firstLine="495"/>
        <w:spacing w:after="0" w:line="248" w:lineRule="auto"/>
        <w:rPr>
          <w:sz w:val="20"/>
          <w:szCs w:val="20"/>
          <w:color w:val="auto"/>
        </w:rPr>
      </w:pPr>
      <w:r>
        <w:rPr>
          <w:rFonts w:ascii="Times New Roman" w:cs="Times New Roman" w:eastAsia="Times New Roman" w:hAnsi="Times New Roman"/>
          <w:sz w:val="17"/>
          <w:szCs w:val="17"/>
          <w:color w:val="auto"/>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the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w:t>
      </w:r>
    </w:p>
    <w:p>
      <w:pPr>
        <w:spacing w:after="0" w:line="140" w:lineRule="exact"/>
        <w:rPr>
          <w:sz w:val="20"/>
          <w:szCs w:val="20"/>
          <w:color w:val="auto"/>
        </w:rPr>
      </w:pPr>
    </w:p>
    <w:p>
      <w:pPr>
        <w:ind w:right="240" w:firstLine="495"/>
        <w:spacing w:after="0" w:line="264"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w:t>
      </w:r>
    </w:p>
    <w:p>
      <w:pPr>
        <w:sectPr>
          <w:pgSz w:w="11900" w:h="16838" w:orient="portrait"/>
          <w:cols w:equalWidth="0" w:num="1">
            <w:col w:w="11260"/>
          </w:cols>
          <w:pgMar w:left="300" w:top="129" w:right="339" w:bottom="1440" w:gutter="0" w:footer="0" w:header="0"/>
        </w:sectPr>
      </w:pPr>
    </w:p>
    <w:bookmarkStart w:id="135" w:name="page136"/>
    <w:bookmarkEnd w:id="135"/>
    <w:p>
      <w:pPr>
        <w:spacing w:after="0"/>
        <w:tabs>
          <w:tab w:leader="none" w:pos="1760" w:val="left"/>
        </w:tabs>
        <w:rPr>
          <w:sz w:val="20"/>
          <w:szCs w:val="20"/>
          <w:color w:val="auto"/>
        </w:rPr>
      </w:pPr>
      <w:r>
        <w:rPr>
          <w:rFonts w:ascii="Times New Roman" w:cs="Times New Roman" w:eastAsia="Times New Roman" w:hAnsi="Times New Roman"/>
          <w:sz w:val="17"/>
          <w:szCs w:val="17"/>
          <w:color w:val="auto"/>
        </w:rPr>
        <w:t>Spyre Therapeutics, Inc.</w:t>
      </w:r>
      <w:r>
        <w:rPr>
          <w:sz w:val="20"/>
          <w:szCs w:val="20"/>
          <w:color w:val="auto"/>
        </w:rPr>
        <w:tab/>
      </w:r>
      <w:r>
        <w:rPr>
          <w:rFonts w:ascii="Times New Roman" w:cs="Times New Roman" w:eastAsia="Times New Roman" w:hAnsi="Times New Roman"/>
          <w:sz w:val="15"/>
          <w:szCs w:val="15"/>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60" w:right="1519" w:hanging="5453"/>
        <w:spacing w:after="0" w:line="462" w:lineRule="auto"/>
        <w:rPr>
          <w:sz w:val="20"/>
          <w:szCs w:val="20"/>
          <w:color w:val="auto"/>
        </w:rPr>
      </w:pPr>
      <w:r>
        <w:rPr>
          <w:rFonts w:ascii="Times New Roman" w:cs="Times New Roman" w:eastAsia="Times New Roman" w:hAnsi="Times New Roman"/>
          <w:sz w:val="17"/>
          <w:szCs w:val="17"/>
          <w:color w:val="auto"/>
        </w:rPr>
        <w:t>persons whose consent is required under Section 7 of the Securities Act or the rules and regulations of the Commission thereunder. Very truly yours,</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 Ropes &amp; Gray LLP</w:t>
      </w:r>
    </w:p>
    <w:p>
      <w:pPr>
        <w:spacing w:after="0" w:line="1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Ropes &amp; Gray LLP</w:t>
      </w:r>
    </w:p>
    <w:p>
      <w:pPr>
        <w:sectPr>
          <w:pgSz w:w="11900" w:h="16838" w:orient="portrait"/>
          <w:cols w:equalWidth="0" w:num="1">
            <w:col w:w="10159"/>
          </w:cols>
          <w:pgMar w:left="300" w:top="129"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-73660</wp:posOffset>
            </wp:positionV>
            <wp:extent cx="367030" cy="485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67030" cy="48514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4"/>
          <w:szCs w:val="14"/>
          <w:color w:val="auto"/>
        </w:rPr>
        <w:t>PRUDENTIAL TOWER</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800 BOYLSTON STREET</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BOSTON, MA 02199-3600</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WWW.ROPESGRAY.COM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Spyre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221 Crescent Street, Building 23, Suite 105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Waltham, MA 02453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Registration Statement on Form S-3ASR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have acted as counsel to Spyre Therapeutics,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its filing of a Registration Statement on Form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S-3ASR (as amended or supplemented,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on the date hereof by the Company with the Securities and Exchange Commission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relating to the issuance and sale of up to $500,000,000 of shares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of the Company, $0.0001 par value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The Shares will be sold pursuant to the Sales Agreement, dated June 26, 2026, by and between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TD Securities (USA) LLC (the “</w:t>
      </w:r>
      <w:r>
        <w:rPr>
          <w:rFonts w:ascii="Times New Roman" w:cs="Times New Roman" w:eastAsia="Times New Roman" w:hAnsi="Times New Roman"/>
          <w:sz w:val="17"/>
          <w:szCs w:val="17"/>
          <w:u w:val="single" w:color="auto"/>
          <w:color w:val="auto"/>
        </w:rPr>
        <w:t>Sales Agreement</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right="100" w:firstLine="495"/>
        <w:spacing w:after="0" w:line="252"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opinion expressed below is limited to the Delaware General Corporation Law.</w:t>
      </w:r>
    </w:p>
    <w:p>
      <w:pPr>
        <w:spacing w:after="0" w:line="166" w:lineRule="exact"/>
        <w:rPr>
          <w:sz w:val="20"/>
          <w:szCs w:val="20"/>
          <w:color w:val="auto"/>
        </w:rPr>
      </w:pPr>
    </w:p>
    <w:p>
      <w:pPr>
        <w:ind w:right="180" w:firstLine="495"/>
        <w:spacing w:after="0" w:line="259" w:lineRule="auto"/>
        <w:rPr>
          <w:sz w:val="20"/>
          <w:szCs w:val="20"/>
          <w:color w:val="auto"/>
        </w:rPr>
      </w:pPr>
      <w:r>
        <w:rPr>
          <w:rFonts w:ascii="Times New Roman" w:cs="Times New Roman" w:eastAsia="Times New Roman" w:hAnsi="Times New Roman"/>
          <w:sz w:val="17"/>
          <w:szCs w:val="17"/>
          <w:color w:val="auto"/>
        </w:rPr>
        <w:t>Based upon and subject to the foregoing, we are of the opinion that when the Shares are issued out of the Company’s duly authorized Common Stock and issued and delivered in accordance with the terms of the Sales Agreement against payment of the consideration set forth therein, the Shares will be duly authorized, validly issued, fully paid and nonassessable.</w:t>
      </w:r>
    </w:p>
    <w:p>
      <w:pPr>
        <w:spacing w:after="0" w:line="131" w:lineRule="exact"/>
        <w:rPr>
          <w:sz w:val="20"/>
          <w:szCs w:val="20"/>
          <w:color w:val="auto"/>
        </w:rPr>
      </w:pPr>
    </w:p>
    <w:p>
      <w:pPr>
        <w:ind w:right="40" w:firstLine="525"/>
        <w:spacing w:after="0" w:line="252" w:lineRule="auto"/>
        <w:rPr>
          <w:sz w:val="20"/>
          <w:szCs w:val="20"/>
          <w:color w:val="auto"/>
        </w:rPr>
      </w:pPr>
      <w:r>
        <w:rPr>
          <w:rFonts w:ascii="Times New Roman" w:cs="Times New Roman" w:eastAsia="Times New Roman" w:hAnsi="Times New Roman"/>
          <w:sz w:val="17"/>
          <w:szCs w:val="17"/>
          <w:color w:val="auto"/>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 Ropes &amp; Gray LLP</w:t>
      </w:r>
    </w:p>
    <w:p>
      <w:pPr>
        <w:spacing w:after="0" w:line="1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Ropes &amp; Gray LLP</w:t>
      </w:r>
    </w:p>
    <w:p>
      <w:pPr>
        <w:sectPr>
          <w:pgSz w:w="11900" w:h="16838" w:orient="portrait"/>
          <w:cols w:equalWidth="0" w:num="1">
            <w:col w:w="11280"/>
          </w:cols>
          <w:pgMar w:left="300" w:top="123"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32"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4"/>
          <w:szCs w:val="14"/>
          <w:color w:val="auto"/>
        </w:rPr>
        <w:t>We consent to the use of our report dated February 19, 2026, with respect to the consolidated financial statements of Spyre Therapeutics, Inc., and the effectiveness of internal control over financial reporting, incorporated herein by reference, and to the reference to our firm under the heading “Experts” in the prospectus.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26, 2026</w:t>
      </w:r>
    </w:p>
    <w:p>
      <w:pPr>
        <w:sectPr>
          <w:pgSz w:w="11900" w:h="16838" w:orient="portrait"/>
          <w:cols w:equalWidth="0" w:num="1">
            <w:col w:w="11280"/>
          </w:cols>
          <w:pgMar w:left="300" w:top="133"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Spyre Therapeutics, Inc. of our report dated February 27, 2025 relating to the financial statements, which appears in Spyre Therapeutics, Inc.’s Annual Report on Form 10-K for the year ended December 31, 2025.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Austin, Texas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26, 2026</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1)"/>
      <w:numFmt w:val="decimal"/>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1"/>
      <w:numFmt w:val="decimal"/>
      <w:start w:val="107"/>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60B6DF70"/>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33">
    <w:nsid w:val="6A5EE64"/>
    <w:multiLevelType w:val="hybridMultilevel"/>
    <w:lvl w:ilvl="0">
      <w:lvlJc w:val="left"/>
      <w:lvlText w:val="(%1)"/>
      <w:numFmt w:val="decimal"/>
      <w:start w:val="4"/>
    </w:lvl>
    <w:lvl w:ilvl="1">
      <w:lvlJc w:val="left"/>
      <w:lvlText w:val="%2"/>
      <w:numFmt w:val="decimal"/>
      <w:start w:val="1"/>
    </w:lvl>
    <w:lvl w:ilvl="2">
      <w:lvlJc w:val="left"/>
      <w:lvlText w:val="(%3)"/>
      <w:numFmt w:val="lowerRoman"/>
      <w:start w:val="1"/>
    </w:lvl>
  </w:abstractNum>
  <w:abstractNum w:abstractNumId="34">
    <w:nsid w:val="14330624"/>
    <w:multiLevelType w:val="hybridMultilevel"/>
    <w:lvl w:ilvl="0">
      <w:lvlJc w:val="left"/>
      <w:lvlText w:val="(%1)"/>
      <w:numFmt w:val="decimal"/>
      <w:start w:val="5"/>
    </w:lvl>
    <w:lvl w:ilvl="1">
      <w:lvlJc w:val="left"/>
      <w:lvlText w:val="(%2)"/>
      <w:numFmt w:val="lowerRoman"/>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2"/>
    </w:lvl>
    <w:lvl w:ilvl="1">
      <w:lvlJc w:val="left"/>
      <w:lvlText w:val="-"/>
      <w:numFmt w:val="bullet"/>
      <w:start w:val="1"/>
    </w:lvl>
  </w:abstractNum>
  <w:abstractNum w:abstractNumId="37">
    <w:nsid w:val="71EA1109"/>
    <w:multiLevelType w:val="hybridMultilevel"/>
    <w:lvl w:ilvl="0">
      <w:lvlJc w:val="left"/>
      <w:lvlText w:val="%1."/>
      <w:numFmt w:val="decimal"/>
      <w:start w:val="3"/>
    </w:lvl>
  </w:abstractNum>
  <w:abstractNum w:abstractNumId="38">
    <w:nsid w:val="100F59DC"/>
    <w:multiLevelType w:val="hybridMultilevel"/>
    <w:lvl w:ilvl="0">
      <w:lvlJc w:val="left"/>
      <w:lvlText w:val="%1."/>
      <w:numFmt w:val="decimal"/>
      <w:start w:val="4"/>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decimal"/>
      <w:start w:val="5"/>
    </w:lvl>
  </w:abstractNum>
  <w:abstractNum w:abstractNumId="41">
    <w:nsid w:val="6F6DD9A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2">
    <w:nsid w:val="94211F2"/>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43">
    <w:nsid w:val="885E1B"/>
    <w:multiLevelType w:val="hybridMultilevel"/>
    <w:lvl w:ilvl="0">
      <w:lvlJc w:val="left"/>
      <w:lvlText w:val="%1"/>
      <w:numFmt w:val="lowerRoman"/>
      <w:start w:val="1"/>
    </w:lvl>
    <w:lvl w:ilvl="1">
      <w:lvlJc w:val="left"/>
      <w:lvlText w:val="%2."/>
      <w:numFmt w:val="decimal"/>
      <w:start w:val="6"/>
    </w:lvl>
  </w:abstractNum>
  <w:abstractNum w:abstractNumId="44">
    <w:nsid w:val="76272110"/>
    <w:multiLevelType w:val="hybridMultilevel"/>
    <w:lvl w:ilvl="0">
      <w:lvlJc w:val="left"/>
      <w:lvlText w:val="(%1)"/>
      <w:numFmt w:val="lowerRoman"/>
      <w:start w:val="1"/>
    </w:lvl>
    <w:lvl w:ilvl="1">
      <w:lvlJc w:val="left"/>
      <w:lvlText w:val="%2"/>
      <w:numFmt w:val="decimal"/>
      <w:start w:val="1"/>
    </w:lvl>
  </w:abstractNum>
  <w:abstractNum w:abstractNumId="45">
    <w:nsid w:val="4C04A8AF"/>
    <w:multiLevelType w:val="hybridMultilevel"/>
    <w:lvl w:ilvl="0">
      <w:lvlJc w:val="left"/>
      <w:lvlText w:val="(%1)"/>
      <w:numFmt w:val="lowerLetter"/>
      <w:start w:val="1"/>
    </w:lvl>
    <w:lvl w:ilvl="1">
      <w:lvlJc w:val="left"/>
      <w:lvlText w:val="-"/>
      <w:numFmt w:val="bullet"/>
      <w:start w:val="1"/>
    </w:lvl>
  </w:abstractNum>
  <w:abstractNum w:abstractNumId="46">
    <w:nsid w:val="1716703B"/>
    <w:multiLevelType w:val="hybridMultilevel"/>
    <w:lvl w:ilvl="0">
      <w:lvlJc w:val="left"/>
      <w:lvlText w:val="(%1)"/>
      <w:numFmt w:val="lowerLetter"/>
      <w:start w:val="3"/>
    </w:lvl>
    <w:lvl w:ilvl="1">
      <w:lvlJc w:val="left"/>
      <w:lvlText w:val="-"/>
      <w:numFmt w:val="bullet"/>
      <w:start w:val="1"/>
    </w:lvl>
  </w:abstractNum>
  <w:abstractNum w:abstractNumId="47">
    <w:nsid w:val="14E17E33"/>
    <w:multiLevelType w:val="hybridMultilevel"/>
    <w:lvl w:ilvl="0">
      <w:lvlJc w:val="left"/>
      <w:lvlText w:val="(%1)"/>
      <w:numFmt w:val="lowerLetter"/>
      <w:start w:val="10"/>
    </w:lvl>
    <w:lvl w:ilvl="1">
      <w:lvlJc w:val="left"/>
      <w:lvlText w:val="-"/>
      <w:numFmt w:val="bullet"/>
      <w:start w:val="1"/>
    </w:lvl>
  </w:abstractNum>
  <w:abstractNum w:abstractNumId="48">
    <w:nsid w:val="3222E7CD"/>
    <w:multiLevelType w:val="hybridMultilevel"/>
    <w:lvl w:ilvl="0">
      <w:lvlJc w:val="left"/>
      <w:lvlText w:val="%1"/>
      <w:numFmt w:val="lowerLetter"/>
      <w:start w:val="1"/>
    </w:lvl>
    <w:lvl w:ilvl="1">
      <w:lvlJc w:val="left"/>
      <w:lvlText w:val="(%2)"/>
      <w:numFmt w:val="lowerLetter"/>
      <w:start w:val="14"/>
    </w:lvl>
    <w:lvl w:ilvl="2">
      <w:lvlJc w:val="left"/>
      <w:lvlText w:val="-"/>
      <w:numFmt w:val="bullet"/>
      <w:start w:val="1"/>
    </w:lvl>
  </w:abstractNum>
  <w:abstractNum w:abstractNumId="49">
    <w:nsid w:val="74DE0EE3"/>
    <w:multiLevelType w:val="hybridMultilevel"/>
    <w:lvl w:ilvl="0">
      <w:lvlJc w:val="left"/>
      <w:lvlText w:val="(%1)"/>
      <w:numFmt w:val="lowerLetter"/>
      <w:start w:val="9"/>
    </w:lvl>
    <w:lvl w:ilvl="1">
      <w:lvlJc w:val="left"/>
      <w:lvlText w:val="(%2)"/>
      <w:numFmt w:val="lowerLetter"/>
      <w:start w:val="16"/>
    </w:lvl>
    <w:lvl w:ilvl="2">
      <w:lvlJc w:val="left"/>
      <w:lvlText w:val="-"/>
      <w:numFmt w:val="bullet"/>
      <w:start w:val="1"/>
    </w:lvl>
  </w:abstractNum>
  <w:abstractNum w:abstractNumId="50">
    <w:nsid w:val="68EBC550"/>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51">
    <w:nsid w:val="2DF6D648"/>
    <w:multiLevelType w:val="hybridMultilevel"/>
    <w:lvl w:ilvl="0">
      <w:lvlJc w:val="left"/>
      <w:lvlText w:val="(%1)"/>
      <w:numFmt w:val="lowerLetter"/>
      <w:start w:val="17"/>
    </w:lvl>
    <w:lvl w:ilvl="1">
      <w:lvlJc w:val="left"/>
      <w:lvlText w:val="-"/>
      <w:numFmt w:val="bullet"/>
      <w:start w:val="1"/>
    </w:lvl>
  </w:abstractNum>
  <w:abstractNum w:abstractNumId="52">
    <w:nsid w:val="46B7D447"/>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lvl w:ilvl="3">
      <w:lvlJc w:val="left"/>
      <w:lvlText w:val="-"/>
      <w:numFmt w:val="bullet"/>
      <w:start w:val="1"/>
    </w:lvl>
  </w:abstractNum>
  <w:abstractNum w:abstractNumId="53">
    <w:nsid w:val="4A2AC315"/>
    <w:multiLevelType w:val="hybridMultilevel"/>
    <w:lvl w:ilvl="0">
      <w:lvlJc w:val="left"/>
      <w:lvlText w:val="(%1)"/>
      <w:numFmt w:val="lowerLetter"/>
      <w:start w:val="9"/>
    </w:lvl>
    <w:lvl w:ilvl="1">
      <w:lvlJc w:val="left"/>
      <w:lvlText w:val="(%2)"/>
      <w:numFmt w:val="lowerLetter"/>
      <w:start w:val="25"/>
    </w:lvl>
    <w:lvl w:ilvl="2">
      <w:lvlJc w:val="left"/>
      <w:lvlText w:val="(%3)"/>
      <w:numFmt w:val="upperLetter"/>
      <w:start w:val="1"/>
    </w:lvl>
    <w:lvl w:ilvl="3">
      <w:lvlJc w:val="left"/>
      <w:lvlText w:val="-"/>
      <w:numFmt w:val="bullet"/>
      <w:start w:val="1"/>
    </w:lvl>
  </w:abstractNum>
  <w:abstractNum w:abstractNumId="54">
    <w:nsid w:val="39EE015C"/>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55">
    <w:nsid w:val="57FC4FBB"/>
    <w:multiLevelType w:val="hybridMultilevel"/>
    <w:lvl w:ilvl="0">
      <w:lvlJc w:val="left"/>
      <w:lvlText w:val="(%1)"/>
      <w:numFmt w:val="lowerLetter"/>
      <w:start w:val="27"/>
    </w:lvl>
    <w:lvl w:ilvl="1">
      <w:lvlJc w:val="left"/>
      <w:lvlText w:val="%2"/>
      <w:numFmt w:val="upperLetter"/>
      <w:start w:val="1"/>
    </w:lvl>
    <w:lvl w:ilvl="2">
      <w:lvlJc w:val="left"/>
      <w:lvlText w:val="-"/>
      <w:numFmt w:val="bullet"/>
      <w:start w:val="1"/>
    </w:lvl>
  </w:abstractNum>
  <w:abstractNum w:abstractNumId="56">
    <w:nsid w:val="CC1016F"/>
    <w:multiLevelType w:val="hybridMultilevel"/>
    <w:lvl w:ilvl="0">
      <w:lvlJc w:val="left"/>
      <w:lvlText w:val="(%1)"/>
      <w:numFmt w:val="lowerLetter"/>
      <w:start w:val="30"/>
    </w:lvl>
    <w:lvl w:ilvl="1">
      <w:lvlJc w:val="left"/>
      <w:lvlText w:val="-"/>
      <w:numFmt w:val="bullet"/>
      <w:start w:val="1"/>
    </w:lvl>
  </w:abstractNum>
  <w:abstractNum w:abstractNumId="57">
    <w:nsid w:val="43F18422"/>
    <w:multiLevelType w:val="hybridMultilevel"/>
    <w:lvl w:ilvl="0">
      <w:lvlJc w:val="left"/>
      <w:lvlText w:val="(%1)"/>
      <w:numFmt w:val="lowerLetter"/>
      <w:start w:val="31"/>
    </w:lvl>
    <w:lvl w:ilvl="1">
      <w:lvlJc w:val="left"/>
      <w:lvlText w:val="-"/>
      <w:numFmt w:val="bullet"/>
      <w:start w:val="1"/>
    </w:lvl>
  </w:abstractNum>
  <w:abstractNum w:abstractNumId="58">
    <w:nsid w:val="60EF0119"/>
    <w:multiLevelType w:val="hybridMultilevel"/>
    <w:lvl w:ilvl="0">
      <w:lvlJc w:val="left"/>
      <w:lvlText w:val="(%1)"/>
      <w:numFmt w:val="lowerLetter"/>
      <w:start w:val="39"/>
    </w:lvl>
    <w:lvl w:ilvl="1">
      <w:lvlJc w:val="left"/>
      <w:lvlText w:val="-"/>
      <w:numFmt w:val="bullet"/>
      <w:start w:val="1"/>
    </w:lvl>
  </w:abstractNum>
  <w:abstractNum w:abstractNumId="59">
    <w:nsid w:val="26F324BA"/>
    <w:multiLevelType w:val="hybridMultilevel"/>
    <w:lvl w:ilvl="0">
      <w:lvlJc w:val="left"/>
      <w:lvlText w:val="%1"/>
      <w:numFmt w:val="lowerRoman"/>
      <w:start w:val="1"/>
    </w:lvl>
    <w:lvl w:ilvl="1">
      <w:lvlJc w:val="left"/>
      <w:lvlText w:val="(%2)"/>
      <w:numFmt w:val="lowerLetter"/>
      <w:start w:val="41"/>
    </w:lvl>
  </w:abstractNum>
  <w:abstractNum w:abstractNumId="60">
    <w:nsid w:val="7F01579B"/>
    <w:multiLevelType w:val="hybridMultilevel"/>
    <w:lvl w:ilvl="0">
      <w:lvlJc w:val="left"/>
      <w:lvlText w:val="(%1)"/>
      <w:numFmt w:val="lowerRoman"/>
      <w:start w:val="4"/>
    </w:lvl>
    <w:lvl w:ilvl="1">
      <w:lvlJc w:val="left"/>
      <w:lvlText w:val="%2"/>
      <w:numFmt w:val="lowerLetter"/>
      <w:start w:val="1"/>
    </w:lvl>
  </w:abstractNum>
  <w:abstractNum w:abstractNumId="61">
    <w:nsid w:val="49DA307D"/>
    <w:multiLevelType w:val="hybridMultilevel"/>
    <w:lvl w:ilvl="0">
      <w:lvlJc w:val="left"/>
      <w:lvlText w:val="(%1)"/>
      <w:numFmt w:val="lowerLetter"/>
      <w:start w:val="42"/>
    </w:lvl>
    <w:lvl w:ilvl="1">
      <w:lvlJc w:val="left"/>
      <w:lvlText w:val="-"/>
      <w:numFmt w:val="bullet"/>
      <w:start w:val="1"/>
    </w:lvl>
  </w:abstractNum>
  <w:abstractNum w:abstractNumId="62">
    <w:nsid w:val="7055A5F5"/>
    <w:multiLevelType w:val="hybridMultilevel"/>
    <w:lvl w:ilvl="0">
      <w:lvlJc w:val="left"/>
      <w:lvlText w:val="(%1)"/>
      <w:numFmt w:val="lowerLetter"/>
      <w:start w:val="44"/>
    </w:lvl>
  </w:abstractNum>
  <w:abstractNum w:abstractNumId="63">
    <w:nsid w:val="5FB8370B"/>
    <w:multiLevelType w:val="hybridMultilevel"/>
    <w:lvl w:ilvl="0">
      <w:lvlJc w:val="left"/>
      <w:lvlText w:val="(%1)"/>
      <w:numFmt w:val="lowerLetter"/>
      <w:start w:val="1"/>
    </w:lvl>
    <w:lvl w:ilvl="1">
      <w:lvlJc w:val="left"/>
      <w:lvlText w:val="-"/>
      <w:numFmt w:val="bullet"/>
      <w:start w:val="1"/>
    </w:lvl>
  </w:abstractNum>
  <w:abstractNum w:abstractNumId="64">
    <w:nsid w:val="50801EE1"/>
    <w:multiLevelType w:val="hybridMultilevel"/>
    <w:lvl w:ilvl="0">
      <w:lvlJc w:val="left"/>
      <w:lvlText w:val="(%1)"/>
      <w:numFmt w:val="upperLetter"/>
      <w:start w:val="3"/>
    </w:lvl>
    <w:lvl w:ilvl="1">
      <w:lvlJc w:val="left"/>
      <w:lvlText w:val="(%2)"/>
      <w:numFmt w:val="lowerLetter"/>
      <w:start w:val="2"/>
    </w:lvl>
    <w:lvl w:ilvl="2">
      <w:lvlJc w:val="left"/>
      <w:lvlText w:val="-"/>
      <w:numFmt w:val="bullet"/>
      <w:start w:val="1"/>
    </w:lvl>
  </w:abstractNum>
  <w:abstractNum w:abstractNumId="65">
    <w:nsid w:val="488AC1A"/>
    <w:multiLevelType w:val="hybridMultilevel"/>
    <w:lvl w:ilvl="0">
      <w:lvlJc w:val="left"/>
      <w:lvlText w:val="(%1)"/>
      <w:numFmt w:val="lowerLetter"/>
      <w:start w:val="5"/>
    </w:lvl>
  </w:abstractNum>
  <w:abstractNum w:abstractNumId="66">
    <w:nsid w:val="5FB8011C"/>
    <w:multiLevelType w:val="hybridMultilevel"/>
    <w:lvl w:ilvl="0">
      <w:lvlJc w:val="left"/>
      <w:lvlText w:val="(%1)"/>
      <w:numFmt w:val="lowerRoman"/>
      <w:start w:val="4"/>
    </w:lvl>
    <w:lvl w:ilvl="1">
      <w:lvlJc w:val="left"/>
      <w:lvlText w:val="(%2)"/>
      <w:numFmt w:val="lowerLetter"/>
      <w:start w:val="8"/>
    </w:lvl>
    <w:lvl w:ilvl="2">
      <w:lvlJc w:val="left"/>
      <w:lvlText w:val="-"/>
      <w:numFmt w:val="bullet"/>
      <w:start w:val="1"/>
    </w:lvl>
  </w:abstractNum>
  <w:abstractNum w:abstractNumId="67">
    <w:nsid w:val="6AA78F7F"/>
    <w:multiLevelType w:val="hybridMultilevel"/>
    <w:lvl w:ilvl="0">
      <w:lvlJc w:val="left"/>
      <w:lvlText w:val="(%1)"/>
      <w:numFmt w:val="lowerLetter"/>
      <w:start w:val="9"/>
    </w:lvl>
    <w:lvl w:ilvl="1">
      <w:lvlJc w:val="left"/>
      <w:lvlText w:val="-"/>
      <w:numFmt w:val="bullet"/>
      <w:start w:val="1"/>
    </w:lvl>
  </w:abstractNum>
  <w:abstractNum w:abstractNumId="68">
    <w:nsid w:val="7672BD23"/>
    <w:multiLevelType w:val="hybridMultilevel"/>
    <w:lvl w:ilvl="0">
      <w:lvlJc w:val="left"/>
      <w:lvlText w:val="(%1)"/>
      <w:numFmt w:val="lowerLetter"/>
      <w:start w:val="14"/>
    </w:lvl>
    <w:lvl w:ilvl="1">
      <w:lvlJc w:val="left"/>
      <w:lvlText w:val="-"/>
      <w:numFmt w:val="bullet"/>
      <w:start w:val="1"/>
    </w:lvl>
  </w:abstractNum>
  <w:abstractNum w:abstractNumId="69">
    <w:nsid w:val="6FC75AF8"/>
    <w:multiLevelType w:val="hybridMultilevel"/>
    <w:lvl w:ilvl="0">
      <w:lvlJc w:val="left"/>
      <w:lvlText w:val="(%1)"/>
      <w:numFmt w:val="lowerLetter"/>
      <w:start w:val="16"/>
    </w:lvl>
    <w:lvl w:ilvl="1">
      <w:lvlJc w:val="left"/>
      <w:lvlText w:val="-"/>
      <w:numFmt w:val="bullet"/>
      <w:start w:val="1"/>
    </w:lvl>
  </w:abstractNum>
  <w:abstractNum w:abstractNumId="70">
    <w:nsid w:val="6A5F7029"/>
    <w:multiLevelType w:val="hybridMultilevel"/>
    <w:lvl w:ilvl="0">
      <w:lvlJc w:val="left"/>
      <w:lvlText w:val="%1."/>
      <w:numFmt w:val="decimal"/>
      <w:start w:val="8"/>
    </w:lvl>
  </w:abstractNum>
  <w:abstractNum w:abstractNumId="71">
    <w:nsid w:val="7D5E18F8"/>
    <w:multiLevelType w:val="hybridMultilevel"/>
    <w:lvl w:ilvl="0">
      <w:lvlJc w:val="left"/>
      <w:lvlText w:val="(%1)"/>
      <w:numFmt w:val="lowerLetter"/>
      <w:start w:val="1"/>
    </w:lvl>
    <w:lvl w:ilvl="1">
      <w:lvlJc w:val="left"/>
      <w:lvlText w:val="-"/>
      <w:numFmt w:val="bullet"/>
      <w:start w:val="1"/>
    </w:lvl>
  </w:abstractNum>
  <w:abstractNum w:abstractNumId="72">
    <w:nsid w:val="5F3534A4"/>
    <w:multiLevelType w:val="hybridMultilevel"/>
    <w:lvl w:ilvl="0">
      <w:lvlJc w:val="left"/>
      <w:lvlText w:val="(%1)"/>
      <w:numFmt w:val="lowerLetter"/>
      <w:start w:val="5"/>
    </w:lvl>
  </w:abstractNum>
  <w:abstractNum w:abstractNumId="73">
    <w:nsid w:val="73A1821B"/>
    <w:multiLevelType w:val="hybridMultilevel"/>
    <w:lvl w:ilvl="0">
      <w:lvlJc w:val="left"/>
      <w:lvlText w:val="%1."/>
      <w:numFmt w:val="decimal"/>
      <w:start w:val="9"/>
    </w:lvl>
  </w:abstractNum>
  <w:abstractNum w:abstractNumId="74">
    <w:nsid w:val="7DE67713"/>
    <w:multiLevelType w:val="hybridMultilevel"/>
    <w:lvl w:ilvl="0">
      <w:lvlJc w:val="left"/>
      <w:lvlText w:val="(%1)"/>
      <w:numFmt w:val="lowerLetter"/>
      <w:start w:val="1"/>
    </w:lvl>
    <w:lvl w:ilvl="1">
      <w:lvlJc w:val="left"/>
      <w:lvlText w:val="-"/>
      <w:numFmt w:val="bullet"/>
      <w:start w:val="1"/>
    </w:lvl>
  </w:abstractNum>
  <w:abstractNum w:abstractNumId="75">
    <w:nsid w:val="555C55B5"/>
    <w:multiLevelType w:val="hybridMultilevel"/>
    <w:lvl w:ilvl="0">
      <w:lvlJc w:val="left"/>
      <w:lvlText w:val="(%1)"/>
      <w:numFmt w:val="lowerLetter"/>
      <w:start w:val="2"/>
    </w:lvl>
    <w:lvl w:ilvl="1">
      <w:lvlJc w:val="left"/>
      <w:lvlText w:val="-"/>
      <w:numFmt w:val="bullet"/>
      <w:start w:val="1"/>
    </w:lvl>
  </w:abstractNum>
  <w:abstractNum w:abstractNumId="76">
    <w:nsid w:val="3FA62ACA"/>
    <w:multiLevelType w:val="hybridMultilevel"/>
    <w:lvl w:ilvl="0">
      <w:lvlJc w:val="left"/>
      <w:lvlText w:val="(%1)"/>
      <w:numFmt w:val="lowerLetter"/>
      <w:start w:val="4"/>
    </w:lvl>
    <w:lvl w:ilvl="1">
      <w:lvlJc w:val="left"/>
      <w:lvlText w:val="-"/>
      <w:numFmt w:val="bullet"/>
      <w:start w:val="1"/>
    </w:lvl>
  </w:abstractNum>
  <w:abstractNum w:abstractNumId="77">
    <w:nsid w:val="14FCE74E"/>
    <w:multiLevelType w:val="hybridMultilevel"/>
    <w:lvl w:ilvl="0">
      <w:lvlJc w:val="left"/>
      <w:lvlText w:val="%1."/>
      <w:numFmt w:val="decimal"/>
      <w:start w:val="10"/>
    </w:lvl>
  </w:abstractNum>
  <w:abstractNum w:abstractNumId="78">
    <w:nsid w:val="6A3DD3E8"/>
    <w:multiLevelType w:val="hybridMultilevel"/>
    <w:lvl w:ilvl="0">
      <w:lvlJc w:val="left"/>
      <w:lvlText w:val="(%1)"/>
      <w:numFmt w:val="lowerLetter"/>
      <w:start w:val="1"/>
    </w:lvl>
    <w:lvl w:ilvl="1">
      <w:lvlJc w:val="left"/>
      <w:lvlText w:val="-"/>
      <w:numFmt w:val="bullet"/>
      <w:start w:val="1"/>
    </w:lvl>
  </w:abstractNum>
  <w:abstractNum w:abstractNumId="79">
    <w:nsid w:val="71C91298"/>
    <w:multiLevelType w:val="hybridMultilevel"/>
    <w:lvl w:ilvl="0">
      <w:lvlJc w:val="left"/>
      <w:lvlText w:val="(%1)"/>
      <w:numFmt w:val="lowerLetter"/>
      <w:start w:val="2"/>
    </w:lvl>
  </w:abstractNum>
  <w:abstractNum w:abstractNumId="80">
    <w:nsid w:val="9DAF632"/>
    <w:multiLevelType w:val="hybridMultilevel"/>
    <w:lvl w:ilvl="0">
      <w:lvlJc w:val="left"/>
      <w:lvlText w:val="%1."/>
      <w:numFmt w:val="decimal"/>
      <w:start w:val="12"/>
    </w:lvl>
    <w:lvl w:ilvl="1">
      <w:lvlJc w:val="left"/>
      <w:lvlText w:val="-"/>
      <w:numFmt w:val="bullet"/>
      <w:start w:val="1"/>
    </w:lvl>
  </w:abstractNum>
  <w:abstractNum w:abstractNumId="81">
    <w:nsid w:val="53299938"/>
    <w:multiLevelType w:val="hybridMultilevel"/>
    <w:lvl w:ilvl="0">
      <w:lvlJc w:val="left"/>
      <w:lvlText w:val="%1."/>
      <w:numFmt w:val="decimal"/>
      <w:start w:val="13"/>
    </w:lvl>
    <w:lvl w:ilvl="1">
      <w:lvlJc w:val="left"/>
      <w:lvlText w:val="-"/>
      <w:numFmt w:val="bullet"/>
      <w:start w:val="1"/>
    </w:lvl>
  </w:abstractNum>
  <w:abstractNum w:abstractNumId="82">
    <w:nsid w:val="1FBFE8E0"/>
    <w:multiLevelType w:val="hybridMultilevel"/>
    <w:lvl w:ilvl="0">
      <w:lvlJc w:val="left"/>
      <w:lvlText w:val="%1."/>
      <w:numFmt w:val="decimal"/>
      <w:start w:val="17"/>
    </w:lvl>
  </w:abstractNum>
  <w:abstractNum w:abstractNumId="83">
    <w:nsid w:val="5092CA79"/>
    <w:multiLevelType w:val="hybridMultilevel"/>
    <w:lvl w:ilvl="0">
      <w:lvlJc w:val="left"/>
      <w:lvlText w:val="(%1)"/>
      <w:numFmt w:val="lowerLetter"/>
      <w:start w:val="1"/>
    </w:lvl>
  </w:abstractNum>
  <w:abstractNum w:abstractNumId="84">
    <w:nsid w:val="1D545C4D"/>
    <w:multiLevelType w:val="hybridMultilevel"/>
    <w:lvl w:ilvl="0">
      <w:lvlJc w:val="left"/>
      <w:lvlText w:val="%1."/>
      <w:numFmt w:val="decimal"/>
      <w:start w:val="19"/>
    </w:lvl>
  </w:abstractNum>
  <w:abstractNum w:abstractNumId="85">
    <w:nsid w:val="59ADEA3D"/>
    <w:multiLevelType w:val="hybridMultilevel"/>
    <w:lvl w:ilvl="0">
      <w:lvlJc w:val="left"/>
      <w:lvlText w:val="(%1)"/>
      <w:numFmt w:val="lowerLetter"/>
      <w:start w:val="1"/>
    </w:lvl>
    <w:lvl w:ilvl="1">
      <w:lvlJc w:val="left"/>
      <w:lvlText w:val="-"/>
      <w:numFmt w:val="bullet"/>
      <w:start w:val="1"/>
    </w:lvl>
  </w:abstractNum>
  <w:abstractNum w:abstractNumId="86">
    <w:nsid w:val="288F1A34"/>
    <w:multiLevelType w:val="hybridMultilevel"/>
    <w:lvl w:ilvl="0">
      <w:lvlJc w:val="left"/>
      <w:lvlText w:val="%1"/>
      <w:numFmt w:val="lowerLetter"/>
      <w:start w:val="1"/>
    </w:lvl>
    <w:lvl w:ilvl="1">
      <w:lvlJc w:val="left"/>
      <w:lvlText w:val="(%2)"/>
      <w:numFmt w:val="lowerLetter"/>
      <w:start w:val="3"/>
    </w:lvl>
  </w:abstractNum>
  <w:abstractNum w:abstractNumId="87">
    <w:nsid w:val="2A155DBC"/>
    <w:multiLevelType w:val="hybridMultilevel"/>
    <w:lvl w:ilvl="0">
      <w:lvlJc w:val="left"/>
      <w:lvlText w:val="(%1)"/>
      <w:numFmt w:val="lowerLetter"/>
      <w:start w:val="2"/>
    </w:lvl>
    <w:lvl w:ilvl="1">
      <w:lvlJc w:val="left"/>
      <w:lvlText w:val="%2"/>
      <w:numFmt w:val="lowerLetter"/>
      <w:start w:val="1"/>
    </w:lvl>
  </w:abstractNum>
  <w:abstractNum w:abstractNumId="88">
    <w:nsid w:val="1D9F6E5F"/>
    <w:multiLevelType w:val="hybridMultilevel"/>
    <w:lvl w:ilvl="0">
      <w:lvlJc w:val="left"/>
      <w:lvlText w:val="(%1)"/>
      <w:numFmt w:val="lowerRoman"/>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22"/>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Letter"/>
      <w:start w:val="2"/>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1"/>
    </w:lvl>
  </w:abstractNum>
  <w:abstractNum w:abstractNumId="98">
    <w:nsid w:val="E7FFA2B"/>
    <w:multiLevelType w:val="hybridMultilevel"/>
    <w:lvl w:ilvl="0">
      <w:lvlJc w:val="left"/>
      <w:lvlText w:val="(%1)"/>
      <w:numFmt w:val="decimal"/>
      <w:start w:val="1"/>
    </w:lvl>
    <w:lvl w:ilvl="1">
      <w:lvlJc w:val="left"/>
      <w:lvlText w:val="(%2)"/>
      <w:numFmt w:val="upperLetter"/>
      <w:start w:val="1"/>
    </w:lvl>
  </w:abstractNum>
  <w:abstractNum w:abstractNumId="99">
    <w:nsid w:val="3C5991AA"/>
    <w:multiLevelType w:val="hybridMultilevel"/>
    <w:lvl w:ilvl="0">
      <w:lvlJc w:val="left"/>
      <w:lvlText w:val="(%1)"/>
      <w:numFmt w:val="decimal"/>
      <w:start w:val="5"/>
    </w:lvl>
    <w:lvl w:ilvl="1">
      <w:lvlJc w:val="left"/>
      <w:lvlText w:val="(%2)"/>
      <w:numFmt w:val="upperLetter"/>
      <w:start w:val="1"/>
    </w:lvl>
  </w:abstractNum>
  <w:abstractNum w:abstractNumId="100">
    <w:nsid w:val="4BD8591A"/>
    <w:multiLevelType w:val="hybridMultilevel"/>
    <w:lvl w:ilvl="0">
      <w:lvlJc w:val="left"/>
      <w:lvlText w:val="(%1)"/>
      <w:numFmt w:val="decimal"/>
      <w:start w:val="1"/>
    </w:lvl>
  </w:abstractNum>
  <w:abstractNum w:abstractNumId="101">
    <w:nsid w:val="78DF6A55"/>
    <w:multiLevelType w:val="hybridMultilevel"/>
    <w:lvl w:ilvl="0">
      <w:lvlJc w:val="left"/>
      <w:lvlText w:val="%1"/>
      <w:numFmt w:val="decimal"/>
      <w:start w:val="1"/>
    </w:lvl>
    <w:lvl w:ilvl="1">
      <w:lvlJc w:val="left"/>
      <w:lvlText w:val="(%2)"/>
      <w:numFmt w:val="lowerLetter"/>
      <w:start w:val="1"/>
    </w:lvl>
  </w:abstractNum>
  <w:abstractNum w:abstractNumId="102">
    <w:nsid w:val="39B7AAA2"/>
    <w:multiLevelType w:val="hybridMultilevel"/>
    <w:lvl w:ilvl="0">
      <w:lvlJc w:val="left"/>
      <w:lvlText w:val="(%1)"/>
      <w:numFmt w:val="decimal"/>
      <w:start w:val="1"/>
    </w:lvl>
    <w:lvl w:ilvl="1">
      <w:lvlJc w:val="left"/>
      <w:lvlText w:val="%2"/>
      <w:numFmt w:val="lowerLetter"/>
      <w:start w:val="1"/>
    </w:lvl>
  </w:abstractNum>
  <w:abstractNum w:abstractNumId="103">
    <w:nsid w:val="2B0D8DBE"/>
    <w:multiLevelType w:val="hybridMultilevel"/>
    <w:lvl w:ilvl="0">
      <w:lvlJc w:val="left"/>
      <w:lvlText w:val="%1"/>
      <w:numFmt w:val="decimal"/>
      <w:start w:val="1"/>
    </w:lvl>
    <w:lvl w:ilvl="1">
      <w:lvlJc w:val="left"/>
      <w:lvlText w:val="(%2)"/>
      <w:numFmt w:val="lowerLetter"/>
      <w:start w:val="3"/>
    </w:lvl>
  </w:abstractNum>
  <w:abstractNum w:abstractNumId="104">
    <w:nsid w:val="6C80EC70"/>
    <w:multiLevelType w:val="hybridMultilevel"/>
    <w:lvl w:ilvl="0">
      <w:lvlJc w:val="left"/>
      <w:lvlText w:val="(%1)"/>
      <w:numFmt w:val="decimal"/>
      <w:start w:val="1"/>
    </w:lvl>
    <w:lvl w:ilvl="1">
      <w:lvlJc w:val="left"/>
      <w:lvlText w:val="(%2)"/>
      <w:numFmt w:val="lowerLetter"/>
      <w:start w:val="4"/>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6"/>
    </w:lvl>
  </w:abstractNum>
  <w:abstractNum w:abstractNumId="107">
    <w:nsid w:val="2C27173B"/>
    <w:multiLevelType w:val="hybridMultilevel"/>
    <w:lvl w:ilvl="0">
      <w:lvlJc w:val="left"/>
      <w:lvlText w:val="(%1)"/>
      <w:numFmt w:val="decimal"/>
      <w:start w:val="1"/>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3"/>
    </w:lvl>
    <w:lvl w:ilvl="1">
      <w:lvlJc w:val="left"/>
      <w:lvlText w:val="(%2)"/>
      <w:numFmt w:val="decimal"/>
      <w:start w:val="1"/>
    </w:lvl>
  </w:abstractNum>
  <w:abstractNum w:abstractNumId="110">
    <w:nsid w:val="1DF029D3"/>
    <w:multiLevelType w:val="hybridMultilevel"/>
    <w:lvl w:ilvl="0">
      <w:lvlJc w:val="left"/>
      <w:lvlText w:val="(%1)"/>
      <w:numFmt w:val="decimal"/>
      <w:start w:val="4"/>
    </w:lvl>
  </w:abstractNum>
  <w:abstractNum w:abstractNumId="111">
    <w:nsid w:val="5675FF36"/>
    <w:multiLevelType w:val="hybridMultilevel"/>
    <w:lvl w:ilvl="0">
      <w:lvlJc w:val="left"/>
      <w:lvlText w:val="(%1)"/>
      <w:numFmt w:val="lowerLetter"/>
      <w:start w:val="5"/>
    </w:lvl>
    <w:lvl w:ilvl="1">
      <w:lvlJc w:val="left"/>
      <w:lvlText w:val="(%2)"/>
      <w:numFmt w:val="decimal"/>
      <w:start w:val="1"/>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decimal"/>
      <w:start w:val="7"/>
    </w:lvl>
  </w:abstractNum>
  <w:abstractNum w:abstractNumId="114">
    <w:nsid w:val="2708C9AF"/>
    <w:multiLevelType w:val="hybridMultilevel"/>
    <w:lvl w:ilvl="0">
      <w:lvlJc w:val="left"/>
      <w:lvlText w:val="(%1)"/>
      <w:numFmt w:val="decimal"/>
      <w:start w:val="1"/>
    </w:lvl>
  </w:abstractNum>
  <w:abstractNum w:abstractNumId="115">
    <w:nsid w:val="5B25ACE2"/>
    <w:multiLevelType w:val="hybridMultilevel"/>
    <w:lvl w:ilvl="0">
      <w:lvlJc w:val="left"/>
      <w:lvlText w:val="(%1)"/>
      <w:numFmt w:val="decimal"/>
      <w:start w:val="9"/>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
      <w:numFmt w:val="bullet"/>
      <w:start w:val="1"/>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1."/>
      <w:numFmt w:val="decimal"/>
      <w:start w:val="2"/>
    </w:lvl>
  </w:abstractNum>
  <w:abstractNum w:abstractNumId="121">
    <w:nsid w:val="56438D15"/>
    <w:multiLevelType w:val="hybridMultilevel"/>
    <w:lvl w:ilvl="0">
      <w:lvlJc w:val="left"/>
      <w:lvlText w:val="1"/>
      <w:numFmt w:val="bullet"/>
      <w:start w:val="1"/>
    </w:lvl>
  </w:abstractNum>
  <w:abstractNum w:abstractNumId="122">
    <w:nsid w:val="519E3149"/>
    <w:multiLevelType w:val="hybridMultilevel"/>
    <w:lvl w:ilvl="0">
      <w:lvlJc w:val="left"/>
      <w:lvlText w:val="2"/>
      <w:numFmt w:val="bullet"/>
      <w:start w:val="1"/>
    </w:lvl>
  </w:abstractNum>
  <w:abstractNum w:abstractNumId="123">
    <w:nsid w:val="2C6E4AFD"/>
    <w:multiLevelType w:val="hybridMultilevel"/>
    <w:lvl w:ilvl="0">
      <w:lvlJc w:val="left"/>
      <w:lvlText w:val="%1."/>
      <w:numFmt w:val="decimal"/>
      <w:start w:val="7"/>
    </w:lvl>
  </w:abstractNum>
  <w:abstractNum w:abstractNumId="124">
    <w:nsid w:val="17A1B582"/>
    <w:multiLevelType w:val="hybridMultilevel"/>
    <w:lvl w:ilvl="0">
      <w:lvlJc w:val="left"/>
      <w:lvlText w:val="4"/>
      <w:numFmt w:val="bullet"/>
      <w:start w:val="1"/>
    </w:lvl>
  </w:abstractNum>
  <w:abstractNum w:abstractNumId="125">
    <w:nsid w:val="4DF72E4E"/>
    <w:multiLevelType w:val="hybridMultilevel"/>
    <w:lvl w:ilvl="0">
      <w:lvlJc w:val="left"/>
      <w:lvlText w:val="%1."/>
      <w:numFmt w:val="decimal"/>
      <w:start w:val="14"/>
    </w:lvl>
  </w:abstractNum>
  <w:abstractNum w:abstractNumId="126">
    <w:nsid w:val="5046B5A9"/>
    <w:multiLevelType w:val="hybridMultilevel"/>
    <w:lvl w:ilvl="0">
      <w:lvlJc w:val="left"/>
      <w:lvlText w:val="(%1)"/>
      <w:numFmt w:val="lowerRoman"/>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jpe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jpe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jpeg"/><Relationship Id="rId73" Type="http://schemas.openxmlformats.org/officeDocument/2006/relationships/image" Target="media/image49.jpeg"/><Relationship Id="rId20" Type="http://schemas.openxmlformats.org/officeDocument/2006/relationships/hyperlink" Target="https://www.sec.gov/Archives/edgar/data/1636282/000163628226000020/syre-20251231.htm" TargetMode="External"/><Relationship Id="rId21" Type="http://schemas.openxmlformats.org/officeDocument/2006/relationships/hyperlink" Target="https://www.sec.gov/Archives/edgar/data/1636282/000163628226000039/syre-20260410.htm" TargetMode="External"/><Relationship Id="rId22" Type="http://schemas.openxmlformats.org/officeDocument/2006/relationships/hyperlink" Target="https://www.sec.gov/Archives/edgar/data/1636282/000163628226000050/syre-20260331.htm" TargetMode="External"/><Relationship Id="rId23" Type="http://schemas.openxmlformats.org/officeDocument/2006/relationships/hyperlink" Target="https://www.sec.gov/Archives/edgar/data/1636282/000162828026024906/syre-20260413.htm" TargetMode="External"/><Relationship Id="rId24" Type="http://schemas.openxmlformats.org/officeDocument/2006/relationships/hyperlink" Target="https://www.sec.gov/Archives/edgar/data/1636282/000162828026024831/syre-20260413.htm" TargetMode="External"/><Relationship Id="rId25" Type="http://schemas.openxmlformats.org/officeDocument/2006/relationships/hyperlink" Target="https://www.sec.gov/Archives/edgar/data/1636282/000162828026025508/syre-20260414.htm" TargetMode="External"/><Relationship Id="rId26" Type="http://schemas.openxmlformats.org/officeDocument/2006/relationships/hyperlink" Target="https://www.sec.gov/ix?doc=/Archives/edgar/data/0001636282/000163628226000056/syre-20260527.htm" TargetMode="External"/><Relationship Id="rId27" Type="http://schemas.openxmlformats.org/officeDocument/2006/relationships/hyperlink" Target="https://www.sec.gov/ix?doc=/Archives/edgar/data/0001636282/000163628226000075/syre-20260529.htm" TargetMode="External"/><Relationship Id="rId28" Type="http://schemas.openxmlformats.org/officeDocument/2006/relationships/hyperlink" Target="https://www.sec.gov/ix?doc=/Archives/edgar/data/0001636282/000163628226000083/syre-20260615.htm" TargetMode="External"/><Relationship Id="rId29" Type="http://schemas.openxmlformats.org/officeDocument/2006/relationships/hyperlink" Target="https://www.sec.gov/Archives/edgar/data/1636282/000119312516519700/d21112d8a12b.htm" TargetMode="External"/><Relationship Id="rId46" Type="http://schemas.openxmlformats.org/officeDocument/2006/relationships/hyperlink" Target="https://www.sec.gov/Archives/edgar/data/0001636282/000119312523302158/d518298dex21.htm" TargetMode="External"/><Relationship Id="rId47" Type="http://schemas.openxmlformats.org/officeDocument/2006/relationships/hyperlink" Target="https://www.sec.gov/Archives/edgar/data/1636282/000119312524138893/d839821dex32.htm" TargetMode="External"/><Relationship Id="rId48" Type="http://schemas.openxmlformats.org/officeDocument/2006/relationships/hyperlink" Target="https://www.sec.gov/Archives/edgar/data/1636282/000119312524023462/d732838dex31.htm" TargetMode="External"/><Relationship Id="rId49" Type="http://schemas.openxmlformats.org/officeDocument/2006/relationships/hyperlink" Target="https://www.sec.gov/Archives/edgar/data/1636282/000119312523302158/d518298dex33.htm" TargetMode="External"/><Relationship Id="rId50" Type="http://schemas.openxmlformats.org/officeDocument/2006/relationships/hyperlink" Target="https://www.sec.gov/Archives/edgar/data/1636282/000119312523302158/d518298dex34.htm" TargetMode="External"/><Relationship Id="rId51" Type="http://schemas.openxmlformats.org/officeDocument/2006/relationships/hyperlink" Target="https://www.sec.gov/Archives/edgar/data/1636282/000119312524069693/d784263dex32.htm" TargetMode="External"/><Relationship Id="rId52" Type="http://schemas.openxmlformats.org/officeDocument/2006/relationships/hyperlink" Target="https://www.sec.gov/Archives/edgar/data/1636282/000119312523302158/d51829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2026-06-26T16:23:59Z</dcterms:created>
  <dcterms:modified xsi:type="dcterms:W3CDTF">2026-06-26T16:23:59Z</dcterms:modified>
</cp:coreProperties>
</file>