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Albers Jeffrey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221 CRESCENT STREET, BUILDING 23, SUITE</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Spyre Therapeutics, Inc.</w:t>
              </w:r>
            </w:hyperlink>
            <w:r>
              <w:rPr/>
              <w:t xml:space="preserve"> [ </w:t>
            </w:r>
            <w:r>
              <w:rPr>
                <w:rFonts w:ascii="Times;serif" w:hAnsi="Times;serif"/>
                <w:color w:val="0000FF"/>
                <w:sz w:val="24"/>
                <w:shd w:fill="FFFFFF" w:val="clear"/>
              </w:rPr>
              <w:t>AGLE</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11/22/2023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10.39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11/22/2023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11/22/2033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represents a right to purchase 50,000 shares of the Issuer's common stock, which will vest and become exercisable in 36 equal monthly installments beginning on November 22, 2023 until such time as the option is 100% vested, subject to the Reporting Person's continuous service with the Issuer at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Heidy King-Jones,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11/27/2023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638474" TargetMode="External"/><Relationship Id="rId4" Type="http://schemas.openxmlformats.org/officeDocument/2006/relationships/hyperlink" Target="http://www.sec.gov/cgi-bin/browse-edgar?action=getcompany&amp;CIK=000163628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618</Words>
  <Characters>3367</Characters>
  <CharactersWithSpaces>3922</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