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091789.xml.htm"/>
      <w:bookmarkStart w:id="1" w:name="kswkform4_1780091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72.51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8,026 shares of the Issuer's common stock, which will vest and become fully exercisable upon the earlier of May 27, 2027 or the date of the Issuer's 2027 annual meeting of stockholders, subject to the Reporting Person's continuous service to the Issuer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474"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3387</Characters>
  <CharactersWithSpaces>3949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