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Burrows Scott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40"/>
        <w:spacing w:after="0" w:line="308"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5"/>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06/25/2026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112,994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06/25/2026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9"/>
              </w:rPr>
              <w:t>5,000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87.12</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107,994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87.14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97,994</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09/01/2033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359,857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above is a weighted average price. The shares were sold in multiple transactions at prices ranging from $86.78 to $87.43,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67,476 restricted stock units ("RSUs"). Each RSU represents a contingent right to receive, upon vesting, one share of Common Stock. The RSUs vest in two equal installments on each of September 1, 2026 and 2027, subject to the Reporting Person's continued employment with the Issuer.</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404,857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Heidy King-Jones, as</w:t>
            </w:r>
          </w:p>
        </w:tc>
        <w:tc>
          <w:tcPr>
            <w:tcW w:w="5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06/26/2026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3327"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2026-06-26T20:32:59Z</dcterms:created>
  <dcterms:modified xsi:type="dcterms:W3CDTF">2026-06-26T20:32:59Z</dcterms:modified>
</cp:coreProperties>
</file>