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DE1A1E"/>
          <w:sz w:val="20"/>
          <w:shd w:fill="FFFFFF" w:val="clear"/>
        </w:rPr>
      </w:pPr>
      <w:r>
        <w:rPr>
          <w:rFonts w:ascii="Times New Roman;serif" w:hAnsi="Times New Roman;serif"/>
          <w:b/>
          <w:color w:val="DE1A1E"/>
          <w:sz w:val="20"/>
          <w:shd w:fill="FFFFFF" w:val="clear"/>
        </w:rPr>
        <w:t xml:space="preserve">The information in this preliminary prospectus supplement is not complete and may be changed. This preliminary prospectus supplement and the accompanying prospectus do not constitute an offer to sell these securities, and we are not soliciting offers to buy these securities in any jurisdiction where the offer or sale is not permitted. </w: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Filed Pursuant to Rule 424(b)(5)</w:t>
      </w:r>
    </w:p>
    <w:p>
      <w:pPr>
        <w:pStyle w:val="TextBody"/>
        <w:bidi w:val="0"/>
        <w:spacing w:lineRule="auto" w:line="288" w:before="0" w:after="18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Registration Statement No. 333-297063</w:t>
      </w:r>
    </w:p>
    <w:p>
      <w:pPr>
        <w:pStyle w:val="TextBody"/>
        <w:bidi w:val="0"/>
        <w:spacing w:lineRule="auto" w:line="288" w:before="0" w:after="180"/>
        <w:jc w:val="center"/>
        <w:rPr>
          <w:rFonts w:ascii="Times New Roman;serif" w:hAnsi="Times New Roman;serif"/>
          <w:b/>
          <w:color w:val="DE1A1E"/>
          <w:sz w:val="20"/>
          <w:shd w:fill="FFFFFF" w:val="clear"/>
        </w:rPr>
      </w:pPr>
      <w:r>
        <w:rPr>
          <w:rFonts w:ascii="Times New Roman;serif" w:hAnsi="Times New Roman;serif"/>
          <w:b/>
          <w:color w:val="DE1A1E"/>
          <w:sz w:val="20"/>
          <w:shd w:fill="FFFFFF" w:val="clear"/>
        </w:rPr>
        <w:t>SUBJECT TO COMPLETION, DATED OCTOBER 5, 2026</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PROSPECTUS SUPPLEMENT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 Prospectus dated June 26, 2026) </w:t>
      </w:r>
    </w:p>
    <w:p>
      <w:pPr>
        <w:pStyle w:val="TextBody"/>
        <w:bidi w:val="0"/>
        <w:spacing w:lineRule="auto" w:line="288" w:before="0" w:after="180"/>
        <w:jc w:val="center"/>
        <w:rPr>
          <w:shd w:fill="FFFFFF" w:val="clear"/>
        </w:rPr>
      </w:pPr>
      <w:r>
        <w:rPr>
          <w:color w:val="000000"/>
          <w:shd w:fill="FFFFFF" w:val="clear"/>
        </w:rPr>
        <w:t>             </w:t>
      </w:r>
      <w:r>
        <w:rPr>
          <w:rFonts w:ascii="Times New Roman;serif" w:hAnsi="Times New Roman;serif"/>
          <w:b/>
          <w:color w:val="000000"/>
          <w:sz w:val="28"/>
          <w:shd w:fill="FFFFFF" w:val="clear"/>
        </w:rPr>
        <w:t>Shares</w:t>
      </w:r>
      <w:r>
        <w:rPr>
          <w:color w:val="000000"/>
          <w:shd w:fill="FFFFFF" w:val="clear"/>
        </w:rPr>
        <w:t> </w:t>
      </w:r>
    </w:p>
    <w:p>
      <w:pPr>
        <w:pStyle w:val="TextBody"/>
        <w:bidi w:val="0"/>
        <w:spacing w:before="0" w:after="180"/>
        <w:jc w:val="center"/>
        <w:rPr>
          <w:shd w:fill="FFFFFF" w:val="clear"/>
        </w:rPr>
      </w:pPr>
      <w:r>
        <w:rPr>
          <w:shd w:fill="FFFFFF" w:val="clear"/>
        </w:rPr>
        <w:drawing>
          <wp:inline distT="0" distB="0" distL="0" distR="0">
            <wp:extent cx="182880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438150"/>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Common Stock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offering           shares of our common stock, par value $0.0001 per share (“common stock”). The public offering price for each share of common stock is $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common stock is traded on the Nasdaq Global Select Market under the symbol “SYRE.” On October 2, 2026, the last reported sale price per share of our common stock was $93.19.</w:t>
      </w:r>
    </w:p>
    <w:tbl>
      <w:tblPr>
        <w:tblW w:w="6718" w:type="dxa"/>
        <w:jc w:val="left"/>
        <w:tblInd w:w="0" w:type="dxa"/>
        <w:tblLayout w:type="fixed"/>
        <w:tblCellMar>
          <w:top w:w="28" w:type="dxa"/>
          <w:left w:w="28" w:type="dxa"/>
          <w:bottom w:w="28" w:type="dxa"/>
          <w:right w:w="28" w:type="dxa"/>
        </w:tblCellMar>
      </w:tblPr>
      <w:tblGrid>
        <w:gridCol w:w="1331"/>
        <w:gridCol w:w="1166"/>
        <w:gridCol w:w="1178"/>
        <w:gridCol w:w="1068"/>
        <w:gridCol w:w="551"/>
        <w:gridCol w:w="556"/>
        <w:gridCol w:w="109"/>
        <w:gridCol w:w="109"/>
        <w:gridCol w:w="109"/>
        <w:gridCol w:w="240"/>
        <w:gridCol w:w="124"/>
        <w:gridCol w:w="177"/>
      </w:tblGrid>
      <w:tr>
        <w:trPr/>
        <w:tc>
          <w:tcPr>
            <w:tcW w:w="133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Share of Common Stock</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Public offering price</w:t>
            </w:r>
          </w:p>
        </w:tc>
        <w:tc>
          <w:tcPr>
            <w:tcW w:w="10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Underwriting discounts and commissions </w:t>
            </w:r>
            <w:r>
              <w:rPr>
                <w:rFonts w:ascii="Times New Roman;serif" w:hAnsi="Times New Roman;serif"/>
                <w:b w:val="false"/>
                <w:color w:val="000000"/>
                <w:sz w:val="13"/>
              </w:rPr>
              <w:t>(1)</w:t>
            </w:r>
          </w:p>
        </w:tc>
        <w:tc>
          <w:tcPr>
            <w:tcW w:w="10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to Company before expenses</w:t>
            </w:r>
          </w:p>
        </w:tc>
        <w:tc>
          <w:tcPr>
            <w:tcW w:w="10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_________________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6"/>
          <w:shd w:fill="FFFFFF" w:val="clear"/>
        </w:rPr>
        <w:t xml:space="preserve">(1)See “Underwriting” beginning on page </w:t>
      </w:r>
      <w:hyperlink w:anchor="i23758e6ac9a941af9b320e2e9eb1833e_34">
        <w:r>
          <w:rPr>
            <w:rStyle w:val="InternetLink"/>
            <w:rFonts w:ascii="Times New Roman;serif" w:hAnsi="Times New Roman;serif"/>
            <w:b w:val="false"/>
            <w:color w:val="0000FF"/>
            <w:sz w:val="16"/>
            <w:u w:val="single"/>
            <w:shd w:fill="FFFFFF" w:val="clear"/>
          </w:rPr>
          <w:t>S-16</w:t>
        </w:r>
      </w:hyperlink>
      <w:r>
        <w:rPr>
          <w:color w:val="000000"/>
          <w:shd w:fill="FFFFFF" w:val="clear"/>
        </w:rPr>
        <w:t xml:space="preserve"> </w:t>
      </w:r>
      <w:r>
        <w:rPr>
          <w:rFonts w:ascii="Times New Roman;serif" w:hAnsi="Times New Roman;serif"/>
          <w:b w:val="false"/>
          <w:color w:val="000000"/>
          <w:sz w:val="16"/>
          <w:shd w:fill="FFFFFF" w:val="clear"/>
        </w:rPr>
        <w:t>of this prospectus supplement for additional information regarding underwriting compensation.</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granted the underwriters an option to purchase up to an additional         shares of our common stock from us, at the public offering price, less underwriting discounts and commissions, within 30 days of the date of this prospectus supplement. </w:t>
      </w:r>
    </w:p>
    <w:p>
      <w:pPr>
        <w:pStyle w:val="TextBody"/>
        <w:bidi w:val="0"/>
        <w:spacing w:lineRule="auto" w:line="288" w:before="0" w:after="180"/>
        <w:jc w:val="left"/>
        <w:rPr/>
      </w:pPr>
      <w:r>
        <w:rPr>
          <w:rFonts w:ascii="Times New Roman;serif" w:hAnsi="Times New Roman;serif"/>
          <w:b/>
          <w:color w:val="000000"/>
          <w:sz w:val="20"/>
          <w:shd w:fill="FFFFFF" w:val="clear"/>
        </w:rPr>
        <w:t>Investing in our securities involves a high degree of risk. You should carefully consider the risks and uncertainties described under the heading “</w:t>
      </w:r>
      <w:hyperlink w:anchor="i23758e6ac9a941af9b320e2e9eb1833e_19">
        <w:r>
          <w:rPr>
            <w:rStyle w:val="InternetLink"/>
            <w:rFonts w:ascii="Times New Roman;serif" w:hAnsi="Times New Roman;serif"/>
            <w:b/>
            <w:color w:val="0000FF"/>
            <w:sz w:val="20"/>
            <w:u w:val="single"/>
            <w:shd w:fill="FFFFFF" w:val="clear"/>
          </w:rPr>
          <w:t>Risk Factors</w:t>
        </w:r>
      </w:hyperlink>
      <w:r>
        <w:rPr>
          <w:color w:val="000000"/>
          <w:shd w:fill="FFFFFF" w:val="clear"/>
        </w:rPr>
        <w:t xml:space="preserve">” </w:t>
      </w:r>
      <w:r>
        <w:rPr>
          <w:rFonts w:ascii="Times New Roman;serif" w:hAnsi="Times New Roman;serif"/>
          <w:b/>
          <w:color w:val="000000"/>
          <w:sz w:val="20"/>
          <w:shd w:fill="FFFFFF" w:val="clear"/>
        </w:rPr>
        <w:t xml:space="preserve">on page </w:t>
      </w:r>
      <w:hyperlink w:anchor="i23758e6ac9a941af9b320e2e9eb1833e_19">
        <w:r>
          <w:rPr>
            <w:rStyle w:val="InternetLink"/>
            <w:rFonts w:ascii="Times New Roman;serif" w:hAnsi="Times New Roman;serif"/>
            <w:b/>
            <w:color w:val="0000FF"/>
            <w:sz w:val="20"/>
            <w:u w:val="single"/>
            <w:shd w:fill="FFFFFF" w:val="clear"/>
          </w:rPr>
          <w:t>S-7</w:t>
        </w:r>
      </w:hyperlink>
      <w:r>
        <w:rPr>
          <w:color w:val="000000"/>
          <w:shd w:fill="FFFFFF" w:val="clear"/>
        </w:rPr>
        <w:t xml:space="preserve"> </w:t>
      </w:r>
      <w:r>
        <w:rPr>
          <w:rFonts w:ascii="Times New Roman;serif" w:hAnsi="Times New Roman;serif"/>
          <w:b/>
          <w:color w:val="000000"/>
          <w:sz w:val="20"/>
          <w:shd w:fill="FFFFFF" w:val="clear"/>
        </w:rPr>
        <w:t xml:space="preserve">of this prospectus supplement and in the accompanying prospectus, as well as those contained in the other documents that are incorporated by reference. You should carefully read this entire prospectus supplement and the accompanying prospectus, including any information incorporated by reference, before deciding whether to purchase shares of our common stock.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Neither the U.S. Securities and Exchange Commission nor any state securities commission has approved or disapproved of these securities or passed upon the adequacy or accuracy of this prospectus supplement or the accompanying prospectus. Any representation to the contrary is a criminal offense.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underwriters expect to deliver the shares of common stock on or about     , 2026.</w:t>
      </w:r>
    </w:p>
    <w:p>
      <w:pPr>
        <w:pStyle w:val="TextBody"/>
        <w:bidi w:val="0"/>
        <w:spacing w:lineRule="auto" w:line="288" w:before="0" w:after="180"/>
        <w:jc w:val="center"/>
        <w:rPr>
          <w:rFonts w:ascii="Times New Roman;serif" w:hAnsi="Times New Roman;serif"/>
          <w:b/>
          <w:i/>
          <w:color w:val="000000"/>
          <w:sz w:val="20"/>
          <w:shd w:fill="FFFFFF" w:val="clear"/>
        </w:rPr>
      </w:pPr>
      <w:r>
        <w:rPr>
          <w:rFonts w:ascii="Times New Roman;serif" w:hAnsi="Times New Roman;serif"/>
          <w:b/>
          <w:i/>
          <w:color w:val="000000"/>
          <w:sz w:val="20"/>
          <w:shd w:fill="FFFFFF" w:val="clear"/>
        </w:rPr>
        <w:t>Joint Book-Running Managers</w:t>
      </w:r>
    </w:p>
    <w:tbl>
      <w:tblPr>
        <w:tblW w:w="5505" w:type="dxa"/>
        <w:jc w:val="left"/>
        <w:tblInd w:w="0" w:type="dxa"/>
        <w:tblLayout w:type="fixed"/>
        <w:tblCellMar>
          <w:top w:w="28" w:type="dxa"/>
          <w:left w:w="28" w:type="dxa"/>
          <w:bottom w:w="28" w:type="dxa"/>
          <w:right w:w="28" w:type="dxa"/>
        </w:tblCellMar>
      </w:tblPr>
      <w:tblGrid>
        <w:gridCol w:w="402"/>
        <w:gridCol w:w="354"/>
        <w:gridCol w:w="355"/>
        <w:gridCol w:w="479"/>
        <w:gridCol w:w="479"/>
        <w:gridCol w:w="481"/>
        <w:gridCol w:w="729"/>
        <w:gridCol w:w="729"/>
        <w:gridCol w:w="731"/>
        <w:gridCol w:w="224"/>
        <w:gridCol w:w="224"/>
        <w:gridCol w:w="318"/>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Jefferies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TD Cowen</w:t>
            </w:r>
          </w:p>
        </w:tc>
        <w:tc>
          <w:tcPr>
            <w:tcW w:w="21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Leerink Partners</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Stifel</w:t>
            </w:r>
          </w:p>
        </w:tc>
      </w:tr>
    </w:tbl>
    <w:p>
      <w:pPr>
        <w:pStyle w:val="TextBody"/>
        <w:bidi w:val="0"/>
        <w:spacing w:lineRule="auto" w:line="288" w:before="0" w:after="180"/>
        <w:jc w:val="center"/>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Passive Bookrunner</w:t>
      </w:r>
    </w:p>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9"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LifeSci Capital</w:t>
            </w:r>
          </w:p>
        </w:tc>
      </w:tr>
    </w:tbl>
    <w:p>
      <w:pPr>
        <w:pStyle w:val="TextBody"/>
        <w:bidi w:val="0"/>
        <w:spacing w:lineRule="auto" w:line="288" w:before="0" w:after="180"/>
        <w:jc w:val="center"/>
        <w:rPr>
          <w:color w:val="000000"/>
          <w:shd w:fill="FFFFFF" w:val="clear"/>
        </w:rPr>
      </w:pPr>
      <w:r>
        <w:rPr>
          <w:color w:val="000000"/>
          <w:shd w:fill="FFFFFF" w:val="clear"/>
        </w:rPr>
        <w:t>  </w:t>
      </w:r>
      <w:r>
        <w:rPr>
          <w:rFonts w:ascii="Times New Roman;serif" w:hAnsi="Times New Roman;serif"/>
          <w:b/>
          <w:color w:val="000000"/>
          <w:sz w:val="20"/>
          <w:shd w:fill="FFFFFF" w:val="clear"/>
        </w:rPr>
        <w:t>,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TABLE OF CONTENTS </w:t>
      </w:r>
    </w:p>
    <w:p>
      <w:pPr>
        <w:pStyle w:val="TextBody"/>
        <w:bidi w:val="0"/>
        <w:spacing w:lineRule="auto" w:line="288" w:before="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Prospectus Supplement</w:t>
      </w:r>
    </w:p>
    <w:tbl>
      <w:tblPr>
        <w:tblW w:w="6989" w:type="dxa"/>
        <w:jc w:val="left"/>
        <w:tblInd w:w="0" w:type="dxa"/>
        <w:tblLayout w:type="fixed"/>
        <w:tblCellMar>
          <w:top w:w="28" w:type="dxa"/>
          <w:left w:w="28" w:type="dxa"/>
          <w:bottom w:w="28" w:type="dxa"/>
          <w:right w:w="28" w:type="dxa"/>
        </w:tblCellMar>
      </w:tblPr>
      <w:tblGrid>
        <w:gridCol w:w="2344"/>
        <w:gridCol w:w="2054"/>
        <w:gridCol w:w="2066"/>
        <w:gridCol w:w="153"/>
        <w:gridCol w:w="153"/>
        <w:gridCol w:w="219"/>
      </w:tblGrid>
      <w:tr>
        <w:trPr/>
        <w:tc>
          <w:tcPr>
            <w:tcW w:w="2344"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7">
              <w:r>
                <w:rPr>
                  <w:rStyle w:val="InternetLink"/>
                  <w:rFonts w:ascii="Times New Roman;serif" w:hAnsi="Times New Roman;serif"/>
                  <w:b w:val="false"/>
                  <w:color w:val="0000FF"/>
                  <w:sz w:val="20"/>
                  <w:u w:val="single"/>
                </w:rPr>
                <w:t>ABOUT THIS PROSPECTUS SUPPLEMENT</w:t>
              </w:r>
            </w:hyperlink>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23758e6ac9a941af9b320e2e9eb1833e_7">
              <w:r>
                <w:rPr>
                  <w:rStyle w:val="InternetLink"/>
                  <w:rFonts w:ascii="Times New Roman;serif" w:hAnsi="Times New Roman;serif"/>
                  <w:b w:val="false"/>
                  <w:color w:val="0000FF"/>
                  <w:sz w:val="20"/>
                  <w:u w:val="single"/>
                </w:rPr>
                <w:t>S-ii</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10">
              <w:r>
                <w:rPr>
                  <w:rStyle w:val="InternetLink"/>
                  <w:rFonts w:ascii="Times New Roman;serif" w:hAnsi="Times New Roman;serif"/>
                  <w:b w:val="false"/>
                  <w:color w:val="0000FF"/>
                  <w:sz w:val="20"/>
                  <w:u w:val="single"/>
                </w:rPr>
                <w:t>CAUTIONARY NOTE CONCERNING FORWARD-LOOKING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10">
              <w:r>
                <w:rPr>
                  <w:rStyle w:val="InternetLink"/>
                  <w:rFonts w:ascii="Times New Roman;serif" w:hAnsi="Times New Roman;serif"/>
                  <w:b w:val="false"/>
                  <w:color w:val="0000FF"/>
                  <w:sz w:val="20"/>
                  <w:u w:val="single"/>
                </w:rPr>
                <w:t>S-iv</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13">
              <w:r>
                <w:rPr>
                  <w:rStyle w:val="InternetLink"/>
                  <w:rFonts w:ascii="Times New Roman;serif" w:hAnsi="Times New Roman;serif"/>
                  <w:b w:val="false"/>
                  <w:color w:val="0000FF"/>
                  <w:sz w:val="20"/>
                  <w:u w:val="single"/>
                </w:rPr>
                <w:t>PROSPECTUS SUPPLEMENT SUMMARY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13">
              <w:r>
                <w:rPr>
                  <w:rStyle w:val="InternetLink"/>
                  <w:rFonts w:ascii="Times New Roman;serif" w:hAnsi="Times New Roman;serif"/>
                  <w:b w:val="false"/>
                  <w:color w:val="0000FF"/>
                  <w:sz w:val="20"/>
                  <w:u w:val="single"/>
                </w:rPr>
                <w:t>S-1</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16">
              <w:r>
                <w:rPr>
                  <w:rStyle w:val="InternetLink"/>
                  <w:rFonts w:ascii="Times New Roman;serif" w:hAnsi="Times New Roman;serif"/>
                  <w:b w:val="false"/>
                  <w:color w:val="0000FF"/>
                  <w:sz w:val="20"/>
                  <w:u w:val="single"/>
                </w:rPr>
                <w:t>THE OFFERING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16">
              <w:r>
                <w:rPr>
                  <w:rStyle w:val="InternetLink"/>
                  <w:rFonts w:ascii="Times New Roman;serif" w:hAnsi="Times New Roman;serif"/>
                  <w:b w:val="false"/>
                  <w:color w:val="0000FF"/>
                  <w:sz w:val="20"/>
                  <w:u w:val="single"/>
                </w:rPr>
                <w:t>S-5</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19">
              <w:r>
                <w:rPr>
                  <w:rStyle w:val="InternetLink"/>
                  <w:rFonts w:ascii="Times New Roman;serif" w:hAnsi="Times New Roman;serif"/>
                  <w:b w:val="false"/>
                  <w:color w:val="0000FF"/>
                  <w:sz w:val="20"/>
                  <w:u w:val="single"/>
                </w:rPr>
                <w:t>RISK FACTORS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19">
              <w:r>
                <w:rPr>
                  <w:rStyle w:val="InternetLink"/>
                  <w:rFonts w:ascii="Times New Roman;serif" w:hAnsi="Times New Roman;serif"/>
                  <w:b w:val="false"/>
                  <w:color w:val="0000FF"/>
                  <w:sz w:val="20"/>
                  <w:u w:val="single"/>
                </w:rPr>
                <w:t>S-7</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22">
              <w:r>
                <w:rPr>
                  <w:rStyle w:val="InternetLink"/>
                  <w:rFonts w:ascii="Times New Roman;serif" w:hAnsi="Times New Roman;serif"/>
                  <w:b w:val="false"/>
                  <w:color w:val="0000FF"/>
                  <w:sz w:val="20"/>
                  <w:u w:val="single"/>
                </w:rPr>
                <w:t>USE OF PROCEEDS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22">
              <w:r>
                <w:rPr>
                  <w:rStyle w:val="InternetLink"/>
                  <w:rFonts w:ascii="Times New Roman;serif" w:hAnsi="Times New Roman;serif"/>
                  <w:b w:val="false"/>
                  <w:color w:val="0000FF"/>
                  <w:sz w:val="20"/>
                  <w:u w:val="single"/>
                </w:rPr>
                <w:t>S-9</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28">
              <w:r>
                <w:rPr>
                  <w:rStyle w:val="InternetLink"/>
                  <w:rFonts w:ascii="Times New Roman;serif" w:hAnsi="Times New Roman;serif"/>
                  <w:b w:val="false"/>
                  <w:color w:val="0000FF"/>
                  <w:sz w:val="20"/>
                  <w:u w:val="single"/>
                </w:rPr>
                <w:t>DILUTION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28">
              <w:r>
                <w:rPr>
                  <w:rStyle w:val="InternetLink"/>
                  <w:rFonts w:ascii="Times New Roman;serif" w:hAnsi="Times New Roman;serif"/>
                  <w:b w:val="false"/>
                  <w:color w:val="0000FF"/>
                  <w:sz w:val="20"/>
                  <w:u w:val="single"/>
                </w:rPr>
                <w:t>S-10</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31">
              <w:r>
                <w:rPr>
                  <w:rStyle w:val="InternetLink"/>
                  <w:rFonts w:ascii="Times New Roman;serif" w:hAnsi="Times New Roman;serif"/>
                  <w:b w:val="false"/>
                  <w:color w:val="0000FF"/>
                  <w:sz w:val="20"/>
                  <w:u w:val="single"/>
                </w:rPr>
                <w:t>CERTAIN MATERIAL U.S. FEDERAL INCOME TAX CONSIDERATIONS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31">
              <w:r>
                <w:rPr>
                  <w:rStyle w:val="InternetLink"/>
                  <w:rFonts w:ascii="Times New Roman;serif" w:hAnsi="Times New Roman;serif"/>
                  <w:b w:val="false"/>
                  <w:color w:val="0000FF"/>
                  <w:sz w:val="20"/>
                  <w:u w:val="single"/>
                </w:rPr>
                <w:t>S-12</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34">
              <w:r>
                <w:rPr>
                  <w:rStyle w:val="InternetLink"/>
                  <w:rFonts w:ascii="Times New Roman;serif" w:hAnsi="Times New Roman;serif"/>
                  <w:b w:val="false"/>
                  <w:color w:val="0000FF"/>
                  <w:sz w:val="20"/>
                  <w:u w:val="single"/>
                </w:rPr>
                <w:t>UNDERWRITING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34">
              <w:r>
                <w:rPr>
                  <w:rStyle w:val="InternetLink"/>
                  <w:rFonts w:ascii="Times New Roman;serif" w:hAnsi="Times New Roman;serif"/>
                  <w:b w:val="false"/>
                  <w:color w:val="0000FF"/>
                  <w:sz w:val="20"/>
                  <w:u w:val="single"/>
                </w:rPr>
                <w:t>S-16</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37">
              <w:r>
                <w:rPr>
                  <w:rStyle w:val="InternetLink"/>
                  <w:rFonts w:ascii="Times New Roman;serif" w:hAnsi="Times New Roman;serif"/>
                  <w:b w:val="false"/>
                  <w:color w:val="0000FF"/>
                  <w:sz w:val="20"/>
                  <w:u w:val="single"/>
                </w:rPr>
                <w:t>EXPERTS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37">
              <w:r>
                <w:rPr>
                  <w:rStyle w:val="InternetLink"/>
                  <w:rFonts w:ascii="Times New Roman;serif" w:hAnsi="Times New Roman;serif"/>
                  <w:b w:val="false"/>
                  <w:color w:val="0000FF"/>
                  <w:sz w:val="20"/>
                  <w:u w:val="single"/>
                </w:rPr>
                <w:t>S-25</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40">
              <w:r>
                <w:rPr>
                  <w:rStyle w:val="InternetLink"/>
                  <w:rFonts w:ascii="Times New Roman;serif" w:hAnsi="Times New Roman;serif"/>
                  <w:b w:val="false"/>
                  <w:color w:val="0000FF"/>
                  <w:sz w:val="20"/>
                  <w:u w:val="single"/>
                </w:rPr>
                <w:t>LEGAL MATTERS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40">
              <w:r>
                <w:rPr>
                  <w:rStyle w:val="InternetLink"/>
                  <w:rFonts w:ascii="Times New Roman;serif" w:hAnsi="Times New Roman;serif"/>
                  <w:b w:val="false"/>
                  <w:color w:val="0000FF"/>
                  <w:sz w:val="20"/>
                  <w:u w:val="single"/>
                </w:rPr>
                <w:t>S-25</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43">
              <w:r>
                <w:rPr>
                  <w:rStyle w:val="InternetLink"/>
                  <w:rFonts w:ascii="Times New Roman;serif" w:hAnsi="Times New Roman;serif"/>
                  <w:b w:val="false"/>
                  <w:color w:val="0000FF"/>
                  <w:sz w:val="20"/>
                  <w:u w:val="single"/>
                </w:rPr>
                <w:t>WHERE YOU CAN FIND MORE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43">
              <w:r>
                <w:rPr>
                  <w:rStyle w:val="InternetLink"/>
                  <w:rFonts w:ascii="Times New Roman;serif" w:hAnsi="Times New Roman;serif"/>
                  <w:b w:val="false"/>
                  <w:color w:val="0000FF"/>
                  <w:sz w:val="20"/>
                  <w:u w:val="single"/>
                </w:rPr>
                <w:t>S-25</w:t>
              </w:r>
            </w:hyperlink>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758e6ac9a941af9b320e2e9eb1833e_46">
              <w:r>
                <w:rPr>
                  <w:rStyle w:val="InternetLink"/>
                  <w:rFonts w:ascii="Times New Roman;serif" w:hAnsi="Times New Roman;serif"/>
                  <w:b w:val="false"/>
                  <w:color w:val="0000FF"/>
                  <w:sz w:val="20"/>
                  <w:u w:val="single"/>
                </w:rPr>
                <w:t>INCORPORATION OF CERTAIN INFORMATION BY REFERENCE</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46">
              <w:r>
                <w:rPr>
                  <w:rStyle w:val="InternetLink"/>
                  <w:rFonts w:ascii="Times New Roman;serif" w:hAnsi="Times New Roman;serif"/>
                  <w:b w:val="false"/>
                  <w:color w:val="0000FF"/>
                  <w:sz w:val="20"/>
                  <w:u w:val="single"/>
                </w:rPr>
                <w:t>S-26</w:t>
              </w:r>
            </w:hyperlink>
          </w:p>
        </w:tc>
      </w:tr>
    </w:tbl>
    <w:p>
      <w:pPr>
        <w:pStyle w:val="TextBody"/>
        <w:bidi w:val="0"/>
        <w:spacing w:lineRule="auto" w:line="288" w:before="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Prospectus</w:t>
      </w:r>
    </w:p>
    <w:tbl>
      <w:tblPr>
        <w:tblW w:w="6976" w:type="dxa"/>
        <w:jc w:val="left"/>
        <w:tblInd w:w="0" w:type="dxa"/>
        <w:tblLayout w:type="fixed"/>
        <w:tblCellMar>
          <w:top w:w="28" w:type="dxa"/>
          <w:left w:w="28" w:type="dxa"/>
          <w:bottom w:w="28" w:type="dxa"/>
          <w:right w:w="28" w:type="dxa"/>
        </w:tblCellMar>
      </w:tblPr>
      <w:tblGrid>
        <w:gridCol w:w="2340"/>
        <w:gridCol w:w="2060"/>
        <w:gridCol w:w="2065"/>
        <w:gridCol w:w="149"/>
        <w:gridCol w:w="149"/>
        <w:gridCol w:w="213"/>
      </w:tblGrid>
      <w:tr>
        <w:trPr/>
        <w:tc>
          <w:tcPr>
            <w:tcW w:w="234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55">
              <w:r>
                <w:rPr>
                  <w:rStyle w:val="InternetLink"/>
                  <w:rFonts w:ascii="Times New Roman;serif" w:hAnsi="Times New Roman;serif"/>
                  <w:b w:val="false"/>
                  <w:color w:val="0000FF"/>
                  <w:sz w:val="20"/>
                  <w:u w:val="singl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23758e6ac9a941af9b320e2e9eb1833e_55">
              <w:r>
                <w:rPr>
                  <w:rStyle w:val="InternetLink"/>
                  <w:rFonts w:ascii="Times New Roman;serif" w:hAnsi="Times New Roman;serif"/>
                  <w:b w:val="false"/>
                  <w:color w:val="0000FF"/>
                  <w:sz w:val="20"/>
                  <w:u w:val="single"/>
                </w:rPr>
                <w:t>1</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58">
              <w:r>
                <w:rPr>
                  <w:rStyle w:val="InternetLink"/>
                  <w:rFonts w:ascii="Times New Roman;serif" w:hAnsi="Times New Roman;serif"/>
                  <w:b w:val="false"/>
                  <w:color w:val="0000FF"/>
                  <w:sz w:val="20"/>
                  <w:u w:val="single"/>
                </w:rPr>
                <w:t>CAUTIONARY NOTE CONCERNING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58">
              <w:r>
                <w:rPr>
                  <w:rStyle w:val="InternetLink"/>
                  <w:rFonts w:ascii="Times New Roman;serif" w:hAnsi="Times New Roman;serif"/>
                  <w:b w:val="false"/>
                  <w:color w:val="0000FF"/>
                  <w:sz w:val="20"/>
                  <w:u w:val="single"/>
                </w:rPr>
                <w:t>2</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61">
              <w:r>
                <w:rPr>
                  <w:rStyle w:val="InternetLink"/>
                  <w:rFonts w:ascii="Times New Roman;serif" w:hAnsi="Times New Roman;serif"/>
                  <w:b w:val="false"/>
                  <w:color w:val="0000FF"/>
                  <w:sz w:val="20"/>
                  <w:u w:val="single"/>
                </w:rPr>
                <w:t>THE COMPANY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61">
              <w:r>
                <w:rPr>
                  <w:rStyle w:val="InternetLink"/>
                  <w:rFonts w:ascii="Times New Roman;serif" w:hAnsi="Times New Roman;serif"/>
                  <w:b w:val="false"/>
                  <w:color w:val="0000FF"/>
                  <w:sz w:val="20"/>
                  <w:u w:val="single"/>
                </w:rPr>
                <w:t>4</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64">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64">
              <w:r>
                <w:rPr>
                  <w:rStyle w:val="InternetLink"/>
                  <w:rFonts w:ascii="Times New Roman;serif" w:hAnsi="Times New Roman;serif"/>
                  <w:b w:val="false"/>
                  <w:color w:val="0000FF"/>
                  <w:sz w:val="20"/>
                  <w:u w:val="single"/>
                </w:rPr>
                <w:t>5</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67">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67">
              <w:r>
                <w:rPr>
                  <w:rStyle w:val="InternetLink"/>
                  <w:rFonts w:ascii="Times New Roman;serif" w:hAnsi="Times New Roman;serif"/>
                  <w:b w:val="false"/>
                  <w:color w:val="0000FF"/>
                  <w:sz w:val="20"/>
                  <w:u w:val="single"/>
                </w:rPr>
                <w:t>6</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70">
              <w:r>
                <w:rPr>
                  <w:rStyle w:val="InternetLink"/>
                  <w:rFonts w:ascii="Times New Roman;serif" w:hAnsi="Times New Roman;serif"/>
                  <w:b w:val="false"/>
                  <w:color w:val="0000FF"/>
                  <w:sz w:val="20"/>
                  <w:u w:val="single"/>
                </w:rPr>
                <w:t>SECURITIES WE MAY OFFER</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70">
              <w:r>
                <w:rPr>
                  <w:rStyle w:val="InternetLink"/>
                  <w:rFonts w:ascii="Times New Roman;serif" w:hAnsi="Times New Roman;serif"/>
                  <w:b w:val="false"/>
                  <w:color w:val="0000FF"/>
                  <w:sz w:val="20"/>
                  <w:u w:val="single"/>
                </w:rPr>
                <w:t>7</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73">
              <w:r>
                <w:rPr>
                  <w:rStyle w:val="InternetLink"/>
                  <w:rFonts w:ascii="Times New Roman;serif" w:hAnsi="Times New Roman;serif"/>
                  <w:b w:val="false"/>
                  <w:color w:val="0000FF"/>
                  <w:sz w:val="20"/>
                  <w:u w:val="single"/>
                </w:rPr>
                <w:t>DESCRIPTION OF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73">
              <w:r>
                <w:rPr>
                  <w:rStyle w:val="InternetLink"/>
                  <w:rFonts w:ascii="Times New Roman;serif" w:hAnsi="Times New Roman;serif"/>
                  <w:b w:val="false"/>
                  <w:color w:val="0000FF"/>
                  <w:sz w:val="20"/>
                  <w:u w:val="single"/>
                </w:rPr>
                <w:t>8</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76">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76">
              <w:r>
                <w:rPr>
                  <w:rStyle w:val="InternetLink"/>
                  <w:rFonts w:ascii="Times New Roman;serif" w:hAnsi="Times New Roman;serif"/>
                  <w:b w:val="false"/>
                  <w:color w:val="0000FF"/>
                  <w:sz w:val="20"/>
                  <w:u w:val="single"/>
                </w:rPr>
                <w:t>19</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79">
              <w:r>
                <w:rPr>
                  <w:rStyle w:val="InternetLink"/>
                  <w:rFonts w:ascii="Times New Roman;serif" w:hAnsi="Times New Roman;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79">
              <w:r>
                <w:rPr>
                  <w:rStyle w:val="InternetLink"/>
                  <w:rFonts w:ascii="Times New Roman;serif" w:hAnsi="Times New Roman;serif"/>
                  <w:b w:val="false"/>
                  <w:color w:val="0000FF"/>
                  <w:sz w:val="20"/>
                  <w:u w:val="single"/>
                </w:rPr>
                <w:t>21</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82">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82">
              <w:r>
                <w:rPr>
                  <w:rStyle w:val="InternetLink"/>
                  <w:rFonts w:ascii="Times New Roman;serif" w:hAnsi="Times New Roman;serif"/>
                  <w:b w:val="false"/>
                  <w:color w:val="0000FF"/>
                  <w:sz w:val="20"/>
                  <w:u w:val="single"/>
                </w:rPr>
                <w:t>21</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85">
              <w:r>
                <w:rPr>
                  <w:rStyle w:val="InternetLink"/>
                  <w:rFonts w:ascii="Times New Roman;serif" w:hAnsi="Times New Roman;serif"/>
                  <w:b w:val="false"/>
                  <w:color w:val="0000FF"/>
                  <w:sz w:val="20"/>
                  <w:u w:val="single"/>
                </w:rPr>
                <w:t>WHERE YOU CAN FIND MORE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85">
              <w:r>
                <w:rPr>
                  <w:rStyle w:val="InternetLink"/>
                  <w:rFonts w:ascii="Times New Roman;serif" w:hAnsi="Times New Roman;serif"/>
                  <w:b w:val="false"/>
                  <w:color w:val="0000FF"/>
                  <w:sz w:val="20"/>
                  <w:u w:val="single"/>
                </w:rPr>
                <w:t>21</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88">
              <w:r>
                <w:rPr>
                  <w:rStyle w:val="InternetLink"/>
                  <w:rFonts w:ascii="Times New Roman;serif" w:hAnsi="Times New Roman;serif"/>
                  <w:b w:val="false"/>
                  <w:color w:val="0000FF"/>
                  <w:sz w:val="20"/>
                  <w:u w:val="single"/>
                </w:rPr>
                <w:t>INCORPORATION OF CERTAIN INFORMATION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88">
              <w:r>
                <w:rPr>
                  <w:rStyle w:val="InternetLink"/>
                  <w:rFonts w:ascii="Times New Roman;serif" w:hAnsi="Times New Roman;serif"/>
                  <w:b w:val="false"/>
                  <w:color w:val="0000FF"/>
                  <w:sz w:val="20"/>
                  <w:u w:val="single"/>
                </w:rPr>
                <w:t>22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ABOUT THIS PROSPECTUS SUPPLEMENT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and the accompanying prospectus form part of a registration statement on Form S-3 (File No. 333-297063) that we filed with the U.S. Securities and Exchange Commission (the “SEC”) on June 26, 2026, as a “well-known seasoned issuer” as defined in Rule 405 under the Securities Act of 1933, as amended (the “Securities Act”), utilizing a “shelf” registration process. Under this shelf registration process, we may, from time to time, sell common stock and other securities, including in this offering. This document contains two parts. The first part consists of this prospectus supplement, which provides you with specific information about this offering. The second part consists of the accompanying prospectus, which provides more general information, some of which may not apply to this offering. Generally, when we refer only to the “prospectus,” we are referring to both parts combined.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the statements made in this prospectus supplement will be deemed to modify or supersede those made in the accompanying prospectus, including the documents incorporated by reference therein. Information in any document we subsequently file that is incorporated by reference shall modify or supersede the information in this prospectus supplement, the accompanying prospectus and documents incorporated by reference prior to such subsequent filing. It is important for you to read and consider all information contained in this prospectus supplement and the accompanying prospectus, including the documents we have referred you to in the section entitled “Where You Can Find More Information” below in this prospectus supplement.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responsible for the information contained and incorporated by reference in this prospectus supplement and the accompanying prospectus. We have not authorized anyone to give you any other information, and we take no responsibility for any other information that others may give you. We are not making offers to sell the securities in any jurisdiction in which an offer or solicitation is not authorized or permitted or in which the person making such offer or solicitation is not qualified to do so or to anyone to whom it is unlawful to make an offer or solicitation. The information contained and incorporated by reference in this prospectus supplement or the accompanying prospectus speaks only as of the date of this document, unless the information specifically indicates that another date applies. Neither the delivery of this prospectus supplement or the accompanying prospectus, nor any sale of securities made under these documents, will, under any circumstances, create any implication that there has been no change in our affairs since the date of this prospectus supplement or the accompanying prospectus, nor that the information contained or incorporated by reference is correct as of any time subsequent to the date of such information. You should assume that the information contained and incorporated by reference in this prospectus supplement and the accompanying prospectus is accurate only as of the date of the documents containing the information, unless the information specifically indicates that another date applies. Our business, financial condition, results of operations and prospects may have changed since those dates.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and the accompanying prospectus do not constitute an offer to sell or the solicitation of an offer to buy any securities other than the shares of common stock to which it relates, nor do this prospectus supplement and the accompanying prospectus constitute an offer to sell or the solicitation of an offer to buy securities in any jurisdiction to any person to whom it is unlawful to make such offer or solicitation in such jurisdiction.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Unless otherwise indicated, information contained in or incorporated by reference into this prospectus supplement and the accompanying prospectus concerning our industry and the markets in which we operate, including market position and market opportunity, is based on information from our management’s estimates, as well as from industry publications and research, surveys and studies conducted by third parties. Management </w:t>
      </w: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S-ii</w:t>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estimates are derived from publicly available information, our knowledge of our industry and assumptions based on such information and knowledge, which we believe to be reasonable. However, assumptions and estimates of our future performance, and the future performance of our industry are subject to numerous known and unknown risks and uncertainties, including those described under the heading “Risk Factors” beginning on page </w:t>
      </w:r>
      <w:hyperlink w:anchor="i23758e6ac9a941af9b320e2e9eb1833e_19">
        <w:r>
          <w:rPr>
            <w:rStyle w:val="InternetLink"/>
            <w:rFonts w:ascii="Times New Roman;serif" w:hAnsi="Times New Roman;serif"/>
            <w:b w:val="false"/>
            <w:color w:val="0000FF"/>
            <w:sz w:val="20"/>
            <w:u w:val="single"/>
            <w:shd w:fill="FFFFFF" w:val="clear"/>
          </w:rPr>
          <w:t>S-7</w:t>
        </w:r>
      </w:hyperlink>
      <w:r>
        <w:rPr>
          <w:color w:val="000000"/>
          <w:shd w:fill="FFFFFF" w:val="clear"/>
        </w:rPr>
        <w:t xml:space="preserve"> </w:t>
      </w:r>
      <w:r>
        <w:rPr>
          <w:rFonts w:ascii="Times New Roman;serif" w:hAnsi="Times New Roman;serif"/>
          <w:b w:val="false"/>
          <w:color w:val="000000"/>
          <w:sz w:val="20"/>
          <w:shd w:fill="FFFFFF" w:val="clear"/>
        </w:rPr>
        <w:t xml:space="preserve">of this prospectus supplement and the risk factors incorporated by reference into this prospectus supplement and the accompanying prospectus. These and other important factors could result in our estimates and assumptions being materially different from future results. You should read the information contained in, or incorporated by reference into, this prospectus supplement and the accompanying prospectus completely and with the understanding that future results may be materially different and worse from what we expect. See the information included under the heading “Cautionary Note Concerning Forward-Looking Statements.” </w:t>
      </w:r>
    </w:p>
    <w:p>
      <w:pPr>
        <w:pStyle w:val="TextBody"/>
        <w:bidi w:val="0"/>
        <w:spacing w:lineRule="auto" w:line="288" w:before="0" w:after="18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 xml:space="preserve">Spyre” and all product candidate names are our common law trademarks. This prospectus supplement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 Solely for convenience, trademarks and trade names referred to in this prospectus supplement may appear without the ® or TM symbols.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 references to “our product candidates,” “our programs” and “our pipeline” in this prospectus supplement refer to the research programs with respect to which we have signed a license agreement for, exercised the option to acquire intellectual property license rights to or have the option to acquire intellectual property license rights to pursuant to that certain antibody discovery and option agreement, dated May 25, 2023, and subsequently amended and restated on September 29, 2023 and May 14, 2024, by and among us, Paragon Therapeutics, Inc. and Parapyre Holding LLC.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Please be advised that on September 8, 2023, we effected a reverse stock split of our common stock at a ratio of 1-for-25 (the “Reverse Split”). Except as indicated otherwise, all share numbers related to our common stock disclosed in this prospectus supplement have been adjusted on a post-Reverse Split basis. In addition, on November 28, 2023, we changed our name from “Aeglea BioTherapeutics, Inc.” to “Spyre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S-iii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NOTE CONCERNING FORWARD-LOOKING STATEMENTS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contains “forward-looking statements” within the meaning of Section 27A of the Securities Act, and Section 21E of the Securities Exchange Act of 1934, as amended (the “Exchange Act”).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statements contained in this prospectus supplement, other than statements of historical fact, including, without limitation, statements regarding: any future payouts under our contingent value rights issued in connection with the acquisition of Spyre Therapeutics, Inc. (the “Asset Acquisition”); our future results of operations and financial position; our business strategy, including our ability to elevate the standard in immunology by delivering more complete disease control, greater durability, and a simpler treatment experience for patients and to develop potential first-in-class and best-in-class therapeutics for inflammatory bowel disease (“IBD”), rheumatoid arthritis (“RA”), psoriatic arthritis (“PsA”), axial spondyloarthritis (“axSpA”), hidradenitis suppurativa (“HS”) and other immune-mediated diseases and rheumatic diseases (“RD”) that meaningfully improve both efficacy and convenience compared to today’s standard of care; our plans to expand the development of our product candidates to indications beyond IBD, RD and HS; our plans to develop a new program to advance SPY072 into late-stage development for HS; our plans to develop a SPY072 monotherapy for the treatment of HS; our ability to achieve the expected benefits or opportunities with respect to our product candidates, including their potential commercialization; the potential consistency of the SPY001, SPY002, SPY072 and SPY003 Phase 1 trial and Phase 2 trial final data readouts with previously disclosed data for our programs; expectations regarding the drug delivery of our product candidates, including in the form of a subcutaneous injection; the planned dosing regimen for SPY001, SPY002, SPY072 and SPY003, as well as rational combination programs, including the potential for a Q3M-Q6M dosing profile and the potential for such dosing profile to be the leading product profile in IBD, RD and HS; our current and planned non-clinical and clinical development activities, including our plans for and timing of cohort initiation and data readouts for the ongoing SKYWAY Phase 2 basket trial, SKYLINE Phase 2 platform trial and SKYLIGHT Phase 2 trial, and the number of data readouts expected to be delivered in 2026 and 2027; estimated market sizes and potential growth opportunities; statements regarding the Company’s cash guidance; the potential efficacy, tolerability, convenience, commercial viability and safety profile of our product candidates, including rational combination programs; the potential therapeutic benefits and economic value of our product candidates as monotherapies or our rational combination programs and their extended half-life; our ability to achieve the expected benefits or opportunities and related timing with respect to the Asset Acquisition; the expected impact of macroeconomic conditions, including inflation, increasing interest rates and volatile market conditions, and current or potential bank failures, as well as global events, including the ongoing military conflict between the United States and Iran and Ukraine and Russia, the conflicts in the Middle East, and geopolitical tensions between the United States and other countries, including China, on our operations, and the implementation of changes in law, tariffs, sanctions, export or import controls, and other government measures that could impact our business operations, including restricting international trade by the United States, China or other countries;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These forward-looking statements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Factors that might cause such a difference include the risks set forth under the caption “Risk Factors” in this prospectus supplement and the accompanying prospectus and in the documents incorporated by reference herein and therein. You should evaluate all forward-looking statements made in this prospectus supplement, the accompanying prospectus and in the documents incorporated by reference herein and therein in the context of these risks and uncertainties. We caution you that the risks, uncertainties and other factors referred to in this prospectus supplement, the accompanying prospectus and in the documents </w:t>
      </w: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S-iv</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incorporated by reference herein and therein may not contain all of the risks, uncertainties and other factors that may affect our future results and operations.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statements that “we believe” and similar statements reflect our beliefs and opinions on the relevant subject. These statements are based on information available to us as of the date of this prospectus supplement.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This prospectus supplement also contains or incorporates by reference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such industry, business, market, and other data from reports, research surveys, studies, and similar data prepared by market research firms and other third parties, industry, medical and general publications, government data, and similar sources.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supplement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S-v</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 xml:space="preserve">PROSPECTUS SUPPLEMENT SUMMARY </w:t>
      </w:r>
    </w:p>
    <w:p>
      <w:pPr>
        <w:pStyle w:val="TextBody"/>
        <w:bidi w:val="0"/>
        <w:spacing w:lineRule="auto" w:line="288" w:before="0" w:after="180"/>
        <w:jc w:val="left"/>
        <w:rPr/>
      </w:pPr>
      <w:r>
        <w:rPr>
          <w:rFonts w:ascii="Times New Roman;serif" w:hAnsi="Times New Roman;serif"/>
          <w:b w:val="false"/>
          <w:i/>
          <w:color w:val="000000"/>
          <w:sz w:val="20"/>
          <w:bdr w:val="single" w:sz="8" w:space="36" w:color="000000"/>
          <w:shd w:fill="FFFFFF" w:val="clear"/>
        </w:rPr>
        <w:t xml:space="preserve">The items in the following summary are described in more detail later in this prospectus supplement and the accompanying prospectus. This summary provides an overview of selected information and does not contain all of the information you should consider before buying our common stock. Therefore, you should read the entire prospectus supplement and the accompanying prospectus carefully, including the information in our filings with the SEC incorporated by reference herein and therein, before deciding to invest in our common stock. Investors should carefully consider the information set forth under “Risk Factors” beginning on page </w:t>
      </w:r>
      <w:hyperlink w:anchor="i23758e6ac9a941af9b320e2e9eb1833e_19">
        <w:r>
          <w:rPr>
            <w:rStyle w:val="InternetLink"/>
            <w:rFonts w:ascii="Times New Roman;serif" w:hAnsi="Times New Roman;serif"/>
            <w:b w:val="false"/>
            <w:i/>
            <w:color w:val="0000FF"/>
            <w:sz w:val="20"/>
            <w:u w:val="single"/>
            <w:bdr w:val="single" w:sz="8" w:space="36" w:color="000000"/>
            <w:shd w:fill="FFFFFF" w:val="clear"/>
          </w:rPr>
          <w:t>S-7</w:t>
        </w:r>
      </w:hyperlink>
      <w:r>
        <w:rPr>
          <w:color w:val="000000"/>
          <w:bdr w:val="single" w:sz="8" w:space="36" w:color="000000"/>
          <w:shd w:fill="FFFFFF" w:val="clear"/>
        </w:rPr>
        <w:t xml:space="preserve"> </w:t>
      </w:r>
      <w:r>
        <w:rPr>
          <w:rFonts w:ascii="Times New Roman;serif" w:hAnsi="Times New Roman;serif"/>
          <w:b w:val="false"/>
          <w:i/>
          <w:color w:val="000000"/>
          <w:sz w:val="20"/>
          <w:bdr w:val="single" w:sz="8" w:space="36" w:color="000000"/>
          <w:shd w:fill="FFFFFF" w:val="clear"/>
        </w:rPr>
        <w:t xml:space="preserve">of this prospectus supplement and page </w:t>
      </w:r>
      <w:hyperlink w:anchor="i23758e6ac9a941af9b320e2e9eb1833e_64">
        <w:r>
          <w:rPr>
            <w:rStyle w:val="InternetLink"/>
            <w:rFonts w:ascii="Times New Roman;serif" w:hAnsi="Times New Roman;serif"/>
            <w:b w:val="false"/>
            <w:i/>
            <w:color w:val="0000FF"/>
            <w:sz w:val="20"/>
            <w:u w:val="single"/>
            <w:bdr w:val="single" w:sz="8" w:space="36" w:color="000000"/>
            <w:shd w:fill="FFFFFF" w:val="clear"/>
          </w:rPr>
          <w:t>5</w:t>
        </w:r>
      </w:hyperlink>
      <w:r>
        <w:rPr>
          <w:color w:val="000000"/>
          <w:bdr w:val="single" w:sz="8" w:space="36" w:color="000000"/>
          <w:shd w:fill="FFFFFF" w:val="clear"/>
        </w:rPr>
        <w:t xml:space="preserve"> </w:t>
      </w:r>
      <w:r>
        <w:rPr>
          <w:rFonts w:ascii="Times New Roman;serif" w:hAnsi="Times New Roman;serif"/>
          <w:b w:val="false"/>
          <w:i/>
          <w:color w:val="000000"/>
          <w:sz w:val="20"/>
          <w:bdr w:val="single" w:sz="8" w:space="36" w:color="000000"/>
          <w:shd w:fill="FFFFFF" w:val="clear"/>
        </w:rPr>
        <w:t xml:space="preserve">of the accompanying prospectus and those risks identified in our most recent Annual Report on Form 10-K and any subsequent Quarterly Reports on Form 10-Q. In this prospectus supplement, unless the context otherwise requires, references to “Spyre,” the “Company,” “we,” “us,” and “our” refer to Spyre Therapeutics, Inc., a Delaware corporation, and its consolidated subsidiaries and the term “securities” refers to shares of our common stock. </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 xml:space="preserve">Company Overview </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We are a clinical stage biotechnology company committed to developing next-generation therapies that elevate the standard in immunology by delivering more complete disease control, greater durability, and a simpler treatment experience for patients. Our pipeline includes extended half-life antibodies targeting α4β7, TL1A, IL-23, IL-17A/F as well as rational combination programs. The expected global market in 2030 for the diseases that our next-generation therapies aim to address is, (i) with respect to ulcerative colitis (“UC”) and Crohn’s disease (“CD”), approximately $40 billion, (ii) with respect to PsA and axSpA, approximately $10 billion, and (iii) with respect to HS, approximately $5 billion.</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As of June 30, 2026, we had a cash balance of approximately $1.1 billion (inclusive of cash, cash equivalents and marketable securities), which we anticipate will be sufficient for us to fund our operating expenses and capital expenditure requirements into the second half of 2029. </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Our Portfolio and Development Plan</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We are advancing a pipeline of monoclonal antibodies (“mAbs”) for the treatment of immune-mediated diseases. The following table (Figure 1) summarizes our pipeline and development strategy, including our SKYLINE Phase 2 platform trial evaluating SPY120, SPY130, SPY230, and monotherapy components thereof in subjects with moderately to severely active UC, our SKYWAY basket trial evaluating SPY072 in three rheumatic diseases: RA, PsA, and axSpA, and our SKYLIGHT trial evaluating SPY072 as an add-on to bimekizumab as a proof-of-concept trial for the dual inhibition of anti-TL1A and IL-17A/F, as well as our SPY772 combination program in HS.</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In addition to these ongoing clinical trials, we intend to initiate a clinical program evaluating SPY072 as a monotherapy for the treatment of HS.</w:t>
      </w:r>
    </w:p>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u w:val="single"/>
          <w:bdr w:val="single" w:sz="8" w:space="36" w:color="000000"/>
          <w:shd w:fill="FFFFFF" w:val="clear"/>
        </w:rPr>
      </w:pPr>
      <w:r>
        <w:rPr>
          <w:rFonts w:ascii="Times New Roman;serif" w:hAnsi="Times New Roman;serif"/>
          <w:b w:val="false"/>
          <w:color w:val="000000"/>
          <w:sz w:val="20"/>
          <w:u w:val="single"/>
          <w:bdr w:val="single" w:sz="8" w:space="36" w:color="000000"/>
          <w:shd w:fill="FFFFFF" w:val="clear"/>
        </w:rPr>
        <w:t>Figure 1. Spyre Portfolio</w:t>
      </w:r>
    </w:p>
    <w:p>
      <w:pPr>
        <w:pStyle w:val="TextBody"/>
        <w:bidi w:val="0"/>
        <w:spacing w:before="0" w:after="0"/>
        <w:jc w:val="center"/>
        <w:rPr>
          <w:bdr w:val="single" w:sz="8" w:space="36" w:color="000000"/>
          <w:shd w:fill="FFFFFF" w:val="clear"/>
        </w:rPr>
      </w:pPr>
      <w:r>
        <w:rPr>
          <w:bdr w:val="single" w:sz="8" w:space="36" w:color="000000"/>
          <w:shd w:fill="FFFFFF" w:val="clear"/>
        </w:rPr>
        <w:drawing>
          <wp:inline distT="0" distB="0" distL="0" distR="0">
            <wp:extent cx="6029325" cy="242887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6029325" cy="2428875"/>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val="false"/>
          <w:color w:val="000000"/>
          <w:sz w:val="13"/>
          <w:bdr w:val="single" w:sz="8" w:space="36" w:color="000000"/>
          <w:shd w:fill="FFFFFF" w:val="clear"/>
        </w:rPr>
      </w:pPr>
      <w:r>
        <w:rPr>
          <w:rFonts w:ascii="Times New Roman;serif" w:hAnsi="Times New Roman;serif"/>
          <w:b w:val="false"/>
          <w:color w:val="000000"/>
          <w:sz w:val="13"/>
          <w:bdr w:val="single" w:sz="8" w:space="36" w:color="000000"/>
          <w:shd w:fill="FFFFFF" w:val="clear"/>
        </w:rPr>
        <w:t>*SKYLIGHT proof-of concept study with SPY072 + bimekizumab, serving as a surrogate for internal SPY007 long-acting IL-17A/F antibody.</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Our Assets</w:t>
      </w:r>
    </w:p>
    <w:p>
      <w:pPr>
        <w:pStyle w:val="TextBody"/>
        <w:bidi w:val="0"/>
        <w:spacing w:lineRule="auto" w:line="288" w:before="0" w:after="180"/>
        <w:jc w:val="left"/>
        <w:rPr>
          <w:bdr w:val="single" w:sz="8" w:space="36" w:color="000000"/>
          <w:shd w:fill="FFFFFF" w:val="clear"/>
        </w:rPr>
      </w:pPr>
      <w:r>
        <w:rPr>
          <w:rFonts w:ascii="Times New Roman;serif" w:hAnsi="Times New Roman;serif"/>
          <w:b/>
          <w:i/>
          <w:color w:val="000000"/>
          <w:sz w:val="20"/>
          <w:bdr w:val="single" w:sz="8" w:space="36" w:color="000000"/>
          <w:shd w:fill="FFFFFF" w:val="clear"/>
        </w:rPr>
        <w:t xml:space="preserve">SPY001 </w:t>
      </w:r>
      <w:r>
        <w:rPr>
          <w:color w:val="000000"/>
          <w:bdr w:val="single" w:sz="8" w:space="36" w:color="000000"/>
          <w:shd w:fill="FFFFFF" w:val="clear"/>
        </w:rPr>
        <w:t xml:space="preserve">– </w:t>
      </w:r>
      <w:r>
        <w:rPr>
          <w:rFonts w:ascii="Times New Roman;serif" w:hAnsi="Times New Roman;serif"/>
          <w:b/>
          <w:i/>
          <w:color w:val="000000"/>
          <w:sz w:val="20"/>
          <w:bdr w:val="single" w:sz="8" w:space="36" w:color="000000"/>
          <w:shd w:fill="FFFFFF" w:val="clear"/>
        </w:rPr>
        <w:t xml:space="preserve">anti-α4ß7 mAb </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SPY001 is a highly potent, highly selective, and humanized monoclonal immunoglobulin G1 investigational antibody designed to bind selectively to the α4ß7 integrin being developed for the treatment of IBD (UC and CD). The α4ß7 integrin is a protein found on the surface of immune cells. This integrin regulates the migration of immune cells to the gut where they contribute to the inflammatory process in IBD. By selectively binding to the α4ß7 integrin, SPY001 is designed to prevent the interaction of these immune cells with MAdCAM-1, a molecule expressed on endothelial cells lining the blood vessels in the gut. By blocking the interaction between α4ß7 integrin and MAdCAM-1, SPY001 aims to reduce the recruitment of immune cells to the gut, leading to a decrease in inflammation. Since it specifically targets the gut immune system, SPY001 is designed to minimize systemic immunosuppressive effects unrelated to IBD pathology. </w:t>
      </w:r>
    </w:p>
    <w:p>
      <w:pPr>
        <w:pStyle w:val="TextBody"/>
        <w:bidi w:val="0"/>
        <w:spacing w:lineRule="auto" w:line="288" w:before="0" w:after="180"/>
        <w:jc w:val="left"/>
        <w:rPr>
          <w:bdr w:val="single" w:sz="8" w:space="36" w:color="000000"/>
          <w:shd w:fill="FFFFFF" w:val="clear"/>
        </w:rPr>
      </w:pPr>
      <w:r>
        <w:rPr>
          <w:rFonts w:ascii="Times New Roman;serif" w:hAnsi="Times New Roman;serif"/>
          <w:b/>
          <w:i/>
          <w:color w:val="000000"/>
          <w:sz w:val="20"/>
          <w:bdr w:val="single" w:sz="8" w:space="36" w:color="000000"/>
          <w:shd w:fill="FFFFFF" w:val="clear"/>
        </w:rPr>
        <w:t xml:space="preserve">SPY002 and SPY072 </w:t>
      </w:r>
      <w:r>
        <w:rPr>
          <w:color w:val="000000"/>
          <w:bdr w:val="single" w:sz="8" w:space="36" w:color="000000"/>
          <w:shd w:fill="FFFFFF" w:val="clear"/>
        </w:rPr>
        <w:t xml:space="preserve">– </w:t>
      </w:r>
      <w:r>
        <w:rPr>
          <w:rFonts w:ascii="Times New Roman;serif" w:hAnsi="Times New Roman;serif"/>
          <w:b/>
          <w:i/>
          <w:color w:val="000000"/>
          <w:sz w:val="20"/>
          <w:bdr w:val="single" w:sz="8" w:space="36" w:color="000000"/>
          <w:shd w:fill="FFFFFF" w:val="clear"/>
        </w:rPr>
        <w:t xml:space="preserve">anti-TL1A mAbs </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For our anti-TL1A program, we nominated two highly potent, highly selective, and fully human mAb candidates designed to bind to tumor necrosis factor-like ligand 1A (“TL1A”). SPY002 (formerly SPY002-091) is being developed for the treatment of IBD (UC and CD) and SPY072 (formerly SPY002-072) is being developed for the treatment of RD and we plan to initiate late-stage development of SPY072 as a monotherapy for the treatment of HS. </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TL1A is a protein that plays a role in regulating the immune system and is elevated in gut tissue of individuals with immune-mediated diseases. TL1A interacts with its receptor, death receptor 3 (“DR3”), which is expressed in various immune cells, including T cells and fibroblast-like synoviocytes. This interaction triggers signaling pathways that contribute to inflammation and joint injury in RD, leading to symptomology, such as pain and swelling. SPY002 and SPY072 have been designed to block the interaction between TL1A and DR3, and thereby inhibit the downstream signaling events to dampen the inflammatory response. By neutralizing TL1A, we believe that SPY002 and SPY072 have the potential to modulate the immune response in patients with immune-mediated diseases, potentially reducing disease activity.</w:t>
      </w:r>
    </w:p>
    <w:p>
      <w:pPr>
        <w:pStyle w:val="TextBody"/>
        <w:bidi w:val="0"/>
        <w:spacing w:lineRule="auto" w:line="288" w:before="0" w:after="180"/>
        <w:jc w:val="left"/>
        <w:rPr>
          <w:bdr w:val="single" w:sz="8" w:space="36" w:color="000000"/>
          <w:shd w:fill="FFFFFF" w:val="clear"/>
        </w:rPr>
      </w:pPr>
      <w:r>
        <w:rPr>
          <w:rFonts w:ascii="Times New Roman;serif" w:hAnsi="Times New Roman;serif"/>
          <w:b/>
          <w:i/>
          <w:color w:val="000000"/>
          <w:sz w:val="20"/>
          <w:bdr w:val="single" w:sz="8" w:space="36" w:color="000000"/>
          <w:shd w:fill="FFFFFF" w:val="clear"/>
        </w:rPr>
        <w:t xml:space="preserve">SPY003 </w:t>
      </w:r>
      <w:r>
        <w:rPr>
          <w:color w:val="000000"/>
          <w:bdr w:val="single" w:sz="8" w:space="36" w:color="000000"/>
          <w:shd w:fill="FFFFFF" w:val="clear"/>
        </w:rPr>
        <w:t xml:space="preserve">– </w:t>
      </w:r>
      <w:r>
        <w:rPr>
          <w:rFonts w:ascii="Times New Roman;serif" w:hAnsi="Times New Roman;serif"/>
          <w:b/>
          <w:i/>
          <w:color w:val="000000"/>
          <w:sz w:val="20"/>
          <w:bdr w:val="single" w:sz="8" w:space="36" w:color="000000"/>
          <w:shd w:fill="FFFFFF" w:val="clear"/>
        </w:rPr>
        <w:t xml:space="preserve">anti-IL-23 mAb </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SPY003 is a clinical-stage program designed to bind to interleukin 23 (“IL-23”) and incorporates half-life extending modifications. IL-23 is a cytokine that is produced by immune cells and is involved in immune response regulation. IL-23 promotes the survival, expansion, and activity of Th17 cells. Th17 cells produce inflammatory </w:t>
      </w:r>
    </w:p>
    <w:p>
      <w:pPr>
        <w:pStyle w:val="TextBody"/>
        <w:bidi w:val="0"/>
        <w:spacing w:before="0" w:after="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cytokines, such as IL-17, which contribute to the inflammation seen in IBD. IL-23 also helps in the recruitment and activation of other immune cells, such as neutrophils, which further contribute to tissue damage in the gut. </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SPY003 binds to the p19 subunit of IL-23 with subnanomolar potency in cellular assays. SPY003 also exhibited extended PK half-life of greater than three-fold relative to a synthesized risankizumab comparator that does not incorporate half-life extending modifications, based on head-to-head preclinical studies in non-human primates.</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SPY120 - combination, anti-α4β7 and anti-TL1A mAbs</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SPY120 combines SPY001 (anti-α4β7) and SPY002 (anti-TL1A) antibodies, pairing two complementary mechanisms studied in third-party clinical trials targeting non-overlapping sites of action.</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In February and May 2025, we presented preclinical data demonstrating that combinations resulted in additive or greater than additive in vivo biological activity relative to either monotherapy in mouse hapten reagent 2,4,6-trinitrobenzene sulfonic acid (“TNBS”) and anti-CD40 colitis models. In October 2025, we presented preclinical data further demonstrating that combined inhibition resulted in superior efficacy relative to constituent monotherapies in a mouse TNBS-induced colitis model. In addition, combination toxicology studies have been completed with no drug-related adverse findings observed.</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SPY130 - combination anti-α4β7 and anti-IL-23 mAbs</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SPY130 combines SPY001 (anti-α4β7) and SPY003 (anti-IL-23) antibodies, pairing two commercially validated mechanisms targeting non-overlapping sites of action. </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In October 2024, we presented preclinical data, demonstrating in a T-cell transfer model of IBD, that combinations with anti-IL-23 and anti-α4ß7 improved body weight and reduced colonic CD4+ infiltration and IL-17 levels relative to monotherapy. In March and October 2025, we presented additional preclinical data, demonstrating that combinations resulted in superior in vivo biological activity relative to either monotherapy in mouse TNBS model. In addition, combination toxicology studies have been completed with no drug-related adverse findings observed.</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SPY230 – combination anti-TL1A and anti-IL-23 mAbs</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SPY230 combines SPY002 (anti-TL1A) and SPY003 (anti-IL-23) antibodies, pairing two complementary mechanisms of action with potential to address overlapping and non-overlapping triggers of inflammation.</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In October 2024, we presented preclinical data, demonstrating that anti-IL-23 and anti-TL1A have a synergistic effect on promoting IL-17 secretion from human and mouse cells, and that the combination of anti-IL-23 and anti-TL1A suppressed IL-17 secretion more effectively than either agent alone. In March and October 2025, we presented additional preclinical data, demonstrating that combinations resulted in superior in vivo biological activity relative to either monotherapy in mouse TNBS model. In addition, combination toxicology studies have been completed with no drug-related adverse findings observed.</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SPY772 – combination anti-TL1A and anti-IL-17A/F mAbs</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SPY772 combines SPY072 (anti-TL1A) and SPY007 (anti-IL-17A/F) antibodies, pairing two complementary mechanisms of action with potential to address overlapping and non-overlapping triggers of inflammation. By combining an IL-17A/F mAb with an anti-TL1A mAb, we aim to target multiple inflammatory pathways involved in HS, with the potential to improve efficacy over single-mechanism therapies.</w:t>
      </w:r>
    </w:p>
    <w:p>
      <w:pPr>
        <w:pStyle w:val="TextBody"/>
        <w:bidi w:val="0"/>
        <w:spacing w:lineRule="auto" w:line="288" w:before="0" w:after="18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SPY007 – anti-IL-17A/F mAb</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SPY007 is a preclinical program designed to bind to interleukin 17A (“IL-17A”) and interleukin 17F (“IL-17F”) while incorporating half-life extending modifications. SPY007 is being developed for the treatment of HS in combination with our anti-TL1A mAb (SPY072). IL-17A and IL-17F are closely related cytokines produced by Th17 cells and other immune cells. Both are elevated in the skin lesions of individuals with HS. IL-17A and IL-17F act on keratinocytes and other cells in the skin, driving the production of pro-inflammatory cytokines, chemokines, </w:t>
      </w:r>
    </w:p>
    <w:p>
      <w:pPr>
        <w:pStyle w:val="TextBody"/>
        <w:bidi w:val="0"/>
        <w:spacing w:before="0" w:after="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and antimicrobial peptides. These signals recruit neutrophils and other immune cells to the skin, which contributes to the painful nodules, abscesses, and draining tunnels seen in HS. SPY007 is designed to neutralize both IL-17A and IL-17F, and thereby inhibit the downstream signaling events to dampen the inflammatory response.</w:t>
      </w:r>
    </w:p>
    <w:p>
      <w:pPr>
        <w:pStyle w:val="TextBody"/>
        <w:bidi w:val="0"/>
        <w:spacing w:lineRule="auto" w:line="288" w:before="0" w:after="180"/>
        <w:jc w:val="left"/>
        <w:rPr>
          <w:rFonts w:ascii="Times New Roman;serif" w:hAnsi="Times New Roman;serif"/>
          <w:b/>
          <w:i/>
          <w:color w:val="000000"/>
          <w:sz w:val="20"/>
          <w:bdr w:val="single" w:sz="8" w:space="36" w:color="000000"/>
          <w:shd w:fill="FFFFFF" w:val="clear"/>
        </w:rPr>
      </w:pPr>
      <w:r>
        <w:rPr>
          <w:rFonts w:ascii="Times New Roman;serif" w:hAnsi="Times New Roman;serif"/>
          <w:b/>
          <w:i/>
          <w:color w:val="000000"/>
          <w:sz w:val="20"/>
          <w:bdr w:val="single" w:sz="8" w:space="36" w:color="000000"/>
          <w:shd w:fill="FFFFFF" w:val="clear"/>
        </w:rPr>
        <w:t xml:space="preserve">Corporate History and Information </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We were formed as a limited liability company (“LLC”) in Delaware on December 16, 2013 under the name Aeglea BioTherapeutics Holdings, LLC and were converted from a Delaware LLC to a Delaware corporation on March 10, 2015. On June 22, 2023, we completed the Asset Acquisition, and on November 27, 2023, we completed our corporate rebranding, changing our name to Spyre Therapeutics, Inc. </w:t>
      </w:r>
    </w:p>
    <w:p>
      <w:pPr>
        <w:pStyle w:val="TextBody"/>
        <w:bidi w:val="0"/>
        <w:spacing w:lineRule="auto" w:line="288" w:before="0" w:after="180"/>
        <w:jc w:val="left"/>
        <w:rPr>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Our principal executive offices are located at 221 Crescent Street, Building 23, Suite 105, Waltham, MA 02453 and our telephone number is (617) 651-5940. Our website is </w:t>
      </w:r>
      <w:r>
        <w:rPr>
          <w:rFonts w:ascii="Times New Roman;serif" w:hAnsi="Times New Roman;serif"/>
          <w:b w:val="false"/>
          <w:i/>
          <w:color w:val="000000"/>
          <w:sz w:val="20"/>
          <w:bdr w:val="single" w:sz="8" w:space="36" w:color="000000"/>
          <w:shd w:fill="FFFFFF" w:val="clear"/>
        </w:rPr>
        <w:t>www.spyre.com</w:t>
      </w:r>
      <w:r>
        <w:rPr>
          <w:rFonts w:ascii="Times New Roman;serif" w:hAnsi="Times New Roman;serif"/>
          <w:b w:val="false"/>
          <w:color w:val="000000"/>
          <w:sz w:val="20"/>
          <w:bdr w:val="single" w:sz="8" w:space="36" w:color="000000"/>
          <w:shd w:fill="FFFFFF" w:val="clear"/>
        </w:rPr>
        <w:t xml:space="preserve">. The information on, or that can be accessed through, our website is not part of this prospectus supplement and is not incorporated by reference herein. We have included our website address in this prospectus supplement solely as an inactive textual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 xml:space="preserve">THE OFFERING </w:t>
      </w:r>
    </w:p>
    <w:tbl>
      <w:tblPr>
        <w:tblW w:w="10205" w:type="dxa"/>
        <w:jc w:val="left"/>
        <w:tblInd w:w="0" w:type="dxa"/>
        <w:tblLayout w:type="fixed"/>
        <w:tblCellMar>
          <w:top w:w="28" w:type="dxa"/>
          <w:left w:w="28" w:type="dxa"/>
          <w:bottom w:w="28" w:type="dxa"/>
          <w:right w:w="28" w:type="dxa"/>
        </w:tblCellMar>
      </w:tblPr>
      <w:tblGrid>
        <w:gridCol w:w="678"/>
        <w:gridCol w:w="386"/>
        <w:gridCol w:w="388"/>
        <w:gridCol w:w="3031"/>
        <w:gridCol w:w="2367"/>
        <w:gridCol w:w="3355"/>
      </w:tblGrid>
      <w:tr>
        <w:trPr/>
        <w:tc>
          <w:tcPr>
            <w:tcW w:w="6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offered by us</w:t>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shares of common stock.</w:t>
            </w:r>
          </w:p>
        </w:tc>
      </w:tr>
      <w:tr>
        <w:trPr/>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Option to purchase additional shares of common stock</w:t>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have granted the underwriters a 30-day option to purchase up to     additional shares of common stock at the public offering price, less underwriting discounts and commissions.</w:t>
            </w:r>
          </w:p>
        </w:tc>
      </w:tr>
      <w:tr>
        <w:trPr/>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to be outstanding immediately after this offering</w:t>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shares (or     shares on an as-converted-basis, giving effect to the conversion of all of our outstanding shares of preferred stock into shares of common stock without regard to any beneficial ownership limitations). If the underwriters’ option to purchase additional shares of common stock is exercised in full, there will be     shares outstanding immediately after this offering (or     shares on an as-converted basis, giving effect to the conversion of all of our outstanding shares of preferred stock into shares of common stock without regard to any beneficial ownership limitations).</w:t>
            </w:r>
          </w:p>
        </w:tc>
      </w:tr>
      <w:tr>
        <w:trPr/>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intend to use the net proceeds of the offering to continue to advance our programs in Gastroenterology, Rheumatology, and Dermatology, including to fund preclinical studies, clinical trials, manufacturing, and Phase 3 readiness, as well as a new program to advance SPY072 into late-stage development for HS. We also intend to use a portion of the net proceeds to further develop and support our general infrastructure. Finally, we may use a portion of the net proceeds to in-license, acquire, or invest in additional businesses, technologies, products, or assets, and to fund the development of such new acquired or in-licensed products and technologies. Any remaining proceeds will be used for other ongoing research and development, working capital and other general corporate purposes.</w:t>
            </w:r>
          </w:p>
        </w:tc>
      </w:tr>
      <w:tr>
        <w:trPr/>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You should read and consider the information set forth under the heading “</w:t>
            </w:r>
            <w:hyperlink w:anchor="i23758e6ac9a941af9b320e2e9eb1833e_19">
              <w:r>
                <w:rPr>
                  <w:rStyle w:val="InternetLink"/>
                  <w:rFonts w:ascii="Times New Roman;serif" w:hAnsi="Times New Roman;serif"/>
                  <w:b w:val="false"/>
                  <w:color w:val="0000FF"/>
                  <w:sz w:val="20"/>
                  <w:u w:val="single"/>
                </w:rPr>
                <w:t>Risk Factors</w:t>
              </w:r>
            </w:hyperlink>
            <w:r>
              <w:rPr>
                <w:color w:val="000000"/>
              </w:rPr>
              <w:t xml:space="preserve">” </w:t>
            </w:r>
            <w:r>
              <w:rPr>
                <w:rFonts w:ascii="Times New Roman;serif" w:hAnsi="Times New Roman;serif"/>
                <w:b w:val="false"/>
                <w:color w:val="000000"/>
                <w:sz w:val="20"/>
              </w:rPr>
              <w:t>in this prospectus supplement and in the accompanying prospectus, together with the risk factors and cautionary statements described in our most recent Annual Report on Form 10-K and any subsequent Quarterly Reports on Form 10-Q, incorporated by reference herein, before deciding to invest in shares of our common stock.</w:t>
            </w:r>
          </w:p>
        </w:tc>
      </w:tr>
      <w:tr>
        <w:trPr/>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Nasdaq Global Select Market Symbol</w:t>
            </w:r>
          </w:p>
        </w:tc>
        <w:tc>
          <w:tcPr>
            <w:tcW w:w="8753"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SYRE.”</w:t>
            </w:r>
          </w:p>
        </w:tc>
      </w:tr>
    </w:tbl>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The number of shares of our common stock that will be outstanding immediately after this offering as shown above is based on 101,905,933 shares of common stock outstanding as of June 30, 2026, after giving effect to the conversion of all of our outstanding shares of preferred stock into 13,841,800 shares of common stock without regard to any beneficial ownership limitations, but otherwise excludes: </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12,660,773 shares of common stock issuable upon the exercise of outstanding stock options having a weighted-average exercise price of $19.76 per share;</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197,032 shares of common stock issuable upon the vesting of restricted stock units outstanding;</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8,207,770 shares of common stock reserved for issuance pursuant to future equity awards under our 2016 Equity Incentive Plan (the “2016 Plan”), as well as any future increases in the number of shares of our common stock reserved for future issuance under the 2016 Plan;</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500,884 shares of common stock reserved for issuance pursuant to future equity awards under our 2018 Equity Inducement Plan (the “2018 Plan”), as well as any future increases in the number of shares of our common stock reserved for future issuance under the 2018 Plan;</w:t>
      </w:r>
    </w:p>
    <w:p>
      <w:pPr>
        <w:pStyle w:val="TextBody"/>
        <w:bidi w:val="0"/>
        <w:spacing w:before="0" w:after="18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p>
                  </w:txbxContent>
                </v:textbox>
                <w10:wrap type="none"/>
              </v:rect>
            </w:pict>
          </mc:Fallback>
        </mc:AlternateConten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952,808 shares of common stock reserved for future issuance under our 2016 Employee Stock Purchase Plan (the “2016 ESPP”), as well as any future increases in the number of shares of our common stock reserved for future issuance under the 2016 ESPP; and</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1,532,591 shares of common stock issuable upon the exercise of outstanding warrants having an exercise price of $22.49 per share.</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As of June 30, 2026, 346,045 shares of Series A Non-Voting Convertible Preferred Stock (“Series A Preferred Stock”) were issued and outstanding, convertible into 13,841,800 shares of common stock as of such date. After June 30, 2026, 527,502 shares of common stock have been sold pursuant to our Sales Agreement with TD Securities (USA) LLC, dated June 26, 2026 (the “Sales Agreement”) through the date of this prospectus supplement. On September 22, 2026, 1,160,620 shares of common stock were issued in connection with the cashless net exercise of 1,532,591 outstanding warrants. </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Except as otherwise indicated, all share numbers related to our common stock disclosed in this prospectus supplement have been adjusted on a post-Reverse Split basis.</w:t>
      </w:r>
    </w:p>
    <w:p>
      <w:pPr>
        <w:pStyle w:val="TextBody"/>
        <w:bidi w:val="0"/>
        <w:spacing w:lineRule="auto" w:line="288" w:before="0" w:after="18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Unless otherwise indicated, all information in this prospectus supplement (i) assumes no exercise of outstanding stock options and warrants or vesting of restricted stock units as of June 30, 2026, (ii) assumes no exercise of the underwriters’ option to purchase additional shares of common stock and (iii) does not reflect the potential issuance of up to approximately $451.6 million of shares of common stock that remains available for sale as of the date of this prospectus supplement under the Sales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RISK FACTORS </w:t>
      </w:r>
    </w:p>
    <w:p>
      <w:pPr>
        <w:pStyle w:val="TextBody"/>
        <w:bidi w:val="0"/>
        <w:spacing w:lineRule="auto" w:line="288" w:before="0" w:after="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Investing in our common stock involves a high degree of risk. Before investing in our common stock, you should consider carefully the risks described below, together with the other information contained in this prospectus supplement or incorporated by reference in this prospectus supplement, including the risks and uncertainties discussed under “Risk Factors” in our most recent Annual Report on Form 10-K and any subsequent Quarterly Reports on Form 10-Q, which are incorporated by reference herein in their entirety. If any of the risks incorporated by reference herein or set forth below occur, our business, financial condition, results of operations and future growth prospects could be materially and adversely affected. In these circumstances, the market price of our common stock could decline, and you may lose all or part of your investment.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Risks Relating to this Offering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We have broad discretion as to the use of proceeds from this offering and may not use the proceeds effectively.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management will have broad discretion in the application of the net proceeds to us from this offering, including to use them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to us from this offering, their ultimate use may vary from their currently intended use. The failure by our management to apply these funds effectively could harm our business. Pending their use, we may invest the net proceeds to us from this offering in interest-bearing, investment-grade securities, certificates of deposit or government securities. These investments may not yield a favorable return to our stockholders.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If you purchase shares of our common stock in this offering, you may incur immediate and substantial dilution. In addition, we may issue additional equity or convertible securities in the future, which may result in additional dilution to you.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purchase shares of our common stock in this offering, you will incur immediate and substantial dilution in the amount of $  per share of common stock because the public offering price of $  per share of common stock is substantially higher than the pro forma as-adjusted net tangible book value per share of our outstanding common stock. In addition, you may also experience additional dilution after this offering on any future equity issuances, including the issuance of common stock under our 2016 Plan, 2018 Plan, and 2016 ESPP or upon conversion of outstanding Series A Preferred Stock. To the extent we raise additional capital by issuing equity securities under the Sales Agreement or otherwise, our stockholders will experience substantial additional dilution. See “Dilution” for additional information.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Future sales of our common stock in the public market, or the perception that such sales could occur, could cause our common stock price to fall.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common stock price could decline as a result of sales of a large number of shares of common stock after this offering or the perception that these sales could occur. These sales, or the possibility that these sales may occur, might also make it more difficult for us to sell equity securities in the future at a time and price that we deem appropriate. Upon the completion of this offering, shares of our common stock (or shares of our common stock on an as-converted-basis, giving effect to the conversion of all of our Series A Preferred Stock into shares of common stock without regard to any beneficial ownership limitations) will be outstanding (or shares of our common stock if the underwriters exercise their option to purchase additional shares from us in full (or shares of our common stock on an as-converted basis, giving effect to the conversion of all of our Series A Preferred Stock into shares of common stock without regard to any beneficial ownership limitations)), based on the number of shares outstanding as of June 30, 2026, all of which will be freely tradable without restriction in the public market immediately following this offering, except for those shares that are subject to lock-up restrictions or restricted pursuant to Rule 144. We may also sell large quantities of our common stock in one or more separate offerings. If we or our existing stockholders sell, or indicate an intention to sell, substantial amounts of our common stock in the public market after the lock-up and other legal restrictions on sale discussed in this prospectus supplement lapse, the trading price of our common stock could decline. </w:t>
      </w:r>
    </w:p>
    <w:p>
      <w:pPr>
        <w:pStyle w:val="TextBody"/>
        <w:bidi w:val="0"/>
        <w:spacing w:before="0" w:after="18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trading market for our common stock will be influenced in part by the research and reports that securities or industry analysts may publish about us, our business, our market, or our competitors. If one or more of these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Shares of our common stock will be subordinate to any senior preferred stock we may issue and to any future indebtedness.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Shares of our common stock will rank junior to any shares of our senior preferred stock or shares of our senior preferred stock that we may issue in the future and to any future indebtedness we may incur, as well as to all creditor claims and other non-equity claims against us and our assets available to satisfy claims on us, including claims in a bankruptcy or similar proceeding.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Furthermore, unlike indebtedness, where principal and interest customarily are payable on specified due dates, in the case of our common stock, (i) dividends are payable only when and if declared by our board of directors or a duly authorized committee of our board of directors, and (ii) as a corporation, we are restricted to making dividend payments and redemption payments out of legally available assets. We have never paid a dividend on our common stock and have no current intention to pay dividends in the future. Furthermore, our common stock places no restrictions on our business or operations or on our ability to incur indebtedness or engage in any transactions, subject only to the voting rights available to our stockholders generally.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USE OF PROCEEDS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estimate that we will receive net proceeds from this offering of approximately $     million (or approximately $     million if the underwriters’ option to purchase up to additional shares of common stock is exercised in full), based on the public offering price of $     per share of common stock and after deducting the underwriting discounts and commissions and estimated offering expenses payable by us.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intend to use the net proceeds of the offering to continue to advance our programs in Gastroenterology, Rheumatology, and Dermatology, including to fund preclinical studies, clinical trials, manufacturing, and Phase 3 readiness, as well as a new program to advance SPY072 into late-stage development for HS. We also intend to use a portion of the net proceeds to further develop and support our general infrastructure. Finally, we may use a portion of the net proceeds to in-license, acquire, or invest in additional businesses, technologies, products, or assets, and to fund the development of such new acquired or in-licensed products and technologies. Any remaining proceeds will be used for other ongoing research and development, working capital and other general corporate purposes.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Based on our current business plans, we believe that the net proceeds from this offering, together with our existing current cash, cash equivalents and short-term investments, will be sufficient to fund our planned operations into . Our expected use of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amounts that we will actually spend on the uses set forth above. The amount and timing of our actual expenditures will depend on numerous factors, including the pace and results of our research and development efforts, the timing and success of clinical trials, the timing and costs associated with the manufacture and supply of product candidates, the timing of regulatory submissions and any unforeseen cash needs. As a result, our management will have broad discretion in the application of the net proceeds, and investors will be relying on the judgment of our management regarding the application of the net proceeds of this offering. For additional information regarding our potential capital requirements, including factors that could cause actual costs to vary from the estimates set forth above, see “Risk Factors.”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Pending the use of the proceeds to us from this offering, we intend to invest these proceeds in interest-bearing, investment-grade securities, certificates of deposit, money market funds or government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DILUTION</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Dilution represents the difference between the amount per share of common stock paid by purchasers in this offering and the pro forma as-adjusted net tangible book value per share of our common stock immediately after this offering. The data in this section are derived from our balance sheet as of June 30, 2026. Net tangible book value per share of common stock is equal to our total tangible assets less the amount of our total liabilities, divided by the sum of the number of shares of common stock outstanding as of June 30, 2026, excluding shares of common stock underlying outstanding options, unvested restricted stock units and warrants. Our net tangible book value as of June 30, 2026, was approximately $1.1 billion, or $12.50 per share of common stock. For purposes of this “Dilution” section, except as otherwise noted, all subsequent share and per share information assumes the conversion of all outstanding shares of our Series A Preferred Stock into shares of common stock without regard to any beneficial ownership limitations, except where expressly noted otherwise. Assuming such conversion, our pro forma net tangible book value per share as of June 30, 2026 was $10.81 per share of common stock.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present dilution on a pro forma as-adjusted basis to give effect to (i) the assumed conversion of all outstanding shares of our preferred stock as described above and (ii) our receipt of the estimated net proceeds from the sale of shares of our common stock in this offering, based on the public offering price of $     per share of common stock and after deducting the commissions and estimated offering expenses payable by us. On a pro forma as-adjusted basis, our net tangible book value as of June 30, 2026, would have been $     million, or $     per share of common stock. This represents an immediate increase in net tangible book value to existing stockholders of $     per share of common stock and immediate dilution in net tangible book value to investors participating in this offering of $     per share of common stock. The following table illustrates this dilution per share of common stock: </w:t>
      </w:r>
    </w:p>
    <w:tbl>
      <w:tblPr>
        <w:tblW w:w="10205" w:type="dxa"/>
        <w:jc w:val="left"/>
        <w:tblInd w:w="0" w:type="dxa"/>
        <w:tblLayout w:type="fixed"/>
        <w:tblCellMar>
          <w:top w:w="28" w:type="dxa"/>
          <w:left w:w="28" w:type="dxa"/>
          <w:bottom w:w="28" w:type="dxa"/>
          <w:right w:w="28" w:type="dxa"/>
        </w:tblCellMar>
      </w:tblPr>
      <w:tblGrid>
        <w:gridCol w:w="3160"/>
        <w:gridCol w:w="2641"/>
        <w:gridCol w:w="2666"/>
        <w:gridCol w:w="211"/>
        <w:gridCol w:w="616"/>
        <w:gridCol w:w="109"/>
        <w:gridCol w:w="109"/>
        <w:gridCol w:w="109"/>
        <w:gridCol w:w="109"/>
        <w:gridCol w:w="211"/>
        <w:gridCol w:w="109"/>
        <w:gridCol w:w="155"/>
      </w:tblGrid>
      <w:tr>
        <w:trPr/>
        <w:tc>
          <w:tcPr>
            <w:tcW w:w="3160"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Public offering price per share of common stock</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tangible book value per share of common stock as of June 30, 2026 (excluding the assumed conversion of preferred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val="false"/>
                <w:color w:val="000000"/>
                <w:sz w:val="20"/>
              </w:rPr>
              <w:t>Pro forma net tangible book value per share as of June 30, 2026, giving effect to the conversion of preferred stock without regard to any beneficial ownership limitations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0"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Increase in pro forma net tangible book value per share of common stock attributable to investors participating in this offering</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 forma as-adjusted net tangible book value per share of common stock immediately after this offering</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0"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Dilution per share of common stock to investors participating in this offering</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the underwriters fully exercise their option to purchase additional shares of common stock, the pro forma as-adjusted net tangible book value after this offering would increase by approximately $     per share of common stock, and there would be an immediate dilution of approximately $     per share of common stock to investors participating in this offering.</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Except as noted above, the foregoing excludes, in each case as of June 30, 2026:</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12,660,773 shares of common stock issuable upon the exercise of outstanding stock options having a weighted-average exercise price of $19.76 per share;</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197,032 shares of common stock issuable upon the vesting of restricted stock units outstanding;</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8,207,770 shares of common stock reserved for issuance pursuant to future equity awards under the 2016 Plan, as well as any future increases in the number of shares of our common stock reserved for future issuance under the 2016 Plan;</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500,884 shares of common stock reserved for issuance pursuant to future equity awards under the 2018 Plan, as well as any future increases in the number of shares of our common stock reserved for future issuance under the 2018 Plan;</w:t>
      </w:r>
    </w:p>
    <w:p>
      <w:pPr>
        <w:pStyle w:val="TextBody"/>
        <w:bidi w:val="0"/>
        <w:spacing w:before="0" w:after="18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v:textbox>
                <w10:wrap type="none"/>
              </v:rect>
            </w:pict>
          </mc:Fallback>
        </mc:AlternateConten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952,808 shares of common stock reserved for future issuance under the 2016 ESPP, as well as any future increases in the number of shares of our common stock reserved for future issuance under the 2016 ESPP; and</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1,532,591 shares of common stock issuable upon the exercise of outstanding warrants having an exercise price of $22.49 per share.</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346,045 shares of Series A Preferred Stock were issued and outstanding, convertible into 13,841,800 shares of common stock as of such date. After June 30, 2026, 527,502 shares of common stock have been sold pursuant to the Sales Agreement through the date of this prospectus supplement. On September 22, 2026, 1,160,620 shares of common stock were issued in connection with the cashless net exercise of 1,532,591 outstanding warrants.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Furthermore, we may choose to raise additional capital through the sale of equity or convertible debt securities due to market conditions or strategic considerations even if we believe we have sufficient funds for our current or future operating plans. New investors may experience further dilution if any of our outstanding options or warrants are exercised, new options are issued and exercised under our equity incentive plans or we issue additional shares of common stock, other equity securities or convertible debt securities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CERTAIN MATERIAL U.S. FEDERAL INCOME TAX CONSIDERATIONS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discussion is a summary of certain material U.S. federal income tax considerations applicable to the ownership and disposition of our common stock, which we refer to collectively as our securities. This summary is based upon U.S. federal income tax law as of the date of this prospectus supplement, which is subject to change or differing interpretations, possibly with retroactive effect.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summary does not discuss all potential tax considerations that may be important to particular investors in light of their individual circumstances, including, without limitation: </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banks, insurance companies or other financial institutions;</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tax-exempt entities or governmental organizations;</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brokers, traders or dealers in securities or currencies;</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persons that own, or are deemed to own, more than five percent of our capital stock;</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persons required for U.S. federal income tax purposes to conform the timing of income accruals to their financial statements under Section 451(b) of the Code;</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U.S. expatriates and certain former citizens or long-term residents of the United States;</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persons who hold our securities as a position in a hedging transaction, “straddle,” “conversion transaction” or other risk reduction transaction;</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persons that have elected the mark-to-market method of tax accounting;</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partnerships or other entities or arrangements treated as pass-through entities for U.S. federal income tax purposes (or investors in any such entities);</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persons deemed to sell our securities under the constructive sale provisions of the Internal Revenue Code of 1986, as amended (the “Code”);</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regulated investment companies or real estate investment trusts;</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pension plans or funds, or an entity that is wholly owned by a pension plan or fund;</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controlled foreign corporations;</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passive foreign investment companies; or</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persons that acquire our securities as compensation for services. </w:t>
      </w:r>
    </w:p>
    <w:p>
      <w:pPr>
        <w:pStyle w:val="TextBody"/>
        <w:bidi w:val="0"/>
        <w:spacing w:lineRule="auto" w:line="288" w:before="0" w:after="180"/>
        <w:jc w:val="left"/>
        <w:rPr>
          <w:shd w:fill="FFFFFF" w:val="clear"/>
        </w:rPr>
      </w:pPr>
      <w:r>
        <w:rPr>
          <w:rFonts w:ascii="Times New Roman;serif" w:hAnsi="Times New Roman;serif"/>
          <w:b w:val="false"/>
          <w:color w:val="000000"/>
          <w:sz w:val="20"/>
          <w:shd w:fill="FFFFFF" w:val="clear"/>
        </w:rPr>
        <w:t>In addition, this summary does not discuss other U.S. federal tax consequences (</w:t>
      </w:r>
      <w:r>
        <w:rPr>
          <w:rFonts w:ascii="Times New Roman;serif" w:hAnsi="Times New Roman;serif"/>
          <w:b w:val="false"/>
          <w:i/>
          <w:color w:val="000000"/>
          <w:sz w:val="20"/>
          <w:shd w:fill="FFFFFF" w:val="clear"/>
        </w:rPr>
        <w:t>e.g</w:t>
      </w:r>
      <w:r>
        <w:rPr>
          <w:rFonts w:ascii="Times New Roman;serif" w:hAnsi="Times New Roman;serif"/>
          <w:b w:val="false"/>
          <w:color w:val="000000"/>
          <w:sz w:val="20"/>
          <w:shd w:fill="FFFFFF" w:val="clear"/>
        </w:rPr>
        <w:t xml:space="preserve">., estate or gift tax), any state, local, or non-U.S. tax considerations or the Medicare tax or alternative minimum tax. In addition, this summary is limited to investors that will hold our securities as “capital assets” (generally, property held for investment) under the Code. No assurance can be given that the Internal Revenue Service (“IRS”) would not assert, or that a court would not sustain, a position contrary to any part of the discussion of the tax consequences set forth below.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purposes of this summary, a “U.S. Holder” is a beneficial holder of securities that, for U.S. federal income tax purposes, is:</w: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1.an individual who is a citizen or resident of the United States;</w: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2.a corporation or other entity treated as a corporation for U.S. federal income tax purposes created in, or organized under the law of, the United States, any state thereof, or the District of Columbia; </w:t>
      </w:r>
    </w:p>
    <w:p>
      <w:pPr>
        <w:pStyle w:val="TextBody"/>
        <w:bidi w:val="0"/>
        <w:spacing w:before="0" w:after="18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p>
                  </w:txbxContent>
                </v:textbox>
                <w10:wrap type="none"/>
              </v:rect>
            </w:pict>
          </mc:Fallback>
        </mc:AlternateConten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3.an estate the income of which is includible in gross income for U.S. federal income tax purposes regardless of its source; or </w: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4.a trust (A) the administration of which is subject to the primary supervision of a U.S. court and which has one or more “United States persons” (within the meaning of the Code) who have the authority to control all substantial decisions of the trust or (B) that has in effect a valid election under applicable Treasury regulations to be treated as a United States person.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“non-U.S. Holder” is a beneficial holder of securities that is neither a U.S. Holder nor a partnership or other entity or arrangement treated as a pass-through entity for U.S. federal income tax purposes.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tax treatment of a partner in a partnership (or other entity or arrangement taxable as a partnership for U.S. federal income tax purposes) that holds our securities generally will depend on the status of the partner and the activities of the partnership. Partnerships holding our securities and the partners in such partnerships should consult their tax advisors regarding the U.S. federal income tax consequences applicable to them.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DISCUSSION OF U.S. FEDERAL INCOME TAX CONSIDERATIONS IS FOR INFORMATIONAL PURPOSES ONLY AND IS NOT TAX ADVICE. PROSPECTIVE HOLDERS SHOULD CONSULT THEIR TAX ADVISORS CONCERNING THE U.S. FEDERAL INCOME TAX CONSEQUENCES TO THEM OF OWNING AND DISPOSING OF OUR SECURITIES, AS WELL AS THE APPLICATION OF ANY STATE, LOCAL AND NON-U.S. INCOME, ESTATE AND OTHER TAX CONSIDERATIONS.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U.S. Holders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Distributions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event that we make a distribution of cash or other property (other than certain pro rata distributions of our stock) in respect of our securities, such distribution will be treated as a dividend to the extent paid out of our current or accumulated earnings and profits, as determined under U.S. federal income tax principles. Distributions in excess of current and accumulated earnings and profits will be treated as a non-taxable return of capital to the extent of the U.S. Holder’s basis in its securities and, to the extent the amount of the distribution exceeds a U.S. Holder’s adjusted tax basis in such securities, the excess will be treated as gain from the disposition of such securities (the tax treatment of which is discussed below under “-Sale, Exchange or Other Taxable Disposition of Our Securities”).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Dividends we pay to a U.S. Holder that is a corporation generally will qualify for the dividends received deduction if the requirements relating to the requisite holding period are satisfied. With certain exceptions, and provided certain holding period requirements are met, dividends we pay to a non-corporate U.S. Holder generally will constitute “qualified dividends” that currently are subject to tax at preferential long-term capital gains rates.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Sale, Exchange or Other Taxable Disposition of Our Securities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Upon a sale, taxable exchange or other taxable disposition of our securities, a U.S. Holder will generally recognize taxable gain or loss in an amount equal to the difference between (1) the amount realized upon such sale, exchange or taxable disposition and (2) the U.S. Holder’s tax basis in the security. Such gain or loss will generally be treated as long-term capital gain or loss if the security is held by the U.S. Holder for more than one year at the time of such sale, exchange or disposition. Long-term capital gains recognized by certain non-corporate U.S. holders generally are taxed at preferential rates. The deductibility of capital losses is subject to certain limitations.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Information Reporting and Backup Withholding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general, information reporting requirements may apply to dividends paid to a U.S. Holder and to the proceeds of the sale, exchange or other taxable disposition of our securities, unless the U.S. Holder is an exempt recipient. Backup withholding may apply to such payments if the U.S. Holder fails to provide a taxpayer identification number, typically on an IRS Form W-9, or a certification of exempt status or has been notified by the IRS that it is subject to backup withholding (and such notification has not been withdrawn). </w:t>
      </w:r>
    </w:p>
    <w:p>
      <w:pPr>
        <w:pStyle w:val="TextBody"/>
        <w:bidi w:val="0"/>
        <w:spacing w:before="0" w:after="18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Backup withholding is not an additional tax. Any amounts withheld under the backup withholding rules will be allowed as a refund or a credit against a U.S. Holder’s U.S. federal income tax liability provided the required information is timely furnished to the IRS.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Non-U.S. Holders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Distributions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Any distributions treated as dividends for U.S. federal income tax purposes we pay to a non-U.S. Holder with respect to shares of our securities will generally be subject to withholding tax at a 30% rate (or such lower rate specified by an applicable income tax treaty). To obtain the benefit of a reduced rate under an applicable income tax treaty, a non-U.S. Holder must certify as to its non-U.S. status, and to such right under the applicable income tax treaty on a properly completed IRS Form W-8BEN or IRS Form W-8BEN-E. If, however, a non-U.S. Holder provides an IRS Form W-8ECI, certifying that the dividend is effectively connected with the non-U.S. Holder’s conduct of a trade or business within the United States, the dividend will not be subject to withholding. Instead, such dividends are subject to U.S. federal income tax at regular rates applicable to U.S. persons generally and, for corporate holders, may also be subject to a 30% “branch profits tax.” Non-U.S. Holder may be eligible for a lower rate of “branch profits taxes” under an applicable U.S. income tax treaty.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Sale, Exchange or Other Taxable Disposition of Our Securities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Subject to the discussions below regarding FATCA and backup withholding, a non-U.S. Holder will generally not be subject to U.S. federal income or withholding tax in respect of gain recognized on a sale, exchange or other taxable disposition of our securities unless: </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non-U.S. Holder is an individual who is present in the United States for 183 days or more in the taxable year of disposition and certain other conditions are met; or</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we are or have been a “United States real property holding corporation” for U.S. federal income tax purposes during a specified period and certain other requirements are met. We do not expect to be a “United States real property holding corporation” for U.S. federal income tax purposes, but there can be no assurance in that regard.</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Gain described in the first bullet point above will be subject to tax at the regular rates applicable to U.S. persons generally. Any gains described in the first bullet point above of a non-U.S. Holder that is a corporation may also be subject to an additional “branch profits tax” at a 30% rate (or lower applicable treaty rate). Gain described in the second bullet point above will generally be subject to a flat 30% U.S. federal income tax, which gain may be offset by certain U.S. source capital losses (even though a Non-U.S. holder is not considered a resident of the United States), provided timely filed U.S. federal income tax returns have been filed with respect to such losses. If the third bullet point above applies to a non-U.S. Holder, gain recognized by such holder on the sale, exchange or other taxable disposition of our securities will be subject to tax at the regular rates applicable to U.S. persons generally, and certain withholding requirements may apply. Non-U.S. Holders are urged to consult their tax advisors regarding the application of these rules, including possible eligibility for benefits under income tax treaties.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Foreign Account Tax Compliance Act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the Foreign Account Tax Compliance Act (“FATCA”), withholding at a rate of 30% will generally be required on dividends in respect of our securities held by or through certain foreign financial institutions (including investment funds), unless such institution (i) enters into an agreement with the U.S. Department of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(ii) complies with the terms of an </w:t>
      </w:r>
    </w:p>
    <w:p>
      <w:pPr>
        <w:pStyle w:val="TextBody"/>
        <w:bidi w:val="0"/>
        <w:spacing w:before="0" w:after="18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intergovernmental agreement between the United States and an applicable foreign country, or (iii) otherwise qualifies for an exemption. Accordingly, the entity through which our securities are held will affect the determination of whether such withholding is required. Similarly, dividends in respect of shares of our securities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Secretary of the Treasury. An intergovernmental agreement between the United States and an applicable foreign country, or future Treasury regulations or other guidance, may modify these requirements. We will not pay any additional amounts to investors in respect of any amounts withheld. Withholding under FATCA may also apply to payments of gross proceeds from a sale or other disposition of our securities. However, under proposed Treasury regulations, withholding on gross proceeds is not required. Although such regulations are not final, applicable withholding agents may rely on the proposed regulations until final regulations are issued. If withholding under FATCA is required on any payment in respect of our securities, non-U.S. investors not otherwise subject to withholding (or that otherwise would be entitled to a reduced rate of withholding) may be required to seek a refund or credit from the IRS. Non-U.S. investors are encouraged to consult their tax advisors regarding the possible implications of FATCA on their investment in our securities.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Information Reporting and Backup Withholding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Information returns will be filed with the IRS in connection with payments of dividends and the proceeds from certain sales, exchanges or other taxable dispositions of our securities. Copies of the information returns reporting such dividends and withholding may also be made available to the tax authorities in the country in which the respective non-U.S. Holder resides under the provisions of an applicable income tax treaty. A non-U.S. Holder may have to comply with certification procedures, such as delivering an IRS Form W-8BEN, IRS Form W-8BEN-E, or IRS Form W-8ECI, in addition to other requirements, to establish that it is not a “United States person” in order to avoid certain information reporting and backup withholding requirements. The certification procedures required to claim a reduced rate of withholding under a treaty generally will satisfy the certification requirements necessary to avoid backup withholding.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proceeds of the sale, exchange or other taxable disposition of our common stock within the United States or conducted through certain U.S.-related brokers generally will not be subject to backup withholding or information reporting if the applicable withholding agent receives a certification that the holder is not a “United States person” in accordance with the procedures above and satisfies the other requirements, or the holder otherwise establishes an exemption. Proceeds of such a sale, exchange or disposition of our common stock conducted through a non-U.S. office of a non-U.S. broker generally will not be subject to backup withholding or information reporting.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 non-U.S. Holders should consult their tax advisors regarding the application of information reporting and backup withholding to them.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UNDERWRITING</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Subject to the terms and conditions set forth in the underwriting agreement, dated      , 2026, among us and Jefferies LLC, TD Securities (USA) LLC, Leerink Partners LLC and Stifel, Nicolaus &amp; Company, Incorporated, as the representatives of the underwriters named below, we have agreed to sell to the underwriters, and each of the underwriters has agreed, severally and not jointly, to purchase from us, the respective number of shares of common stock shown opposite its name below.  </w:t>
      </w:r>
    </w:p>
    <w:tbl>
      <w:tblPr>
        <w:tblW w:w="4901" w:type="dxa"/>
        <w:jc w:val="left"/>
        <w:tblInd w:w="0" w:type="dxa"/>
        <w:tblLayout w:type="fixed"/>
        <w:tblCellMar>
          <w:top w:w="28" w:type="dxa"/>
          <w:left w:w="28" w:type="dxa"/>
          <w:bottom w:w="28" w:type="dxa"/>
          <w:right w:w="28" w:type="dxa"/>
        </w:tblCellMar>
      </w:tblPr>
      <w:tblGrid>
        <w:gridCol w:w="1275"/>
        <w:gridCol w:w="1123"/>
        <w:gridCol w:w="1126"/>
        <w:gridCol w:w="109"/>
        <w:gridCol w:w="109"/>
        <w:gridCol w:w="109"/>
        <w:gridCol w:w="307"/>
        <w:gridCol w:w="307"/>
        <w:gridCol w:w="436"/>
      </w:tblGrid>
      <w:tr>
        <w:trPr/>
        <w:tc>
          <w:tcPr>
            <w:tcW w:w="127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Underwriters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Common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w:t>
            </w:r>
          </w:p>
        </w:tc>
      </w:tr>
      <w:tr>
        <w:trPr/>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Jefferies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TD Securities (USA)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Leerink Partners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Stifel, Nicolaus &amp; Company, Incorporated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LifeSci Capital,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underwriting agreement provides that the obligations of the several underwriters are subject to certain conditions precedent, such as the receipt by the underwriters of officers’ certificates,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agreed to indemnify the underwriters and certain of their controlling persons against certain liabilities, including liabilities under the Securities Act and to contribute payments that the underwriters may be required to make in respect of those liabilities.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underwriters have advised us that, following the completion of this offering, they currently intend to make a market in our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our common stock, that you will be able to sell any of our common stock held by you at a particular time or that the prices that you receive when you sell will be favorable.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underwriters are offering the securities, subject to prior sale, when, as and if issued to and accepted by them, subject to approval of legal matters by their counsel, including the validity of the shares of common stock and other conditions contained in the underwriting agreement such as the receipt by the underwriters of officer’s certificates and legal opinions. The underwriters reserve the right to withdraw, cancel or modify offers to the public and to reject orders in whole or in part. In addition, the underwriters have advised us that they do not intend to confirm sales to any account over which they exercise discretionary authority.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Commissions and Expenses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underwriters have advised us that they propose to offer the shares of common stock to the public at the public offering prices set forth on the cover page of this prospectus supplement and to certain dealers, which may include the underwriters, at that price, less a concession not in excess of $     per share. After the offering, the public offering price, concession and reallowance to dealers may be reduced by the representatives. No such reduction will change the amount of proceeds to be received by us as set forth on the cover page of this prospectus supplement.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shows the public offering price, the underwriting discounts and commissions that we are to pay the underwriters and the proceeds to us, before expenses, in connection with this offering. Such amounts are </w:t>
      </w:r>
    </w:p>
    <w:p>
      <w:pPr>
        <w:pStyle w:val="TextBody"/>
        <w:bidi w:val="0"/>
        <w:spacing w:before="0" w:after="18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shown assuming both no exercise and full exercise by the underwriters of their option to purchase additional shares of common stock. </w:t>
      </w:r>
    </w:p>
    <w:tbl>
      <w:tblPr>
        <w:tblW w:w="7656" w:type="dxa"/>
        <w:jc w:val="left"/>
        <w:tblInd w:w="0" w:type="dxa"/>
        <w:tblLayout w:type="fixed"/>
        <w:tblCellMar>
          <w:top w:w="28" w:type="dxa"/>
          <w:left w:w="28" w:type="dxa"/>
          <w:bottom w:w="28" w:type="dxa"/>
          <w:right w:w="28" w:type="dxa"/>
        </w:tblCellMar>
      </w:tblPr>
      <w:tblGrid>
        <w:gridCol w:w="1255"/>
        <w:gridCol w:w="1099"/>
        <w:gridCol w:w="1111"/>
        <w:gridCol w:w="596"/>
        <w:gridCol w:w="307"/>
        <w:gridCol w:w="311"/>
        <w:gridCol w:w="109"/>
        <w:gridCol w:w="109"/>
        <w:gridCol w:w="109"/>
        <w:gridCol w:w="619"/>
        <w:gridCol w:w="319"/>
        <w:gridCol w:w="321"/>
        <w:gridCol w:w="109"/>
        <w:gridCol w:w="109"/>
        <w:gridCol w:w="109"/>
        <w:gridCol w:w="473"/>
        <w:gridCol w:w="244"/>
        <w:gridCol w:w="347"/>
      </w:tblGrid>
      <w:tr>
        <w:trPr/>
        <w:tc>
          <w:tcPr>
            <w:tcW w:w="125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Share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Without Option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 Purchase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With Option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 Purchase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Public offering price</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Underwriting discounts and commissions</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to us, before expenses</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estimate expenses payable by us in connection with this offering, other than the underwriting discounts and commissions, referred to above, will be approximately $        . We have also agreed to reimburse the underwriters up to $15,000 for expenses incurred in connection with determining this offering’s compliance with the rules of the Financial Industry Regulatory Authority, Inc. (“FINRA”). These reimbursed expenses are deemed underwriting compensation for this offering. The underwriters have also agreed to reimburse us for certain of our expenses incurred in connection with this offering.</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Listing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common stock is traded on the Nasdaq Global Select Market under the symbol “SYRE.”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Option to Purchase Additional Shares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granted to the underwriters an option, exercisable for 30 days from the date of this prospectus supplement, to purchase, from time to time, in whole or in part, up to an aggregate of shares of common stock from us at the public offering price set forth on the cover page of this prospectus supplement, less underwriting discounts and commissions. If the underwriters exercise this option, each underwriter will be obligated, subject to specified conditions, to purchase a number of additional shares of common stock proportionate to that underwriter’s initial purchase commitment as indicated in the table above.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 Sales of Similar Securities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and our executive officers and directors have agreed, subject to specified exceptions, not to directly or indirectly: </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sell, offer to sell, pledge, contract to sell, sell any option or contract to purchase, purchase any option or contract to sell, grant any option, right or warrant to purchase, lend, or otherwise transfer or dispose of any shares of our common stock beneficially owned (as such term is used in Rule 13d-3 of the Exchange Act) or any other securities so owned that are convertible into or exercisable or exchangeable for our common stock; or</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dispose of any shares of common stock, options to acquire shares of common stock, or securities exchangeable or exercisable for or convertible into shares of common stock currently or hereafter owned either of record or beneficially.</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restriction terminates after the close of trading of the common stock on and including the 60th day after the date of this prospectus supplement. The representatives may, in their sole discretion, and at any time or from time to time before the termination of the 60-day period, release all or any portion of the securities subject to lock-up agreements.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With respect to the Company, this restriction does not apply to (A) the transactions contemplated by this offering, (B) issuance and sale by the Company of common stock pursuant to the Sales Agreement, provided that no sales be made under the Sales Agreement until the earlier of (x) the exercise in full by the underwriters of their option to purchase common stock pursuant to the underwriting agreement and (y) the 30th day following the date of </w:t>
      </w:r>
    </w:p>
    <w:p>
      <w:pPr>
        <w:pStyle w:val="TextBody"/>
        <w:bidi w:val="0"/>
        <w:spacing w:before="0" w:after="18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and (C) the issuance by the Company of common stock or options to purchase common stock, or the issuance of common stock upon exercise of options, pursuant to stock options, stock bonuses or other stock plans or arrangements, provided that each holder of such common stock or options who is a director or officer of the Company agrees in writing with the underwriters not to sell, offer, dispose of or otherwise transfer any such common stock or options during the 60-day lock-up period without the prior written consent of the representatives.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With respect to our directors and officers, subject to certain conditions, this restriction does not apply to (A) the establishment of new trading plans pursuant to Rule 10b5-1 under the Exchange Act, (B) sales or transfers of securities made pursuant to a trading plan pursuant to Rule 10b5-1 under the Exchange Act that has been entered into prior to the date of the lock-up agreement, (C) the exercise of options to purchase shares of common stock granted under stock incentive plans or stock purchase plans of the Company, (D) the transfer of securities to the Company or sold in connection with a vesting event of the Company’s securities or upon the exercise of options to purchase the Company’s securities, on a “cashless” or “net exercise” basis or to cover tax withholding obligations in connection with such vesting or exercise, (E) the transfer or disposition of securities occurring by operation of law, (F) the transfer of securities pursuant to a bona fide third party tender offer, merger, consolidation or other similar transaction, (G) transfers by bona fide gift, (H) transfers by will or intestate succession, (I) transfers to a trust whose beneficiaries consist exclusively of one or more of the undersigned and/or a family member, (J) transfers to any corporation, partnership, limited liability company, investment fund or other entity controlled or managed, or under common control or management or a family member, or (K) transfers as distributions to partners, members or stockholders of the locked up party.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are no existing agreements between the underwriters and any of our stockholders who will execute a lock-up agreement that provide consent to the sale of shares of common stock prior to the expiration of the lock-up period.</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Stabilization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underwriters have advised us that they, pursuant to Regulation M under the Exchange Act,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our common stock at a level above that which might otherwise prevail in the open market. Establishing short sales positions may involve either “covered” short sales or “naked” short sales. </w:t>
      </w:r>
    </w:p>
    <w:p>
      <w:pPr>
        <w:pStyle w:val="TextBody"/>
        <w:bidi w:val="0"/>
        <w:spacing w:lineRule="auto" w:line="288" w:before="0" w:after="18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 xml:space="preserve">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w:t>
      </w:r>
    </w:p>
    <w:p>
      <w:pPr>
        <w:pStyle w:val="TextBody"/>
        <w:bidi w:val="0"/>
        <w:spacing w:lineRule="auto" w:line="288" w:before="0" w:after="18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 xml:space="preserve">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stabilizing bid is a bid for the purchase of shares of our common stock on behalf of the underwriters for the purpose of fixing or maintaining the price of our common stock. A syndicate covering transaction is the bid for or the purchase of shares of our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w:t>
      </w:r>
    </w:p>
    <w:p>
      <w:pPr>
        <w:pStyle w:val="TextBody"/>
        <w:bidi w:val="0"/>
        <w:spacing w:before="0" w:after="18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connection with the offering if shares of common stock originally sold by such syndicate member are purchased in a syndicate covering transaction and therefore have not been effectively placed by such syndicate member.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Electronic Distribution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prospectus in electronic format may be made available by e-mail or on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supplement and the accompanying prospectus, has not been approved and/or endorsed by us or the underwriters and should not be relied on by investors.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Other Activities and Relationships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underwriters and certain of their respective affiliates are full service financial institutions engaged in various activities, which may include securities trading, commercial and investment banking, financial advisory services, investment management, investment research, principal investment, hedging, financing and brokerage activities. The underwriters and certain of their respective affiliates have performed, and may in the future perform, various commercial and investment banking and financial advisory services for us and our affiliates, for which they received or will receive customary fees and expenses. For example, TD Securities (USA) LLC is the sales agent under the Sales Agreement. Under the Sales Agreement, we may offer and sell, from time to time, shares of our common stock through TD Securities (USA) LLC through an “at the market offering” as defined in Rule 415(a)(4) promulgated under the Securities Act.</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Disclaimers about Non-U.S. Jurisdictions</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Notice to Prospective Investors in the European Economic Area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relation to each Member State of the European Economic Area (each, a “Relevant State”), no securities have been offered or will be offered pursuant to the offering to the public in that Relevant State prior to the publication of a prospectus in relation to the securities which have been approved by the competent authority in that Relevant State or, where appropriate, approved in another Relevant State and notified to the competent authority in that Relevant </w:t>
      </w:r>
    </w:p>
    <w:p>
      <w:pPr>
        <w:pStyle w:val="TextBody"/>
        <w:bidi w:val="0"/>
        <w:spacing w:before="0" w:after="18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State, all in accordance with the Prospectus Regulation, except that the securities may be offered to the public in that Relevant State at any time: </w: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(a)to any legal entity which is a “qualified investor” as defined under Article 2 of the Prospectus Regulation; </w: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(b)to fewer than 150 natural or legal persons (other than qualified investors as defined under Article 2 of the Prospectus Regulation), subject to obtaining the prior consent of representatives for any such offer; or </w: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(c)in any other circumstances falling within Article 1(4) of the Prospectus Regulation,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provided that no such offer of securities shall require us or any of the representatives to publish a prospectus pursuant to Article 3 of the Prospectus Regulation or supplement a prospectus pursuant to Article 23 of the Prospectus Regulation.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the purposes of this provision, the expression “offer to the public” in relation to the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Notice to Prospective Investors in the United Kingdom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 securities have been offered or will be offered pursuant to this offering to the public in the United Kingdom except that the securities may be offered to the public in the United Kingdom at any time:  </w: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(a)where (i) the offer is conditional on the admission of the securities to trading on the London Stock Exchange plc’s main market (in reliance on the exception in paragraph 6(a) of Schedule 1 of the POATR) or (ii) the securities being offered are at the time of the offer already admitted to trading on London Stock Exchange plc’s main market (in reliance on the exception in paragraph 6(b) of Schedule 1 of the POATR);  </w: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(b)to any qualified investor as defined in paragraph 15 of Schedule 1 of the POATR;  </w: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(c)to fewer than 150 persons (other than qualified investors as defined in paragraph 15 of Schedule 1 of the POATR), subject to obtaining the prior consent of the underwriters for any such offer; or  </w: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(d)in any other circumstances falling within Part 1 of Schedule 1 of the POATR.</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the purposes of this provision, the expression an “offer to the public” in relation to the securities in the United Kingdom means the communication to any person which presents sufficient information on: (a) the securities to be offered; and (b) the terms on which they are to be offered, to enable an investor to decide to buy or subscribe for the securities and the expression “POATR” means the Public Offers and Admissions to Trading Regulations 2024.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Notice to Prospective Investors in Hong Kong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 securities have been offered or sold, and no securities may be offered or sold, in Hong Kong, by means of any document, other than: (i) to persons whose ordinary business is to buy or sell shares or debentures, whether as principal or agent; or (ii) to “professional investors” as defined in the Securities and Futures Ordinance (Cap. 571) of Hong Kong (the “SFO”) and any rules made under that Ordinance; or in other circumstances which do not result in the document being a “prospectus” as defined in the Companies Ordinance (Cap. 32) of Hong Kong (the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that is directed at, or the contents of which are likely to be accessed or read by, the public of Hong Kong (except if permitted under the securities laws of Hong Kong) other than with respect to securities that are or are intended to be disposed of only to persons outside Hong Kong or only to “professional investors” as defined in the SFO and any rules made under that Ordinance. </w:t>
      </w:r>
    </w:p>
    <w:p>
      <w:pPr>
        <w:pStyle w:val="TextBody"/>
        <w:bidi w:val="0"/>
        <w:spacing w:before="0" w:after="18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and the accompanying prospectus have not been registered with the Registrar of Companies in Hong Kong. Accordingly, this prospectus supplement and the accompanying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accompanying prospectus and that he is not acquiring, and has not been offered, any securities in circumstances that contravene any such restrictions.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Notice to Prospective Investors in Japan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offering has not been and will not be registered under the Financial Instruments and Exchange Law of Japan (Law No. 25 of 1948 of Japan, as amended, the “FIEL”) and the underwriters will not offer or sell any securities, directly or indirectly, in Japan or to, or for the benefit of, any resident of Japan (the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Notice to Prospective Investors in Singapore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and the accompanying prospectus have not been and will not be lodged or registered as a prospectus with the Monetary Authority of Singapore. Accordingly, this prospectus supplement and the accompanying prospectus and any other document or material in connection with the offer or sale, or invitation for subscription or purchase, of the securities offered hereby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Where the securities are subscribed or purchased under Section 275 of the SFA by a relevant person that is:</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 corporation (which is not an accredited investor (as defined in Section 4A of the SFA)), the sole business of which is to hold investments and the entire share capital of which is owned by one or more individuals, each of whom is an accredited investor; or</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 </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to an institutional investor or to a relevant person defined in Section 275(2) of the SFA, or to any person arising from an offer referred to in Section 275(1A) or Section 276(4)(i)(B) of the SFA;</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where no consideration is or will be given for the transfer;</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where the transfer is by operation of law;</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as specified in Section 276(7) of the SFA; or</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as specified in Regulation 32 of the Securities and Futures (Offers of Investments) (Shares and Debentures) Regulations 2005 of Singapore.</w:t>
      </w:r>
    </w:p>
    <w:p>
      <w:pPr>
        <w:pStyle w:val="TextBody"/>
        <w:bidi w:val="0"/>
        <w:spacing w:before="0" w:after="18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S-21</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Notice to Prospective Investors in Canada </w:t>
      </w:r>
    </w:p>
    <w:p>
      <w:pPr>
        <w:pStyle w:val="TextBody"/>
        <w:bidi w:val="0"/>
        <w:spacing w:lineRule="auto" w:line="288" w:before="0" w:after="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 Resale Restrictions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distribution of securities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 </w:t>
      </w:r>
    </w:p>
    <w:p>
      <w:pPr>
        <w:pStyle w:val="TextBody"/>
        <w:bidi w:val="0"/>
        <w:spacing w:lineRule="auto" w:line="288" w:before="0" w:after="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(B) Representations of Canadian Purchasers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By purchasing securities in Canada and accepting delivery of a purchase confirmation, a purchaser is representing to us and the dealer from whom the purchase confirmation is received that:</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purchaser is entitled under applicable provincial securities laws to purchase the securities without the benefit of a prospectus qualified under those securities laws as it is an “accredited investor” as defined under National Instrument 45-106 - Prospectus Exemptions or Section 73.3(1) of the Securities Act (Ontario), as applicable,</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purchaser is a “permitted client” as defined in National Instrument 31-103-Registration Requirements, Exemptions and Ongoing Registrant Obligations, </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where required by law, the purchaser is purchasing as principal and not as agent, and</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purchaser has reviewed the text above under Resale Restrictions.</w:t>
      </w:r>
    </w:p>
    <w:p>
      <w:pPr>
        <w:pStyle w:val="TextBody"/>
        <w:bidi w:val="0"/>
        <w:spacing w:lineRule="auto" w:line="288" w:before="0" w:after="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(C) Conflicts of Interest </w:t>
      </w:r>
    </w:p>
    <w:p>
      <w:pPr>
        <w:pStyle w:val="TextBody"/>
        <w:bidi w:val="0"/>
        <w:spacing w:lineRule="auto" w:line="288" w:before="0" w:after="180"/>
        <w:jc w:val="left"/>
        <w:rPr>
          <w:shd w:fill="FFFFFF" w:val="clear"/>
        </w:rPr>
      </w:pPr>
      <w:r>
        <w:rPr>
          <w:rFonts w:ascii="Times New Roman;serif" w:hAnsi="Times New Roman;serif"/>
          <w:b w:val="false"/>
          <w:color w:val="000000"/>
          <w:sz w:val="20"/>
          <w:shd w:fill="FFFFFF" w:val="clear"/>
        </w:rPr>
        <w:t xml:space="preserve">Canadian purchasers are hereby notified that certain of the underwriters are relying on the exemption set out in section 3A.3 or 3A.4, if applicable, of National Instrument 33-105 - </w:t>
      </w:r>
      <w:r>
        <w:rPr>
          <w:rFonts w:ascii="Times New Roman;serif" w:hAnsi="Times New Roman;serif"/>
          <w:b w:val="false"/>
          <w:i/>
          <w:color w:val="000000"/>
          <w:sz w:val="20"/>
          <w:shd w:fill="FFFFFF" w:val="clear"/>
        </w:rPr>
        <w:t>Underwriting Conflicts</w:t>
      </w:r>
      <w:r>
        <w:rPr>
          <w:color w:val="000000"/>
          <w:shd w:fill="FFFFFF" w:val="clear"/>
        </w:rPr>
        <w:t xml:space="preserve"> </w:t>
      </w:r>
      <w:r>
        <w:rPr>
          <w:rFonts w:ascii="Times New Roman;serif" w:hAnsi="Times New Roman;serif"/>
          <w:b w:val="false"/>
          <w:color w:val="000000"/>
          <w:sz w:val="20"/>
          <w:shd w:fill="FFFFFF" w:val="clear"/>
        </w:rPr>
        <w:t xml:space="preserve">from having to provide certain conflict of interest disclosure in this document. </w:t>
      </w:r>
    </w:p>
    <w:p>
      <w:pPr>
        <w:pStyle w:val="TextBody"/>
        <w:bidi w:val="0"/>
        <w:spacing w:lineRule="auto" w:line="288" w:before="0" w:after="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(D) Statutory Rights of Action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 </w:t>
      </w:r>
    </w:p>
    <w:p>
      <w:pPr>
        <w:pStyle w:val="TextBody"/>
        <w:bidi w:val="0"/>
        <w:spacing w:lineRule="auto" w:line="288" w:before="0" w:after="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(E) Enforcement of Legal Rights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 </w:t>
      </w:r>
    </w:p>
    <w:p>
      <w:pPr>
        <w:pStyle w:val="TextBody"/>
        <w:bidi w:val="0"/>
        <w:spacing w:lineRule="auto" w:line="288" w:before="0" w:after="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(F) Taxation and Eligibility for Investment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Canadian purchasers of securities should consult their own legal and tax advisors with respect to the tax consequences of an investment in the securities in their particular circumstances and about the eligibility of the securities for investment by the purchaser under relevant Canadian legislation. </w:t>
      </w:r>
    </w:p>
    <w:p>
      <w:pPr>
        <w:pStyle w:val="TextBody"/>
        <w:bidi w:val="0"/>
        <w:spacing w:before="0" w:after="18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S-22</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Notice to Prospective Investors in Australia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and the accompanying prospectus is not a disclosure document for the purposes of Australia’s Corporations Act 2001 (Cth) of Australia (the “Corporations Act”), has not been lodged with the Australian Securities and Investments Commission and is only directed to the categories of exempt persons set out below. Accordingly, if you receive this prospectus supplement and the accompanying prospectus in Australia, you confirm and warrant that you are either: </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 “sophisticated investor” under Section 708(8)(a) or (b) of the Corporations Act;</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 “sophisticated investor” under Section 708(8)(c) or (d) of the Corporations Act and that you have provided an accountant’s certificate to the Company that complies with the requirements of Section 708(8)(c)(i) or (ii) of the Corporations Act and related regulations before the offer has been made;</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 person associated with the Company under Section 708(12) of the Corporations Act; or</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 “professional investor” under Section 708(11)(a) or (b) of the Corporations Act.</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 the extent that you are unable to confirm or warrant that you are an exempt sophisticated investor, associated person or professional investor under the Corporations Act, any offer made to you under this prospectus supplement and the accompanying prospectus is void and incapable of acceptance.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Further, you warrant and agree that you will not offer any of the securities issued to you pursuant to this prospectus supplement and the accompanying prospectus for resale in Australia within 12 months of those securities being issued unless any such resale offer is exempt from the requirement to issue a disclosure document under Section 708 of the Corporations Act.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Notice to Prospective Investors in Israel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document does not constitute a prospectus under the Israeli Securities Law, 5728-1968 (the “Israeli Securities Law”), and has not been filed with or approved by the Israel Securities Authority. In Israel, this prospectus supplement and the accompanying prospectus are being distributed only to, and is directed only at, and any offer of the securities offered hereby is directed only at: (i) a limited number of persons in accordance with the Israeli Securities Law; and (ii) investors listed in the first addendum to the Israeli Securities Law, as it may be amended from time to time (the “Addendum”),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the Addendum and agree to it. </w:t>
      </w:r>
    </w:p>
    <w:p>
      <w:pPr>
        <w:pStyle w:val="TextBody"/>
        <w:bidi w:val="0"/>
        <w:spacing w:lineRule="auto" w:line="288" w:before="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Notice to Prospective Investors in Switzerland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securities may not be publicly offered in Switzerland and will not be listed on the SIX Swiss Exchange (“SIX”) or on any other stock exchange or regulated trading facility in Switzerland. This prospectus supplement and the accompanying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and the accompanying prospectus, nor any other offering or marketing material relating to the securities or the offering, may be publicly distributed or otherwise made publicly available in Switzerland.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Neither this prospectus supplement and the accompanying prospectus, nor any other offering or marketing material relating to the offering, the Company or the securities offered hereby, have been or will be filed with or approved by any Swiss regulatory authority. In particular, this prospectus supplement and the accompanying prospectus will not be filed with, and the offer of securities will not be supervised by, the Swiss Financial Market </w:t>
      </w:r>
    </w:p>
    <w:p>
      <w:pPr>
        <w:pStyle w:val="TextBody"/>
        <w:bidi w:val="0"/>
        <w:spacing w:before="0" w:after="18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Supervisory Authority FINMA, and the offer of securities has not been and will not be authorized under the Swiss Federal Act on Collective Investment Schemes (the “CISA”). The investor protection afforded to acquirers of interests in collective investment schemes under the CISA does not extend to acquirers of securities offered hereby.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EXPERTS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consolidated financial statements of Spyre Therapeutics, Inc. as of December 31, 2025 and for the year then ended, and management’s assessment of the effectiveness of internal control over financial reporting as of December 31, 2025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financial statements as of December 31, 2024 and for each of the two years in the period ended December 31, 2024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LEGAL MATTERS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validity of the common stock being offered in this prospectus supplement will be passed on by Ropes &amp; Gray LLP, Boston, Massachusetts. Paul Hastings LLP, New York, New York, is representing the underwriters in connection with this offering.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WHERE YOU CAN FIND MORE INFORMATION </w:t>
      </w:r>
    </w:p>
    <w:p>
      <w:pPr>
        <w:pStyle w:val="TextBody"/>
        <w:bidi w:val="0"/>
        <w:spacing w:lineRule="auto" w:line="288" w:before="0" w:after="180"/>
        <w:jc w:val="left"/>
        <w:rPr>
          <w:shd w:fill="FFFFFF" w:val="clear"/>
        </w:rPr>
      </w:pPr>
      <w:r>
        <w:rPr>
          <w:rFonts w:ascii="Times New Roman;serif" w:hAnsi="Times New Roman;serif"/>
          <w:b w:val="false"/>
          <w:color w:val="000000"/>
          <w:sz w:val="20"/>
          <w:shd w:fill="FFFFFF" w:val="clear"/>
        </w:rPr>
        <w:t xml:space="preserve">We are subject to the informational requirements of the Exchange Act, and in accordance therewith, file annual, quarterly and special reports, proxy statements and other information with the SEC. The SEC maintains an Internet website that contains reports, proxy statements and other information about registrants, like us, that file electronically with the SEC. The address of that site is </w:t>
      </w:r>
      <w:r>
        <w:rPr>
          <w:rFonts w:ascii="Times New Roman;serif" w:hAnsi="Times New Roman;serif"/>
          <w:b w:val="false"/>
          <w:i/>
          <w:color w:val="000000"/>
          <w:sz w:val="20"/>
          <w:shd w:fill="FFFFFF" w:val="clear"/>
        </w:rPr>
        <w:t>www.sec.gov</w:t>
      </w:r>
      <w:r>
        <w:rPr>
          <w:rFonts w:ascii="Times New Roman;serif" w:hAnsi="Times New Roman;serif"/>
          <w:b w:val="false"/>
          <w:color w:val="000000"/>
          <w:sz w:val="20"/>
          <w:shd w:fill="FFFFFF" w:val="clear"/>
        </w:rPr>
        <w:t xml:space="preserve">. Statements contained in this prospectus supplement as to the contents of any contract or other document are not necessarily complete, and in each instance, we refer you to the copy of the contract or document filed as an exhibit to the registration statement, each such statement being qualified in all respects by such reference. We also maintain a website at </w:t>
      </w:r>
      <w:r>
        <w:rPr>
          <w:rFonts w:ascii="Times New Roman;serif" w:hAnsi="Times New Roman;serif"/>
          <w:b w:val="false"/>
          <w:i/>
          <w:color w:val="000000"/>
          <w:sz w:val="20"/>
          <w:shd w:fill="FFFFFF" w:val="clear"/>
        </w:rPr>
        <w:t>www.spyre.com</w:t>
      </w:r>
      <w:r>
        <w:rPr>
          <w:rFonts w:ascii="Times New Roman;serif" w:hAnsi="Times New Roman;serif"/>
          <w:b w:val="false"/>
          <w:color w:val="000000"/>
          <w:sz w:val="20"/>
          <w:shd w:fill="FFFFFF" w:val="clear"/>
        </w:rPr>
        <w:t xml:space="preserve">. We have included our website address for the information of prospective investors and do not intend it to be an active link to our website. Information contained on our website does not constitute a part of this prospectus supplement (or any document incorporated by reference herein or therein).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INCORPORATION OF CERTAIN INFORMATION BY REFERENCE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SEC allows us to incorporate by reference the information and reports we file with it, which means that we can disclose important information to you by referring you to those publicly available documents. The information incorporated by reference is an important part of this prospectus supplement, and information that we file after the date hereof with the SEC will automatically update and supersede the information already incorporated by reference. We are incorporating by reference the documents listed below (in each case, other than portions of documents not deemed to be filed): </w:t>
      </w:r>
    </w:p>
    <w:p>
      <w:pPr>
        <w:pStyle w:val="TextBody"/>
        <w:bidi w:val="0"/>
        <w:spacing w:lineRule="auto" w:line="288" w:before="0" w:after="18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Annual Report on Form 10-K for the year ended December 31, 2025, filed with the SEC on </w:t>
      </w:r>
      <w:hyperlink r:id="rId4">
        <w:r>
          <w:rPr>
            <w:rStyle w:val="InternetLink"/>
            <w:rFonts w:ascii="Times New Roman;serif" w:hAnsi="Times New Roman;serif"/>
            <w:b w:val="false"/>
            <w:color w:val="0000FF"/>
            <w:sz w:val="20"/>
            <w:u w:val="single"/>
            <w:shd w:fill="FFFFFF" w:val="clear"/>
          </w:rPr>
          <w:t>February 19, 2026</w:t>
        </w:r>
      </w:hyperlink>
      <w:r>
        <w:rPr>
          <w:color w:val="000000"/>
          <w:shd w:fill="FFFFFF" w:val="clear"/>
        </w:rPr>
        <w:t xml:space="preserve"> </w:t>
      </w:r>
      <w:r>
        <w:rPr>
          <w:rFonts w:ascii="Times New Roman;serif" w:hAnsi="Times New Roman;serif"/>
          <w:b w:val="false"/>
          <w:color w:val="000000"/>
          <w:sz w:val="20"/>
          <w:shd w:fill="FFFFFF" w:val="clear"/>
        </w:rPr>
        <w:t xml:space="preserve">(and any portions of our Definitive Proxy Statement on Schedule 14A, filed with the SEC on </w:t>
      </w:r>
      <w:hyperlink r:id="rId5">
        <w:r>
          <w:rPr>
            <w:rStyle w:val="InternetLink"/>
            <w:rFonts w:ascii="Times New Roman;serif" w:hAnsi="Times New Roman;serif"/>
            <w:b w:val="false"/>
            <w:color w:val="0000FF"/>
            <w:sz w:val="20"/>
            <w:u w:val="single"/>
            <w:shd w:fill="FFFFFF" w:val="clear"/>
          </w:rPr>
          <w:t>April 10, 2026</w:t>
        </w:r>
      </w:hyperlink>
      <w:r>
        <w:rPr>
          <w:rFonts w:ascii="Times New Roman;serif" w:hAnsi="Times New Roman;serif"/>
          <w:b w:val="false"/>
          <w:color w:val="000000"/>
          <w:sz w:val="20"/>
          <w:shd w:fill="FFFFFF" w:val="clear"/>
        </w:rPr>
        <w:t>, that are incorporated by reference into our Annual Report on Form 10-K for the year ended December 31, 2025); and</w:t>
      </w:r>
    </w:p>
    <w:p>
      <w:pPr>
        <w:pStyle w:val="TextBody"/>
        <w:bidi w:val="0"/>
        <w:spacing w:lineRule="auto" w:line="288" w:before="0" w:after="18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Quarterly Reports on Form 10-Q for the quarters ended March 31, 2026 and June 30, 2026, filed with the SEC on </w:t>
      </w:r>
      <w:hyperlink r:id="rId6">
        <w:r>
          <w:rPr>
            <w:rStyle w:val="InternetLink"/>
            <w:rFonts w:ascii="Times New Roman;serif" w:hAnsi="Times New Roman;serif"/>
            <w:b w:val="false"/>
            <w:color w:val="0000FF"/>
            <w:sz w:val="20"/>
            <w:u w:val="single"/>
            <w:shd w:fill="FFFFFF" w:val="clear"/>
          </w:rPr>
          <w:t>May 5, 2026</w:t>
        </w:r>
      </w:hyperlink>
      <w:r>
        <w:rPr>
          <w:color w:val="000000"/>
          <w:shd w:fill="FFFFFF" w:val="clear"/>
        </w:rPr>
        <w:t xml:space="preserve"> </w:t>
      </w:r>
      <w:r>
        <w:rPr>
          <w:rFonts w:ascii="Times New Roman;serif" w:hAnsi="Times New Roman;serif"/>
          <w:b w:val="false"/>
          <w:color w:val="000000"/>
          <w:sz w:val="20"/>
          <w:shd w:fill="FFFFFF" w:val="clear"/>
        </w:rPr>
        <w:t xml:space="preserve">and </w:t>
      </w:r>
      <w:hyperlink r:id="rId7">
        <w:r>
          <w:rPr>
            <w:rStyle w:val="InternetLink"/>
            <w:rFonts w:ascii="Times New Roman;serif" w:hAnsi="Times New Roman;serif"/>
            <w:b w:val="false"/>
            <w:color w:val="0000FF"/>
            <w:sz w:val="20"/>
            <w:u w:val="single"/>
            <w:shd w:fill="FFFFFF" w:val="clear"/>
          </w:rPr>
          <w:t>August 4, 2026</w:t>
        </w:r>
      </w:hyperlink>
      <w:r>
        <w:rPr>
          <w:rFonts w:ascii="Times New Roman;serif" w:hAnsi="Times New Roman;serif"/>
          <w:b w:val="false"/>
          <w:color w:val="000000"/>
          <w:sz w:val="20"/>
          <w:shd w:fill="FFFFFF" w:val="clear"/>
        </w:rPr>
        <w:t>; and</w:t>
      </w:r>
    </w:p>
    <w:p>
      <w:pPr>
        <w:pStyle w:val="TextBody"/>
        <w:bidi w:val="0"/>
        <w:spacing w:lineRule="auto" w:line="288" w:before="0" w:after="18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Current Reports on Form 8-K filed with the SEC on </w:t>
      </w:r>
      <w:hyperlink r:id="rId8">
        <w:r>
          <w:rPr>
            <w:rStyle w:val="InternetLink"/>
            <w:rFonts w:ascii="Times New Roman;serif" w:hAnsi="Times New Roman;serif"/>
            <w:b w:val="false"/>
            <w:color w:val="0000FF"/>
            <w:sz w:val="20"/>
            <w:u w:val="single"/>
            <w:shd w:fill="FFFFFF" w:val="clear"/>
          </w:rPr>
          <w:t>April 13, 2026</w:t>
        </w:r>
      </w:hyperlink>
      <w:r>
        <w:rPr>
          <w:rFonts w:ascii="Times New Roman;serif" w:hAnsi="Times New Roman;serif"/>
          <w:b w:val="false"/>
          <w:color w:val="000000"/>
          <w:sz w:val="20"/>
          <w:shd w:fill="FFFFFF" w:val="clear"/>
        </w:rPr>
        <w:t xml:space="preserve">, </w:t>
      </w:r>
      <w:hyperlink r:id="rId9">
        <w:r>
          <w:rPr>
            <w:rStyle w:val="InternetLink"/>
            <w:rFonts w:ascii="Times New Roman;serif" w:hAnsi="Times New Roman;serif"/>
            <w:b w:val="false"/>
            <w:color w:val="0000FF"/>
            <w:sz w:val="20"/>
            <w:u w:val="single"/>
            <w:shd w:fill="FFFFFF" w:val="clear"/>
          </w:rPr>
          <w:t>April 13, 2026</w:t>
        </w:r>
      </w:hyperlink>
      <w:r>
        <w:rPr>
          <w:rFonts w:ascii="Times New Roman;serif" w:hAnsi="Times New Roman;serif"/>
          <w:b w:val="false"/>
          <w:color w:val="000000"/>
          <w:sz w:val="20"/>
          <w:shd w:fill="FFFFFF" w:val="clear"/>
        </w:rPr>
        <w:t xml:space="preserve">, </w:t>
      </w:r>
      <w:hyperlink r:id="rId10">
        <w:r>
          <w:rPr>
            <w:rStyle w:val="InternetLink"/>
            <w:rFonts w:ascii="Times New Roman;serif" w:hAnsi="Times New Roman;serif"/>
            <w:b w:val="false"/>
            <w:color w:val="0000FF"/>
            <w:sz w:val="20"/>
            <w:u w:val="single"/>
            <w:shd w:fill="FFFFFF" w:val="clear"/>
          </w:rPr>
          <w:t>April 16, 2026</w:t>
        </w:r>
      </w:hyperlink>
      <w:r>
        <w:rPr>
          <w:rFonts w:ascii="Times New Roman;serif" w:hAnsi="Times New Roman;serif"/>
          <w:b w:val="false"/>
          <w:color w:val="000000"/>
          <w:sz w:val="20"/>
          <w:shd w:fill="FFFFFF" w:val="clear"/>
        </w:rPr>
        <w:t xml:space="preserve">, </w:t>
      </w:r>
      <w:hyperlink r:id="rId11">
        <w:r>
          <w:rPr>
            <w:rStyle w:val="InternetLink"/>
            <w:rFonts w:ascii="Times New Roman;serif" w:hAnsi="Times New Roman;serif"/>
            <w:b w:val="false"/>
            <w:color w:val="0000FF"/>
            <w:sz w:val="20"/>
            <w:u w:val="single"/>
            <w:shd w:fill="FFFFFF" w:val="clear"/>
          </w:rPr>
          <w:t>May 29, 2026</w:t>
        </w:r>
      </w:hyperlink>
      <w:r>
        <w:rPr>
          <w:rFonts w:ascii="Times New Roman;serif" w:hAnsi="Times New Roman;serif"/>
          <w:b w:val="false"/>
          <w:color w:val="000000"/>
          <w:sz w:val="20"/>
          <w:shd w:fill="FFFFFF" w:val="clear"/>
        </w:rPr>
        <w:t xml:space="preserve">, </w:t>
      </w:r>
      <w:hyperlink r:id="rId12">
        <w:r>
          <w:rPr>
            <w:rStyle w:val="InternetLink"/>
            <w:rFonts w:ascii="Times New Roman;serif" w:hAnsi="Times New Roman;serif"/>
            <w:b w:val="false"/>
            <w:color w:val="0000FF"/>
            <w:sz w:val="20"/>
            <w:u w:val="single"/>
            <w:shd w:fill="FFFFFF" w:val="clear"/>
          </w:rPr>
          <w:t>June 1, 2026</w:t>
        </w:r>
      </w:hyperlink>
      <w:r>
        <w:rPr>
          <w:rFonts w:ascii="Times New Roman;serif" w:hAnsi="Times New Roman;serif"/>
          <w:b w:val="false"/>
          <w:color w:val="000000"/>
          <w:sz w:val="20"/>
          <w:shd w:fill="FFFFFF" w:val="clear"/>
        </w:rPr>
        <w:t xml:space="preserve">, </w:t>
      </w:r>
      <w:hyperlink r:id="rId13">
        <w:r>
          <w:rPr>
            <w:rStyle w:val="InternetLink"/>
            <w:rFonts w:ascii="Times New Roman;serif" w:hAnsi="Times New Roman;serif"/>
            <w:b w:val="false"/>
            <w:color w:val="0000FF"/>
            <w:sz w:val="20"/>
            <w:u w:val="single"/>
            <w:shd w:fill="FFFFFF" w:val="clear"/>
          </w:rPr>
          <w:t>June 15, 2026</w:t>
        </w:r>
      </w:hyperlink>
      <w:r>
        <w:rPr>
          <w:rFonts w:ascii="Times New Roman;serif" w:hAnsi="Times New Roman;serif"/>
          <w:b w:val="false"/>
          <w:color w:val="000000"/>
          <w:sz w:val="20"/>
          <w:shd w:fill="FFFFFF" w:val="clear"/>
        </w:rPr>
        <w:t xml:space="preserve">, </w:t>
      </w:r>
      <w:hyperlink r:id="rId14">
        <w:r>
          <w:rPr>
            <w:rStyle w:val="InternetLink"/>
            <w:rFonts w:ascii="Times New Roman;serif" w:hAnsi="Times New Roman;serif"/>
            <w:b w:val="false"/>
            <w:color w:val="0000FF"/>
            <w:sz w:val="20"/>
            <w:u w:val="single"/>
            <w:shd w:fill="FFFFFF" w:val="clear"/>
          </w:rPr>
          <w:t>August 25, 2026</w:t>
        </w:r>
      </w:hyperlink>
      <w:r>
        <w:rPr>
          <w:color w:val="000000"/>
          <w:shd w:fill="FFFFFF" w:val="clear"/>
        </w:rPr>
        <w:t xml:space="preserve"> </w:t>
      </w:r>
      <w:r>
        <w:rPr>
          <w:rFonts w:ascii="Times New Roman;serif" w:hAnsi="Times New Roman;serif"/>
          <w:b w:val="false"/>
          <w:color w:val="000000"/>
          <w:sz w:val="20"/>
          <w:shd w:fill="FFFFFF" w:val="clear"/>
        </w:rPr>
        <w:t xml:space="preserve">and </w:t>
      </w:r>
      <w:hyperlink r:id="rId15">
        <w:r>
          <w:rPr>
            <w:rStyle w:val="InternetLink"/>
            <w:rFonts w:ascii="Times New Roman;serif" w:hAnsi="Times New Roman;serif"/>
            <w:b w:val="false"/>
            <w:color w:val="0000FF"/>
            <w:sz w:val="20"/>
            <w:u w:val="single"/>
            <w:shd w:fill="FFFFFF" w:val="clear"/>
          </w:rPr>
          <w:t>September 8, 2026</w:t>
        </w:r>
      </w:hyperlink>
      <w:r>
        <w:rPr>
          <w:rFonts w:ascii="Times New Roman;serif" w:hAnsi="Times New Roman;serif"/>
          <w:b w:val="false"/>
          <w:color w:val="000000"/>
          <w:sz w:val="20"/>
          <w:shd w:fill="FFFFFF" w:val="clear"/>
        </w:rPr>
        <w:t>; and</w:t>
      </w:r>
    </w:p>
    <w:p>
      <w:pPr>
        <w:pStyle w:val="TextBody"/>
        <w:bidi w:val="0"/>
        <w:spacing w:lineRule="auto" w:line="288" w:before="0" w:after="18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the description of our common stock contained in our registration statement on Form 8-A, filed with the SEC on </w:t>
      </w:r>
      <w:hyperlink r:id="rId16">
        <w:r>
          <w:rPr>
            <w:rStyle w:val="InternetLink"/>
            <w:rFonts w:ascii="Times New Roman;serif" w:hAnsi="Times New Roman;serif"/>
            <w:b w:val="false"/>
            <w:color w:val="0000FF"/>
            <w:sz w:val="20"/>
            <w:u w:val="single"/>
            <w:shd w:fill="FFFFFF" w:val="clear"/>
          </w:rPr>
          <w:t>March 28, 2016</w:t>
        </w:r>
      </w:hyperlink>
      <w:r>
        <w:rPr>
          <w:rFonts w:ascii="Times New Roman;serif" w:hAnsi="Times New Roman;serif"/>
          <w:b w:val="false"/>
          <w:color w:val="000000"/>
          <w:sz w:val="20"/>
          <w:shd w:fill="FFFFFF" w:val="clear"/>
        </w:rPr>
        <w:t xml:space="preserve">, including any amendments or reports filed for the purpose of updating such description.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incorporates by reference the documents listed above and any future filings we make with the SEC under Sections 13(a), 13(c), 14 or 15(d) of the Exchange Act between the date of the initial registration statement and the effectiveness of the registration statement and following the effectiveness of the registration statement until the offering of the securities under the registration statement is terminated or completed, except that we are not incorporating by reference any information furnished (and not filed) with the SEC, including any information furnished pursuant to Items 2.02 or 7.01 of Form 8-K or related exhibits furnished pursuant to Item 9.01 of Form 8-K (unless expressly provided to the contrary).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 may request a copy of these filings (other than exhibits to such documents unless such exhibits are specifically incorporated by reference herein), at no cost, by contacting us, either orally or in writing, at the following: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Spyre Therapeutics, Inc.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221 Crescent Street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Building 23, Suite 105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Waltham, Massachusetts 02453 </w:t>
      </w:r>
    </w:p>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(617) 651-5940 </w:t>
      </w:r>
    </w:p>
    <w:p>
      <w:pPr>
        <w:pStyle w:val="TextBody"/>
        <w:bidi w:val="0"/>
        <w:spacing w:lineRule="auto" w:line="288" w:before="0" w:after="180"/>
        <w:jc w:val="left"/>
        <w:rPr>
          <w:shd w:fill="FFFFFF" w:val="clear"/>
        </w:rPr>
      </w:pPr>
      <w:r>
        <w:rPr>
          <w:rFonts w:ascii="Times New Roman;serif" w:hAnsi="Times New Roman;serif"/>
          <w:b w:val="false"/>
          <w:color w:val="000000"/>
          <w:sz w:val="20"/>
          <w:shd w:fill="FFFFFF" w:val="clear"/>
        </w:rPr>
        <w:t xml:space="preserve">Information about us is also available at our website at </w:t>
      </w:r>
      <w:r>
        <w:rPr>
          <w:rFonts w:ascii="Times New Roman;serif" w:hAnsi="Times New Roman;serif"/>
          <w:b w:val="false"/>
          <w:i/>
          <w:color w:val="000000"/>
          <w:sz w:val="20"/>
          <w:shd w:fill="FFFFFF" w:val="clear"/>
        </w:rPr>
        <w:t>http://www.spyre.com</w:t>
      </w:r>
      <w:r>
        <w:rPr>
          <w:rFonts w:ascii="Times New Roman;serif" w:hAnsi="Times New Roman;serif"/>
          <w:b w:val="false"/>
          <w:color w:val="000000"/>
          <w:sz w:val="20"/>
          <w:shd w:fill="FFFFFF" w:val="clear"/>
        </w:rPr>
        <w:t xml:space="preserve">. You may access these materials free of charge as soon as reasonably practicable after they are electronically filed with, or furnished to, the SEC. However, the information on our website is not a part of this prospectus supplement and is not incorporated by reference into this prospectus supplement. We have authorized no one to provide you with any information that differs from that contained in this prospectus supplement. Accordingly, we take no responsibility for any other information that others may give you. You should not assume that the information in this prospectus supplement is accurate as of any date other than the date of the front cover of this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S-26</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180"/>
        <w:jc w:val="center"/>
        <w:rPr/>
      </w:pPr>
      <w:r>
        <w:rPr/>
        <w:drawing>
          <wp:inline distT="0" distB="0" distL="0" distR="0">
            <wp:extent cx="2286000" cy="942975"/>
            <wp:effectExtent l="0" t="0" r="0" b="0"/>
            <wp:docPr id="3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 descr=""/>
                    <pic:cNvPicPr>
                      <a:picLocks noChangeAspect="1" noChangeArrowheads="1"/>
                    </pic:cNvPicPr>
                  </pic:nvPicPr>
                  <pic:blipFill>
                    <a:blip r:embed="rId17"/>
                    <a:stretch>
                      <a:fillRect/>
                    </a:stretch>
                  </pic:blipFill>
                  <pic:spPr bwMode="auto">
                    <a:xfrm>
                      <a:off x="0" y="0"/>
                      <a:ext cx="2286000" cy="9429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COMMON STOCK</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PREFERRED STOCK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DEBT SECURITIES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WARRANTS</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UNITS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issue, in one or more series or classes, an indeterminate number of shares of our common stock, preferred stock, debt securities, warrants and/or units, at prices and on terms that we will determine at the time of the offering.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provides you with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We may not sell any securities under this prospectus without delivery of the applicable prospectus supplement. If information in any prospectus supplement is inconsistent with the information in this prospectus, then the information in that prospectus supplement will apply and will supersede the information in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this prospectus, the applicable prospectus supplement and any related free writing prospectus carefully, as well as any documents incorporated by reference, before you invest in any of the securities being offered.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shares of common stock are listed on the Nasdaq Global Select Market under the symbol “SYRE.” The last reported sale price of our common stock on the Nasdaq Global Select Market on June 25, 2026 was $88.67 per share. We recommend that you obtain current market quotations for our common stock prior to making an investment decision.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Investing in our securities involves a high degree of risk. You should review carefully the risks and uncertainties described under the heading “</w:t>
      </w:r>
      <w:hyperlink w:anchor="i23758e6ac9a941af9b320e2e9eb1833e_64">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val="false"/>
          <w:color w:val="000000"/>
          <w:sz w:val="20"/>
        </w:rPr>
        <w:t xml:space="preserve">contained in this prospectus beginning on page </w:t>
      </w:r>
      <w:hyperlink w:anchor="i23758e6ac9a941af9b320e2e9eb1833e_64">
        <w:r>
          <w:rPr>
            <w:rStyle w:val="InternetLink"/>
            <w:rFonts w:ascii="Times New Roman;serif" w:hAnsi="Times New Roman;serif"/>
            <w:b w:val="false"/>
            <w:strike w:val="false"/>
            <w:dstrike w:val="false"/>
            <w:color w:val="0000FF"/>
            <w:sz w:val="20"/>
            <w:u w:val="none"/>
            <w:effect w:val="none"/>
          </w:rPr>
          <w:t>5</w:t>
        </w:r>
      </w:hyperlink>
      <w:r>
        <w:rPr>
          <w:color w:val="000000"/>
        </w:rPr>
        <w:t xml:space="preserve"> </w:t>
      </w:r>
      <w:r>
        <w:rPr>
          <w:rFonts w:ascii="Times New Roman;serif" w:hAnsi="Times New Roman;serif"/>
          <w:b w:val="false"/>
          <w:color w:val="000000"/>
          <w:sz w:val="20"/>
        </w:rPr>
        <w:t xml:space="preserve">and any applicable prospectus supplement, and under similar headings in the other documents that are incorporated by reference into this prospectus.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Prospectus dated June 26,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PROSPECTUS</w:t>
      </w:r>
    </w:p>
    <w:tbl>
      <w:tblPr>
        <w:tblW w:w="6976" w:type="dxa"/>
        <w:jc w:val="left"/>
        <w:tblInd w:w="0" w:type="dxa"/>
        <w:tblLayout w:type="fixed"/>
        <w:tblCellMar>
          <w:top w:w="28" w:type="dxa"/>
          <w:left w:w="28" w:type="dxa"/>
          <w:bottom w:w="28" w:type="dxa"/>
          <w:right w:w="28" w:type="dxa"/>
        </w:tblCellMar>
      </w:tblPr>
      <w:tblGrid>
        <w:gridCol w:w="2340"/>
        <w:gridCol w:w="2060"/>
        <w:gridCol w:w="2065"/>
        <w:gridCol w:w="149"/>
        <w:gridCol w:w="149"/>
        <w:gridCol w:w="213"/>
      </w:tblGrid>
      <w:tr>
        <w:trPr/>
        <w:tc>
          <w:tcPr>
            <w:tcW w:w="234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55">
              <w:r>
                <w:rPr>
                  <w:rStyle w:val="InternetLink"/>
                  <w:rFonts w:ascii="Times New Roman;serif" w:hAnsi="Times New Roman;serif"/>
                  <w:b w:val="false"/>
                  <w:color w:val="0000FF"/>
                  <w:sz w:val="20"/>
                  <w:u w:val="singl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23758e6ac9a941af9b320e2e9eb1833e_55">
              <w:r>
                <w:rPr>
                  <w:rStyle w:val="InternetLink"/>
                  <w:rFonts w:ascii="Times New Roman;serif" w:hAnsi="Times New Roman;serif"/>
                  <w:b w:val="false"/>
                  <w:color w:val="0000FF"/>
                  <w:sz w:val="20"/>
                  <w:u w:val="single"/>
                </w:rPr>
                <w:t>1</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58">
              <w:r>
                <w:rPr>
                  <w:rStyle w:val="InternetLink"/>
                  <w:rFonts w:ascii="Times New Roman;serif" w:hAnsi="Times New Roman;serif"/>
                  <w:b w:val="false"/>
                  <w:color w:val="0000FF"/>
                  <w:sz w:val="20"/>
                  <w:u w:val="single"/>
                </w:rPr>
                <w:t>CAUTIONARY NOTE CONCERNING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58">
              <w:r>
                <w:rPr>
                  <w:rStyle w:val="InternetLink"/>
                  <w:rFonts w:ascii="Times New Roman;serif" w:hAnsi="Times New Roman;serif"/>
                  <w:b w:val="false"/>
                  <w:color w:val="0000FF"/>
                  <w:sz w:val="20"/>
                  <w:u w:val="single"/>
                </w:rPr>
                <w:t>2</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61">
              <w:r>
                <w:rPr>
                  <w:rStyle w:val="InternetLink"/>
                  <w:rFonts w:ascii="Times New Roman;serif" w:hAnsi="Times New Roman;serif"/>
                  <w:b w:val="false"/>
                  <w:color w:val="0000FF"/>
                  <w:sz w:val="20"/>
                  <w:u w:val="single"/>
                </w:rPr>
                <w:t>THE COMPANY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61">
              <w:r>
                <w:rPr>
                  <w:rStyle w:val="InternetLink"/>
                  <w:rFonts w:ascii="Times New Roman;serif" w:hAnsi="Times New Roman;serif"/>
                  <w:b w:val="false"/>
                  <w:color w:val="0000FF"/>
                  <w:sz w:val="20"/>
                  <w:u w:val="single"/>
                </w:rPr>
                <w:t>4</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64">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64">
              <w:r>
                <w:rPr>
                  <w:rStyle w:val="InternetLink"/>
                  <w:rFonts w:ascii="Times New Roman;serif" w:hAnsi="Times New Roman;serif"/>
                  <w:b w:val="false"/>
                  <w:color w:val="0000FF"/>
                  <w:sz w:val="20"/>
                  <w:u w:val="single"/>
                </w:rPr>
                <w:t>5</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67">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67">
              <w:r>
                <w:rPr>
                  <w:rStyle w:val="InternetLink"/>
                  <w:rFonts w:ascii="Times New Roman;serif" w:hAnsi="Times New Roman;serif"/>
                  <w:b w:val="false"/>
                  <w:color w:val="0000FF"/>
                  <w:sz w:val="20"/>
                  <w:u w:val="single"/>
                </w:rPr>
                <w:t>6</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70">
              <w:r>
                <w:rPr>
                  <w:rStyle w:val="InternetLink"/>
                  <w:rFonts w:ascii="Times New Roman;serif" w:hAnsi="Times New Roman;serif"/>
                  <w:b w:val="false"/>
                  <w:color w:val="0000FF"/>
                  <w:sz w:val="20"/>
                  <w:u w:val="single"/>
                </w:rPr>
                <w:t>SECURITIES WE MAY OFFER</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70">
              <w:r>
                <w:rPr>
                  <w:rStyle w:val="InternetLink"/>
                  <w:rFonts w:ascii="Times New Roman;serif" w:hAnsi="Times New Roman;serif"/>
                  <w:b w:val="false"/>
                  <w:color w:val="0000FF"/>
                  <w:sz w:val="20"/>
                  <w:u w:val="single"/>
                </w:rPr>
                <w:t>7</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73">
              <w:r>
                <w:rPr>
                  <w:rStyle w:val="InternetLink"/>
                  <w:rFonts w:ascii="Times New Roman;serif" w:hAnsi="Times New Roman;serif"/>
                  <w:b w:val="false"/>
                  <w:color w:val="0000FF"/>
                  <w:sz w:val="20"/>
                  <w:u w:val="single"/>
                </w:rPr>
                <w:t>DESCRIPTION OF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73">
              <w:r>
                <w:rPr>
                  <w:rStyle w:val="InternetLink"/>
                  <w:rFonts w:ascii="Times New Roman;serif" w:hAnsi="Times New Roman;serif"/>
                  <w:b w:val="false"/>
                  <w:color w:val="0000FF"/>
                  <w:sz w:val="20"/>
                  <w:u w:val="single"/>
                </w:rPr>
                <w:t>8</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76">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76">
              <w:r>
                <w:rPr>
                  <w:rStyle w:val="InternetLink"/>
                  <w:rFonts w:ascii="Times New Roman;serif" w:hAnsi="Times New Roman;serif"/>
                  <w:b w:val="false"/>
                  <w:color w:val="0000FF"/>
                  <w:sz w:val="20"/>
                  <w:u w:val="single"/>
                </w:rPr>
                <w:t>19</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79">
              <w:r>
                <w:rPr>
                  <w:rStyle w:val="InternetLink"/>
                  <w:rFonts w:ascii="Times New Roman;serif" w:hAnsi="Times New Roman;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79">
              <w:r>
                <w:rPr>
                  <w:rStyle w:val="InternetLink"/>
                  <w:rFonts w:ascii="Times New Roman;serif" w:hAnsi="Times New Roman;serif"/>
                  <w:b w:val="false"/>
                  <w:color w:val="0000FF"/>
                  <w:sz w:val="20"/>
                  <w:u w:val="single"/>
                </w:rPr>
                <w:t>21</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82">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82">
              <w:r>
                <w:rPr>
                  <w:rStyle w:val="InternetLink"/>
                  <w:rFonts w:ascii="Times New Roman;serif" w:hAnsi="Times New Roman;serif"/>
                  <w:b w:val="false"/>
                  <w:color w:val="0000FF"/>
                  <w:sz w:val="20"/>
                  <w:u w:val="single"/>
                </w:rPr>
                <w:t>21</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85">
              <w:r>
                <w:rPr>
                  <w:rStyle w:val="InternetLink"/>
                  <w:rFonts w:ascii="Times New Roman;serif" w:hAnsi="Times New Roman;serif"/>
                  <w:b w:val="false"/>
                  <w:color w:val="0000FF"/>
                  <w:sz w:val="20"/>
                  <w:u w:val="single"/>
                </w:rPr>
                <w:t>WHERE YOU CAN FIND MORE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85">
              <w:r>
                <w:rPr>
                  <w:rStyle w:val="InternetLink"/>
                  <w:rFonts w:ascii="Times New Roman;serif" w:hAnsi="Times New Roman;serif"/>
                  <w:b w:val="false"/>
                  <w:color w:val="0000FF"/>
                  <w:sz w:val="20"/>
                  <w:u w:val="single"/>
                </w:rPr>
                <w:t>21</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758e6ac9a941af9b320e2e9eb1833e_88">
              <w:r>
                <w:rPr>
                  <w:rStyle w:val="InternetLink"/>
                  <w:rFonts w:ascii="Times New Roman;serif" w:hAnsi="Times New Roman;serif"/>
                  <w:b w:val="false"/>
                  <w:color w:val="0000FF"/>
                  <w:sz w:val="20"/>
                  <w:u w:val="single"/>
                </w:rPr>
                <w:t>INCORPORATION OF CERTAIN INFORMATION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758e6ac9a941af9b320e2e9eb1833e_88">
              <w:r>
                <w:rPr>
                  <w:rStyle w:val="InternetLink"/>
                  <w:rFonts w:ascii="Times New Roman;serif" w:hAnsi="Times New Roman;serif"/>
                  <w:b w:val="false"/>
                  <w:color w:val="0000FF"/>
                  <w:sz w:val="20"/>
                  <w:u w:val="single"/>
                </w:rPr>
                <w:t>22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ABOUT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is a part of an automatic shelf registration statement on Form S-3ASR that we filed with the Securities and Exchange Commission (the “SEC” or the “Commission”) as a “well-known seasoned issuer,” as defined in Rule 405 under the Securities Act of 1933, as amended (the “Securities Act”), utilizing a “shelf” registration process. Under this shelf registration process, we may sell any combination of the securities described in this prospectus in one or more offerings. This prospectus provides you with a general description of the securities we may offer.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carefully read both this prospectus and any prospectus supplement together with additional information under the headings “Where You Can Find More Information” and “Incorporation of Certain Information by Reference.”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this prospectus, unless the context otherwise requires, the terms “Spyre,” “Aeglea BioTherapeutics, Inc.,” the “Company,” “we,” “us,” and “our” refer to Spyre Therapeutics, Inc., a Delaware corporation, and its consolidated subsidiaries taken as a whole.</w:t>
      </w:r>
    </w:p>
    <w:p>
      <w:pPr>
        <w:pStyle w:val="TextBody"/>
        <w:bidi w:val="0"/>
        <w:spacing w:lineRule="auto" w:line="288" w:before="0" w:after="180"/>
        <w:jc w:val="left"/>
        <w:rPr>
          <w:color w:val="000000"/>
        </w:rPr>
      </w:pPr>
      <w:r>
        <w:rPr>
          <w:color w:val="000000"/>
        </w:rPr>
        <w:t>“</w:t>
      </w:r>
      <w:r>
        <w:rPr>
          <w:rFonts w:ascii="Times New Roman;serif" w:hAnsi="Times New Roman;serif"/>
          <w:b w:val="false"/>
          <w:color w:val="000000"/>
          <w:sz w:val="20"/>
        </w:rPr>
        <w:t xml:space="preserve">Spyre” and all product candidate names are our common law trademarks. This prospectus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 Solely for convenience, trademarks and trade names referred to in this prospectus may appear without the ® or ™ symbols.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references to “our product candidates,” “our programs” and “our pipeline” in this prospectus refer to the research programs with respect to which we have signed a license agreement for, exercised the option to acquire intellectual property license rights to or have the option to acquire intellectual property license rights to pursuant to that certain antibody discovery and option agreement, dated May 25, 2023, and subsequently amended and restated on September 29, 2023 and May 14, 2024, by and among us, Paragon Therapeutics, Inc. and Parapyre Holding LLC.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Please be advised that on September 8, 2023, we effected a reverse stock split of our common stock at a ratio of 1-for-25 (the “Reverse Split”). Except as indicated otherwise, all share numbers related to our common stock disclosed in this prospectus have been adjusted on a post-Reverse Split basis. In addition, on November 28, 2023, we changed our name from “Aeglea BioTherapeutics, Inc.” to “Spyre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CAUTIONARY NOTE CONCERNING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contains “forward-looking statements” within the meaning of Section 27A of the Securities Act and Section 21E of the Securities Exchange Act of 1934, as amended (the “Exchange Act”).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statements contained in this prospectus, other than statements of historical fact, including, without limitation, statements regarding any future payouts under our contingent value rights issued in connection with the acquisition of Spyre Therapeutics, Inc. (“Pre-Merger Spyre”) (the “Asset Acquisition”); our future results of operations and financial position; our business strategy, including our ability to elevate the standard in immunology by delivering more complete disease control, greater durability, and a simpler treatment experience for patients and to develop best-in-class therapeutics for inflammatory bowel disease (“IBD”), rheumatoid arthritis (RA), psoriatic arthritis (PsA), axial spondyloarthritis (axSpA) and other immune-mediated diseases that meaningfully improve both efficacy and convenience compared to today’s standard of care and our ability to develop first-in-class therapeutics for rheumatic diseases (“RD”); our plans to expand the development of our product candidates, including SPY002, to indications beyond IBD and RD; our ability to achieve the expected benefits or opportunities with respect to our product candidates, including their potential commercialization; the potential consistency of the SPY001, SPY002, SPY072 and SPY003 Phase 1 trial and Phase 2 trial final data readouts with previously disclosed data for our programs; expectations regarding the drug delivery of our product candidates, including in the form of a subcutaneous injection; the planned dosing regimen for SPY001, SPY002, SPY072 and SPY003, and combinations thereof, including the potential for a Q3M-Q6M dosing profile and the potential for such dosing profile to be the leading product profile in IBD and RD; our non-clinical and clinical development activities, including our plans for and timing of cohort initiation and data readouts for the ongoing SKYWAY Phase 2 basket trial and SKYLINE Phase 2 platform trial, enrollment of clinical trials, and the inclusion of each rational combination in Part B of the SKYLINE Phase 2 platform trial and the number of data readouts expected to be delivered in 2026 and 2027; estimated market sizes and potential growth opportunities; the potential efficacy, tolerability, convenience, commercial viability and safety profile of our product candidates, including in combinations; the potential therapeutic benefits and economic value of our product candidates as monotherapies or in combinations and their extended half-life; our ability to achieve the expected benefits or opportunities and related timing with respect to the Asset Acquisition; the expected impact of macroeconomic conditions, including inflation, increasing interest rates and volatile market conditions, and current or potential bank failures, as well as global events, including the ongoing military conflict between the United States and Iran and Ukraine and Russia, the conflicts in the Middle East, and geopolitical tensions between the United States and other countries, including China, on our operations, and the implementation of changes in law, tariffs, sanctions, export or import controls, and other government measures that could impact our business operations, including restricting international trade by the United States, China or other countries,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Factors that might cause such a difference include the risks set forth under the heading “Risk Factors” in this prospectus and in the documents incorporated by reference in this prospectus and the applicable prospectus supplement. You should evaluate all forward-looking statements made in this prospectus in the context of these risks and uncertainties. We caution you that the risks, uncertainties and other factors referred to in this prospectus may not contain all of the risks, uncertainties and other factors that may affect our future results and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statements that “we believe” and similar statements reflect our beliefs and opinions on the relevant subject. These statements are based on information available to us as of the date of this prospectus. While we believe </w:t>
      </w:r>
    </w:p>
    <w:p>
      <w:pPr>
        <w:pStyle w:val="TextBody"/>
        <w:bidi w:val="0"/>
        <w:spacing w:before="0" w:after="18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This prospectus and registration statement also contain or incorporate by reference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such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THE COMPANY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 clinical-stage biotechnology company committed to developing next-generation therapies that elevate the standard in immunology by delivering more complete disease control, greater durability, and a simpler treatment experience for patients. Our pipeline includes investigational extended half-life antibodies targeting α4β7, TL1A, and IL-23 in development as monotherapies and pair-wise combinations.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more information about our business, please see our most recent Annual Report on Form 10-K, as supplemented and updated by subsequent Quarterly Reports on Form 10-Q and Current Reports on Form 8-K that we have filed or will file with the SEC, and in other documents that are incorporated by reference into this prospectus.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Corporate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were formed as a Limited Liability Company (“LLC”) in Delaware on December 16, 2013 under the name Aeglea BioTherapeutics Holdings, LLC and were converted from a Delaware LLC to a Delaware corporation on March 10, 2015. On June 22, 2023, we completed the acquisition of Pre-Merger Spyre, and on November 27, 2023, we completed our corporate rebranding, changing our name to Spyre Therapeutics, Inc. </w:t>
      </w:r>
    </w:p>
    <w:p>
      <w:pPr>
        <w:pStyle w:val="TextBody"/>
        <w:bidi w:val="0"/>
        <w:spacing w:lineRule="auto" w:line="288" w:before="0" w:after="180"/>
        <w:jc w:val="left"/>
        <w:rPr/>
      </w:pPr>
      <w:r>
        <w:rPr>
          <w:rFonts w:ascii="Times New Roman;serif" w:hAnsi="Times New Roman;serif"/>
          <w:b w:val="false"/>
          <w:color w:val="000000"/>
          <w:sz w:val="20"/>
        </w:rPr>
        <w:t xml:space="preserve">Our principal executive offices are located at 221 Crescent Street, Building 23, Suite 105, Waltham, MA 02453 and our telephone number is (617) 651-5940. Our website is </w:t>
      </w:r>
      <w:r>
        <w:rPr>
          <w:rFonts w:ascii="Times New Roman;serif" w:hAnsi="Times New Roman;serif"/>
          <w:b w:val="false"/>
          <w:i/>
          <w:color w:val="000000"/>
          <w:sz w:val="20"/>
        </w:rPr>
        <w:t>www.spyre.com</w:t>
      </w:r>
      <w:r>
        <w:rPr>
          <w:rFonts w:ascii="Times New Roman;serif" w:hAnsi="Times New Roman;serif"/>
          <w:b w:val="false"/>
          <w:color w:val="000000"/>
          <w:sz w:val="20"/>
        </w:rPr>
        <w:t>. The information on, or that can be accessed through, our website is not part of this prospectus and is not incorporated by reference herein. We have included our website address in this prospectus solely as an inactive textual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Investing in our securities involves risks.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that are incorporated by reference into this prospectus, as well as the risk factors and other information contained in or incorporated by reference into any accompanying prospectus supplement, before investing in any of our securities. Our business, financial condition, results of operations, cash flows or prospects could be materially and adversely affected by any of these risks. The risks and uncertainties described in the documents incorporated by reference herein are not the only risks and uncertainties that you may face.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more information about our SEC filings, please see “Where You Can Find More Information” and “Incorporation of Certain Information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USE OF PROCEEDS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retain broad discretion over the use of the net proceeds from the sale of the securities offered hereby. Unless otherwise specified in a prospectus supplement accompanying this prospectus, the net proceeds from the sale by us of the securities to which this prospectus relates will be used to continue to advance our programs in IBD and RD, including to fund preclinical studies, clinical trials and manufacturing in support of our antibody programs. We also intend to use a portion of the net proceeds to further develop and support our general infrastructure. Finally, we may use a portion of the net proceeds to in-license, acquire, or invest in additional businesses, technologies, products, or assets, and to fund the development of such new in-licensed or acquired technologies and products. Any remaining proceeds will be used for other ongoing research and development, working capital and other general corporate purposes.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expected use of proceeds from the sale of the securities offered hereby represents our current intentions based on our present plans and business condition. As of the date of this prospectus, we cannot predict with certainty all of the particular uses for the proceeds to be received from the sale of the securities offered hereby or the amounts that we will actually spend on the uses set forth above.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Pending the use of the net proceeds, we may invest the proceeds in interest-bearing, investment-grade securities, certificates of deposit, money market funds or government securities. When we offer and sell the securities to which this prospectus relates, the prospectus supplement related to such offering will set forth our intended use of the proceeds, if any, received from the sale of such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SECURITIES WE MAY OFFER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contains summary descriptions of the securities we may offer from time to time. These summary descriptions are not meant to be complete descriptions of each security. The particular terms of any security will be described in the applicable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DESCRIPTION OF SECURITIES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Capital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the material terms of our capital stock, as well as other material terms of our second amended and restated certificate of incorporation (as amended from time to time, our “Certificate of Incorporation”) and our amended and restated bylaws (as amended from time to time, our “Bylaws”) and certain provisions of Delaware law. This summary does not purport to be complete and is qualified in its entirety by the provisions of our Certificate of Incorporation and our Bylaws. For more information on how you can obtain copies of our Certificate of Incorporation and our Bylaws, see the heading “Where You Can Find More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authorized capital stock consists of 400,000,000 shares of common stock, $0.0001 par value per share, and 10,000,000 shares of preferred stock, $0.0001 par value per share, of which 1,086,341 shares have been designated as Series A Non-Voting Convertible Preferred Stock, $0.0001 par value per share (“Series A Preferred Stock”), and 271,625 shares have been designated as Series B Non-Voting Convertible Preferred Stock, $0.0001 par value per share (“Series B Preferred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24, 2026, there were 87,936,477 shares of our common stock, 346,045 shares of Series A Preferred Stock and no shares of Series B Preferred Stock outstanding.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authorizes the issuance of up to 400,000,000 shares of common stock. All outstanding shares of common stock are validly issued, fully paid and nonassessable.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Dividend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Voting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Holders of our common stock are entitled to one vote for each share held on all matters submitted to a vote of stockholders. We have not provided for cumulative voting for the election of directors in our Certificate of Incorporation. Accordingly, pursuant to our Certificate of Incorporation, holders of a majority of the shares of our common stock are able to elect all of our directors. Our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 preemptive or similar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not entitled to preemptive rights, and is not subject to conversion, redemption or sinking fund provisions.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Right to receive liquidation distributions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our Certificate of Incorporation, our board of directors is authorized, subject to limitations prescribed by Delaware law, to issue up to 10,000,000 shares of preferred stock in one or more series, to establish </w:t>
      </w:r>
    </w:p>
    <w:p>
      <w:pPr>
        <w:pStyle w:val="TextBody"/>
        <w:bidi w:val="0"/>
        <w:spacing w:before="0" w:after="18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from time to time the number of shares to be included in each series and to fix the designation, powers, preferences and rights of the shares of each series and any of their qualifications, limitations or restrictions, in each case without further vote or action by our stockholders. Subject to any certificates of designation,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Anti-Takeover Provisions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provisions of Delaware law, our Certificate of Incorporation and our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Delaware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subject to the provisions of Section 203 of the Delaware General Corporation Law (the “DGCL”)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prior to the date of the transaction, the board of directors of the corporation approved either the business combination or the transaction that resulted in the stockholder becoming an interested stockholder;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upon completion of the transaction that resulted in the stockholder becoming an interested stockholder, the interested stockholder owned at least 85% of the voting stock of the corporation outstanding upon consummation of the transaction,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Section 203 defines a “business combination” to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merger or consolidation involving the corporation and the interested stockholder;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sale, transfer, pledge or other disposition involving the interested stockholder of 10% or more of the assets of the corporation;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subject to exceptions, any transaction that results in the issuance or transfer by the corporation of any stock of the corporation to the interested stockholder;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transaction involving the corporation that has the effect of increasing the proportionate share of the stock of any class or series of the corporation beneficially owned by the interested stockholder; and</w:t>
      </w:r>
    </w:p>
    <w:p>
      <w:pPr>
        <w:pStyle w:val="TextBody"/>
        <w:bidi w:val="0"/>
        <w:spacing w:before="0" w:after="18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receipt by the interested stockholder of the benefit of any loans, advances, guarantees, pledges or other financial benefits provided by or through the corporation.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Certificate of Incorporation and Bylaw Provisions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and our Bylaws include a number of provisions that could deter hostile takeovers or delay or prevent changes in control of our company,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Board of Directors vacancies</w:t>
      </w:r>
      <w:r>
        <w:rPr>
          <w:rFonts w:ascii="Times New Roman;serif" w:hAnsi="Times New Roman;serif"/>
          <w:b w:val="false"/>
          <w:color w:val="000000"/>
          <w:sz w:val="20"/>
        </w:rPr>
        <w:t>. Our Certificate of Incorporation and Bylaws authorize our board of directors to fill vacant directorships, including newly created seats unless the board of directors determines that any such vacancies shall be filled by the stockholders. In addition, the number of directors constituting our board of directors is permitted to be set only by a resolution adopted by a majority vote of our entire board of directors. These provisions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Classified board</w:t>
      </w:r>
      <w:r>
        <w:rPr>
          <w:rFonts w:ascii="Times New Roman;serif" w:hAnsi="Times New Roman;serif"/>
          <w:b w:val="false"/>
          <w:color w:val="000000"/>
          <w:sz w:val="20"/>
        </w:rPr>
        <w:t>. Our Certificate of Incorporation provides that our board is classified into 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Stockholder action; special meetings of stockholders</w:t>
      </w:r>
      <w:r>
        <w:rPr>
          <w:rFonts w:ascii="Times New Roman;serif" w:hAnsi="Times New Roman;serif"/>
          <w:b w:val="false"/>
          <w:color w:val="000000"/>
          <w:sz w:val="20"/>
        </w:rPr>
        <w:t>. Our Certificate of Incorporation and Bylaws provide that our stockholders may not take action by written consent, but may only take action at annual or special meetings of our stockholders. As a result, a holder controlling a majority of our capital stock would not be able to amend our Bylaws or remove directors without holding a meeting of our stockholders called in accordance with our Bylaws. Further, our Certificate of Incorporation and Bylaws provide that special meetings of our stockholders may be called only by a majority of our entire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Advance notice requirements for stockholder proposals and director nominations</w:t>
      </w:r>
      <w:r>
        <w:rPr>
          <w:rFonts w:ascii="Times New Roman;serif" w:hAnsi="Times New Roman;serif"/>
          <w:b w:val="false"/>
          <w:color w:val="000000"/>
          <w:sz w:val="20"/>
        </w:rPr>
        <w:t>. Our Bylaws provide advance notice procedures for stockholders seeking to bring business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No cumulative voting</w:t>
      </w:r>
      <w:r>
        <w:rPr>
          <w:rFonts w:ascii="Times New Roman;serif" w:hAnsi="Times New Roman;serif"/>
          <w:b w:val="false"/>
          <w:color w:val="000000"/>
          <w:sz w:val="20"/>
        </w:rPr>
        <w:t>. The DGCL provides that stockholders are not entitled to the right to cumulate votes in the election of directors unless a corporation’s certificate of incorporation provides otherwise. Our Certificate of Incorporation and Bylaws do not provide for cumulative voting.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Directors removed only for cause</w:t>
      </w:r>
      <w:r>
        <w:rPr>
          <w:rFonts w:ascii="Times New Roman;serif" w:hAnsi="Times New Roman;serif"/>
          <w:b w:val="false"/>
          <w:color w:val="000000"/>
          <w:sz w:val="20"/>
        </w:rPr>
        <w:t>. Our Certificate of Incorporation provides that stockholders may remove directors only for cause.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Amendment of charter provisions</w:t>
      </w:r>
      <w:r>
        <w:rPr>
          <w:rFonts w:ascii="Times New Roman;serif" w:hAnsi="Times New Roman;serif"/>
          <w:b w:val="false"/>
          <w:color w:val="000000"/>
          <w:sz w:val="20"/>
        </w:rPr>
        <w:t xml:space="preserve">. Any amendment of the above provisions in our Certificate of Incorporation requires approval by holders of at least two-thirds of our outstanding common stock, </w:t>
      </w:r>
    </w:p>
    <w:p>
      <w:pPr>
        <w:pStyle w:val="TextBody"/>
        <w:bidi w:val="0"/>
        <w:spacing w:before="0" w:after="18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provided that if two-thirds of our entire board of directors approves such an amendment, then only the approval of a majority of holders is required.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Issuance of preferred stock</w:t>
      </w:r>
      <w:r>
        <w:rPr>
          <w:rFonts w:ascii="Times New Roman;serif" w:hAnsi="Times New Roman;serif"/>
          <w:b w:val="false"/>
          <w:color w:val="000000"/>
          <w:sz w:val="20"/>
        </w:rPr>
        <w:t>. Our board of directors has the authority, without further action by the stockholders, to issue up to 10,000,000 shares of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merger, tender offer, proxy contest or other means.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Choice of forum</w:t>
      </w:r>
      <w:r>
        <w:rPr>
          <w:rFonts w:ascii="Times New Roman;serif" w:hAnsi="Times New Roman;serif"/>
          <w:b w:val="false"/>
          <w:color w:val="000000"/>
          <w:sz w:val="20"/>
        </w:rPr>
        <w:t>. 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In addition, our Bylaws also provide that the federal district courts of the United States is the exclusive forum for the resolution of any complaint asserting a cause of action arising under the Securities Act. These choice of forum provisions will not apply to claims brought to enforce a duty or liability created by the Exchange 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Series A Preferred Stock veto right</w:t>
      </w:r>
      <w:r>
        <w:rPr>
          <w:rFonts w:ascii="Times New Roman;serif" w:hAnsi="Times New Roman;serif"/>
          <w:b w:val="false"/>
          <w:color w:val="000000"/>
          <w:sz w:val="20"/>
        </w:rPr>
        <w:t>. Pursuant to our Certificate of Designation of Preferences, Rights and Limitations of Series A Non-Voting Convertible Preferred Stock (the “Series A Certificate of Designation”), we may not, without the affirmative vote of the holders of a majority of the then outstanding shares of our Series A Preferred Stock, while at least 30% of the originally issued Series A Preferred Stock remains issued and outstanding, consummate any Fundamental Transaction (as defined in the Series A Certificate of Designation) or any merger, consolidation, stock sale or other business combination in which our stockholders immediately before such transaction do not hold at least a majority of our capital stock immediately after such transaction.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transfer agent and registrar for our common stock and preferred stock is Equiniti Trust Company, LLC. The transfer agent’s address is 6201 15th Avenue, Brooklyn, New York 11219, and its telephone number is (800) 937-5449.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Exchange Listing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under the symbol “SYRE.”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paragraphs below describe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 You should read the actual indenture if you do not fully understand a term or the way we use it in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issue debt securities at a discount from their principal amount, then, for purposes of calculating the aggregate initial offering price of the offered debt securities issued under this prospectus, we will include only the initial offering price of the debt securities and not the principal amount of the debt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summarized below the material provisions of the indenture, or indicated which material provisions will be described in the related prospectus supplement. The prospectus supplement relating to any particular debt securities offered will describe the specific terms of the debt securities, which may be in addition to or different from the general terms summarized in this prospectus. We have included the form of the indenture as an exhibit to our registration statement of which this prospectus is a part, and it is incorporated into this prospectus by reference. Because the summary in this prospectus and in any prospectus supplement does not contain all of the information </w:t>
      </w:r>
    </w:p>
    <w:p>
      <w:pPr>
        <w:pStyle w:val="TextBody"/>
        <w:bidi w:val="0"/>
        <w:spacing w:before="0" w:after="18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that you may find useful, you should read the documents relating to the debt securities that are described in this prospectus or in any applicable prospectus supplement. Please read “Where You Can Find More Information” in this prospectus to find out how you can obtain a copy of those documents. References below to an “indenture” are references to the indenture, as supplemented, under which a particular series of debt securities is issued. As used under this heading, the term “debt securities” includes the debt securities being offered by this prospectus and all other debt securities issued by us under the indenture.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does not limit the amount of debt securities that we may issue;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allows us to issue debt securities in one or more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does not require us to issue all of the debt securities of a series at the same time;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allows us to reopen a series to issue additional debt securities without the consent of the holders of the debt securities of such series.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prospectus supplement for each offering of debt securities will provide the following terms, where applicable: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title of the debt securities and whether they are senior, senior subordinated or subordinated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aggregate principal amount of the debt securities being offered and any limit on their aggregate principal amount, and, if the series is to be issued at a discount from its face amount, the method of computing the accretion of such discount;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price at which the debt securities will be issued, expressed as a percentage of the principal and, if other than the full principal amount thereof, the portion of the principal amount thereof payable upon declaration of acceleration of the maturity thereof or, if applicable, the portion of the principal amount of such debt securities that is convertible into common stock or preferred stock or the method by which any such portion shall be determined;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convertible, the terms on which such debt securities are convertible, including the initial conversion price or rate or the method of calculation, how and when the conversion price or exchange ratio may be adjusted, whether conversion or exchange is mandatory, at the option of the holder or at our option, the conversion or exchange period, and any other provision in relation thereto, and any applicable limitations on the ownership or transferability of common stock or preferred stock received on conversion;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or dates, or the method for determining the date or dates, on which the principal of the debt securities will be payable;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fixed or variable interest rate or rates of the debt securities, or the method by which the interest rate or rates is determined;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or dates, or the method for determining the date or dates, from which interest will accrue;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dates on which interest will be payable;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record dates for interest payment dates, or the method by which we will determine those 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persons to whom interest will be payable;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basis upon which interest will be calculated if other than that of a 360-day year of twelve 30-day months;</w:t>
      </w:r>
    </w:p>
    <w:p>
      <w:pPr>
        <w:pStyle w:val="TextBody"/>
        <w:bidi w:val="0"/>
        <w:spacing w:before="0" w:after="18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collateral securing the performance of our obligations under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place or places where the principal of, premium, if any, and interest on, the debt securities will be payable;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where the debt securities may be surrendered for registration of transfer or conversion or exchange;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where notices or demands to or upon us in respect of the debt securities and the applicable indenture may be served;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provisions regarding our right to redeem or purchase debt securities or the right of holders to require us to redeem or purchase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right or obligation we have to redeem, repay or purchase the debt securities pursuant to any sinking fund or analogous provision;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currency or currencies (including any composite currency) in which the debt securities are denominated and payable if other than United States dollars, and the currency or currencies (including any composite currency) in which principal, premium, if any, and interest, if any, will be payable, and if such payments may be made in a currency other than that in which the debt securities are denominated, the manner for determining such payments, including the time and manner of determining the exchange rate between the currency in which such securities are denominated and the currency in which such securities or any of them may be paid, and any additions to, modifications of or deletions from the terms of the debt securities to provide for or to facilitate the issuance of debt securities denominated or payable in a currency other than U.S. dollars;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amount of payments of principal of, premium, if any, or interest on, the debt securities may be determined according to an index, formula or other method and how such amounts will be determined;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debt securities will be in registered form, bearer form or both, and the terms of these forms;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debt securities will be issued in whole or in part in the form of a global security and, if applicable, the identity of the depositary for such global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provision for electronic issuance of the debt securities or issuance of the debt securities in uncertificated 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and upon what terms the debt securities of such series may be defeased or discharged, if different from the provisions set forth in the indenture for the series to which the supplemental indenture or authorizing resolution relates;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provisions granting special rights to holders of securities upon the occurrence of such events as specified in the applicable prospectus supplement;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deletions from, modifications of, or additions to our events of default or covenants or other provisions set forth in the indenture for the series to which the supplemental indenture or authorizing resolution relates;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material terms of the debt securities, which may be different from the terms set forth in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debt securities at a discount below their principal amount and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 </w:t>
      </w:r>
    </w:p>
    <w:p>
      <w:pPr>
        <w:pStyle w:val="TextBody"/>
        <w:bidi w:val="0"/>
        <w:spacing w:before="0" w:after="18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Neither the DGCL nor our governing instruments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applicable prospectus supplement will also describe any material covenants to which a series of debt securities will be subject and the applicability of those covenants to any of our subsidiaries to be restricted thereby, which are referred to herein as “restricted subsidiaries.” The applicable prospectus supplement will also describe provisions for restricted subsidiaries to cease to be restricted by those covenants.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Events of Default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Unless the applicable prospectus supplement states otherwise, when we refer to “events of default” as defined in the indentures with respect to any series of debt securities, we mean: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failure to pay interest on any debt security of such series when the same becomes due and payable and the continuance of any such failure for a period of 30 days;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failure to pay the principal or premium of any debt security of such series when the same becomes due and payable at maturity, upon acceleration, redemption or otherwise;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failure or the failure of any restricted subsidiary to comply with any of its agreements or covenants in, or provisions of, the debt securities of such series or the indenture (as they relate thereto) and such failure continues for a period of 60 days after our receipt of notice of the default from the trustee or from the holders of at least 25 percent in aggregate principal amount of the then outstanding debt securities of that series (except in the case of a default with respect to the provisions of the indenture regarding the consolidation, merger, sale, lease, conveyance or other disposition of all or substantially all of the assets of us (or any other provision specified in the applicable supplemental indenture or authorizing resolution), which will constitute an event of default with notice but without passage of time);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certain events of bankruptcy, insolvency or reorganization occur with respect to us or any restricted subsidiary of ours that is a significant subsidiary (as defined in the indenture).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an event of default occurs and is continuing with respect to debt securities of any series outstanding, then the trustee or the holders of 25% or more in principal amount of the outstanding debt securities of that series will have the right to declare the principal amount of all the debt securities of that series to be due and payable immediately. However, the holders of at least a majority in principal amount of outstanding debt securities of such series may rescind and annul such declaration and its consequences, except an acceleration due to nonpayment of principal or interest on such series, if the rescission would not conflict with any judgment or decree and if all existing events of default with respect to such series have been cured or waived.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also provides that the holders of at least a majority in principal amount of the outstanding debt securities of any series, by notice to the trustee, may, on behalf of all holders, waive any existing default and its consequences with respect to such series of debt securities, other than any event of default in payment of principal or interest.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will require the trustee to give notice to the holders of debt securities within 90 days after the trustee obtains knowledge of a default that has occurred and is continuing. However, the trustee may withhold notice to the holders of any series of debt securities of any default, except a default in payment of principal or interest, if any, with respect to such series of debt securities, if the trustee considers it in the interest of the holders of such series of debt securities to do so.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holders of a majority of the outstanding principal amount of the debt securities of any series will have the right to direct the time, method and place of conducting any proceedings for any remedy available to the trustee with respect to such series, subject to limitations specified in the indenture. </w:t>
      </w:r>
    </w:p>
    <w:p>
      <w:pPr>
        <w:pStyle w:val="TextBody"/>
        <w:bidi w:val="0"/>
        <w:spacing w:before="0" w:after="18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Amendment, Supplement and Waiver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Without notice to or the consent of any holder, we and the trustee may amend or supplement the indenture or the debt securities of a series: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cure any ambiguity, omission, defect or inconsistency;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the provisions of the indenture regarding the consolidation, merger, sale, lease, conveyance or other disposition of all or substantially all of our assets;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provide that specific provisions of the indenture shall not apply to a series of debt securities not previously issued or to make a change to specific provisions of the indenture that only applies to any series of debt securities not previously issued or to additional debt securities of a series not previously issued;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create a series and establish its terms;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provide for uncertificated debt securities in addition to or in place of certificated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release a guarantor in respect of any series which, in accordance with the terms of the indenture applicable to such series, ceases to be liable in respect of its guarantee;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add a guarantor subsidiary in respect of any series of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secure any series of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add to our covenants for the benefit of the holders or surrender any right or power conferred upon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appoint a successor trustee with respect to the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requirements of the SEC in order to effect or maintain the qualification of the indenture under the Trust Indenture Act of 1939, as amended (the “Trust Indenture 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make any change that does not adversely affect the rights of holders;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conform the provisions of the indenture to the final offering document in respect of any series of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will provide that we and the trustee may amend or supplement any provision of the debt securities of a series or of the indenture relating to such series with the written consent of the holders of at least a majority in principal amount of the outstanding debt securities of such series. However, without the consent of each holder of a debt security the terms of which are directly amended, supplemented or waived, an amendment, supplement or waiver may not: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amount of debt securities of such series whose holders must consent to an amendment, supplement or waiver;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rate of or extend the time for payment of interest, including defaulted interest;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principal of or extend the fixed maturity of any debt security or alter the provisions with respect to redemptions or mandatory offers to repurchase debt securities of a series in a manner adverse to 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make any change that adversely affects any right of a holder to convert or exchange any debt security into or for shares of our common stock or other securities, cash or other property in accordance with the terms of such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modify the ranking or priority of the debt securities of the relevant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release any guarantor of any series from any of its obligations under its guarantee or the indenture otherwise than in accordance with the terms of the indenture;</w:t>
      </w:r>
    </w:p>
    <w:p>
      <w:pPr>
        <w:pStyle w:val="TextBody"/>
        <w:bidi w:val="0"/>
        <w:spacing w:before="0" w:after="18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make any change to any provision of the indenture relating to the waiver of existing defaults, the rights of holders to receive payment of principal and interest on the debt securities, or to the provisions regarding amending or supplementing the indenture or the debt securities of a particular series with the written consent of the holders of such series, except to increase the percentage required for modification or waiver or to provide for consent of each affected holder of debt securities of such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waive a continuing default or event of default in the payment of principal of or interest on the debt securities;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make any debt security payable at a place or in money other than that stated in the debt security, or impair the right of any holder of a debt security to bring suit as permitted by the indenture.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holders of a majority in aggregate principal amount of the outstanding debt securities of such series may, on behalf of all holders of debt securities of that series, waive any existing default under, or compliance with, any provision of the debt securities of a particular series or of the indenture relating to a particular series of debt securities, other than any event of default in payment of interest or principal.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Defeasance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will permit us to terminate all our respective obligations under the indenture as they relate to any particular series of debt securities, other than the obligation to pay interest, if any, on and the principal of the debt securities of such series and certain other obligations, at any time by: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depositing in trust with the trustee, under an irrevocable trust agreement, money or government obligations in an amount sufficient to pay principal of and interest, if any, on the debt securities of such series to their maturity or redemption;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complying with other conditions, including delivery to the trustee of an opinion of counsel to the effect that holders will not recognize income, gain or loss for federal income tax purposes as a result of our exercise of such right and will be subject to federal income tax on the same amount and in the same manner and at the same times as would have been the case otherwise.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will also permit us to terminate all of our respective obligations under the indenture as they relate to any particular series of debt securities, including the obligations to pay interest, if any, on and the principal of the debt securities of such series and certain other obligations, at any time by: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depositing in trust with the trustee, under an irrevocable trust agreement, money or government obligations in an amount sufficient to pay principal and interest, if any, on the debt securities of such series to their maturity or redemption;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complying with other conditions, including delivery to the trustee of an opinion of counsel to the effect that (A) we have received from, or there has been published by, the Internal Revenue Service a ruling, or (B) since the date such series of debt securities were originally issued, there has been a change in the applicable federal income tax law, in either case to the effect that, and based thereon such opinion of counsel shall state that, holders will not recognize income, gain or loss for federal income tax purposes as a result of our exercise of such right and will be subject to federal income tax on the same amount and in the same manner and at the same times as would have been the case otherwise.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indenture will permit us to terminate substantially all our respective obligations under the indenture as they relate to a particular series of debt securities by depositing with the trustee money or government obligations sufficient to pay all principal and interest on such series at its maturity or redemption date if the debt securities of such series will become due and payable at maturity within one year or are to be called for redemption within one year of the deposit. </w:t>
      </w:r>
    </w:p>
    <w:p>
      <w:pPr>
        <w:pStyle w:val="TextBody"/>
        <w:bidi w:val="0"/>
        <w:spacing w:before="0" w:after="18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Transfer and Exchange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holder will be able to transfer or exchange debt securities only in accordance with the indenture. The registrar may require a holder, among other things, to furnish appropriate endorsements and transfer documents, and to pay any taxes and fees required by law or permitted by the indenture.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Concerning the Trustee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will contain limitations on the rights of the trustee, should it become our creditor, to obtain payment of claims in specified cases or to realize on property received in respect of any such claim as security or otherwise. The indenture will permit the trustee to engage in other transactions; however, if it acquires any conflicting interest, it must eliminate such conflict or resign.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will provide that in case an event of default occurs and is not cured, the trustee will be required, in the exercise of its power, to use the degree of care of a prudent person in similar circumstances in the conduct of such person’s own affairs. The trustee shall be under no obligation to exercise any of the rights or powers vested in it by the indenture at the request or direction of any of the holders pursuant to the indenture, unless such holders shall have offered to the trustee security or indemnity satisfactory to the trustee against the costs, expenses and liabilities that might be incurred by it in compliance with such request or direction.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No Recourse Against Others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will provide that there is no recourse under any obligation, covenant or agreement in the applicable indenture or with respect to any debt security against any of our or our successor’s past, present or future stockholders, employees, officers or directors.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Governing Law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laws of the State of New York will govern the indenture and the debt securities.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warrants for the purchase of common stock, preferred stock and/or debt securities in one or more series, from time to time. We may issue warrants independently or together with common stock, preferred stock and/or debt securities, and the warrants may be attached to or separate from those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issue warrants, they will be evidenced by warrant agreements or warrant certificates issued under one or more warrant agreements, which are contracts between us and an agent for the holders of the warrants. We urge you to read the prospectus supplement related to any series of warrants we may offer, as well as the complete warrant agreement and warrant certificate that contain the terms of the warrants. If we issue warrants, forms of warrant agreements and warrant certificates relating to warrants for the purchase of common stock, preferred stock and debt securities will be incorporated by reference into the registration statement of which this prospectus is a part from reports we would subsequently file with the SEC.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Units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w:t>
      </w:r>
    </w:p>
    <w:p>
      <w:pPr>
        <w:pStyle w:val="TextBody"/>
        <w:bidi w:val="0"/>
        <w:spacing w:before="0" w:after="18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registration statement of which this prospectus is a part, or will incorporate by reference from another report that we file with the SEC, the form of each unit agreement relating to units offered under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offer any units, certain terms of that series of units will be described in the applicable prospectus supplement, including, without limitation, the following, as applicable: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title of the series of units;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identification and description of the separate constituent securities comprising the units;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price or prices at which the units will be issued;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if any, on and after which the constituent securities comprising the units will be separately transferable;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discussion of certain United States federal income tax considerations applicable to the units;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terms of the units and their constituent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PLAN OF DISTRIBUTION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a fixed price or prices, which may be changed;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market prices prevailing at the time of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prices related to such prevailing market prices;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negotiated prices.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sell equity securities covered by this registration statement in an “at the market offering” as defined in Rule 415(a)(4) under the Securities Act. Such offering may be made into an existing trading market for such securities in transactions at other than a fixed price, either: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or through the facilities of the Nasdaq Global Select Market or any other securities exchange or quotation or trading service on which such securities may be listed, quoted or traded at the time of sale; and/or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or through a market maker otherwise than on the Nasdaq Global Select Market or such other securities exchanges or quotation or trading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Such at the market offerings, if any, may be conducted by underwriters acting as principal or agent.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prospectus supplement or supplements (and any related free writing prospectus that we may authorize to be provided to you) will describe the terms of the offering of the securities, including, to the extent applicable: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name or names of any underwriters, dealers or agents,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purchase price of the securities and the proceeds we will receive from the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options under which underwriters may purchase additional securities from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agency fees or underwriting discounts and other items constituting agents’ or underwriters’ compensation;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public offering price;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discounts or concessions allowed or re-allowed or paid to dealers;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securities exchange or market on which the securities may be listed.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Only underwriters named in the prospectus supplement are underwriters of the securities offered by the prospectus supplement.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 </w:t>
      </w:r>
    </w:p>
    <w:p>
      <w:pPr>
        <w:pStyle w:val="TextBody"/>
        <w:bidi w:val="0"/>
        <w:spacing w:before="0" w:after="18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provide agents and underwriters with indemnification against civil liabilities related to offerings pursuant to this prospectus,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All securities we offer, other than our shares of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underwriters who are qualified market makers on the Nasdaq Global Select Market may engage in passive market making transactions in the securities on the Nasdaq Global Select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LEGAL MATTERS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Certain legal matters, including the legality of the securities offered, will be passed upon for us by Ropes &amp; Gray LLP, Boston, Massachusetts. Additional legal matters may be passed upon for us or any underwriters, dealers or agents, by counsel that we will name in the applicable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Spyre Therapeutics, Inc. as of December 31, 2025 and for the year then ended, and management’s assessment of the effectiveness of internal control over financial reporting as of December 31, 2025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as of December 31, 2024 and for each of the two years in the period ended December 31, 2024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WHERE YOU CAN FIND MORE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file annual, quarterly and special reports, proxy statements and other information with the SEC, and we have filed with the SEC a registration statement on Form S-3 under the Securities Act with respect to the securities offered by this prospectus. This prospectus, which forms part of the registration statement, does not contain all of the information included in the registration statement, including its exhibits and schedules. For further information about us and the securities described in this prospectus, you should refer to the registration statement, its exhibits and schedules and our reports, proxies, information statements and other information filed with the SEC. </w:t>
      </w:r>
    </w:p>
    <w:p>
      <w:pPr>
        <w:pStyle w:val="TextBody"/>
        <w:bidi w:val="0"/>
        <w:spacing w:lineRule="auto" w:line="288" w:before="0" w:after="180"/>
        <w:jc w:val="left"/>
        <w:rPr/>
      </w:pPr>
      <w:r>
        <w:rPr>
          <w:rFonts w:ascii="Times New Roman;serif" w:hAnsi="Times New Roman;serif"/>
          <w:b w:val="false"/>
          <w:color w:val="000000"/>
          <w:sz w:val="20"/>
        </w:rPr>
        <w:t xml:space="preserve">Our filings are available to the public on the Internet, through a database maintained by the SEC at </w:t>
      </w:r>
      <w:r>
        <w:rPr>
          <w:rFonts w:ascii="Times New Roman;serif" w:hAnsi="Times New Roman;serif"/>
          <w:b w:val="false"/>
          <w:i/>
          <w:color w:val="000000"/>
          <w:sz w:val="20"/>
        </w:rPr>
        <w:t>www.sec.gov</w:t>
      </w:r>
      <w:r>
        <w:rPr>
          <w:rFonts w:ascii="Times New Roman;serif" w:hAnsi="Times New Roman;serif"/>
          <w:b w:val="false"/>
          <w:color w:val="000000"/>
          <w:sz w:val="20"/>
        </w:rPr>
        <w:t xml:space="preserve">. We also maintain a website at </w:t>
      </w:r>
      <w:r>
        <w:rPr>
          <w:rFonts w:ascii="Times New Roman;serif" w:hAnsi="Times New Roman;serif"/>
          <w:b w:val="false"/>
          <w:i/>
          <w:color w:val="000000"/>
          <w:sz w:val="20"/>
        </w:rPr>
        <w:t>www.spyre.com</w:t>
      </w:r>
      <w:r>
        <w:rPr>
          <w:rFonts w:ascii="Times New Roman;serif" w:hAnsi="Times New Roman;serif"/>
          <w:b w:val="false"/>
          <w:color w:val="000000"/>
          <w:sz w:val="20"/>
        </w:rPr>
        <w:t>. We have included our website address for the information of prospective investors and do not intend it to be an active link to our website. Information contained on our website does not constitute a part of this prospectus or any applicable prospectus supplement (or any document incorporated by reference herein or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INCORPORATION OF CERTAIN INFORMATION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SEC allows us to incorporate by reference the information and reports we file with it, which means that we can disclose important information to you by referring you to those publicly available documents. The information incorporated by reference is an important part of this prospectus, and information that we file after the date hereof with the SEC will automatically update and supersede the information already incorporated by reference. We are incorporating by reference the documents listed below (in each case, other than portions of documents not deemed to be filed):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Annual Report on Form 10-K for the year ended December 31, 2025, filed with the SEC on </w:t>
      </w:r>
      <w:hyperlink r:id="rId18">
        <w:r>
          <w:rPr>
            <w:rStyle w:val="InternetLink"/>
            <w:rFonts w:ascii="Times New Roman;serif" w:hAnsi="Times New Roman;serif"/>
            <w:b w:val="false"/>
            <w:color w:val="0000FF"/>
            <w:sz w:val="20"/>
            <w:u w:val="single"/>
          </w:rPr>
          <w:t>February 19, 2026</w:t>
        </w:r>
      </w:hyperlink>
      <w:r>
        <w:rPr>
          <w:color w:val="000000"/>
        </w:rPr>
        <w:t xml:space="preserve"> </w:t>
      </w:r>
      <w:r>
        <w:rPr>
          <w:rFonts w:ascii="Times New Roman;serif" w:hAnsi="Times New Roman;serif"/>
          <w:b w:val="false"/>
          <w:color w:val="000000"/>
          <w:sz w:val="20"/>
        </w:rPr>
        <w:t xml:space="preserve">(and any portions of our Definitive Proxy Statement on Schedule 14A, filed with the SEC on </w:t>
      </w:r>
      <w:hyperlink r:id="rId19">
        <w:r>
          <w:rPr>
            <w:rStyle w:val="InternetLink"/>
            <w:rFonts w:ascii="Times New Roman;serif" w:hAnsi="Times New Roman;serif"/>
            <w:b w:val="false"/>
            <w:color w:val="0000FF"/>
            <w:sz w:val="20"/>
            <w:u w:val="single"/>
          </w:rPr>
          <w:t>April 10, 2026</w:t>
        </w:r>
      </w:hyperlink>
      <w:r>
        <w:rPr>
          <w:rFonts w:ascii="Times New Roman;serif" w:hAnsi="Times New Roman;serif"/>
          <w:b w:val="false"/>
          <w:color w:val="000000"/>
          <w:sz w:val="20"/>
        </w:rPr>
        <w:t xml:space="preserve">, that are incorporated by reference into our Annual Report on Form 10-K for the year ended December 31, 2025);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Quarterly Report on Form 10-Q for the quarter ended March 31, 2026, filed with the SEC on </w:t>
      </w:r>
      <w:hyperlink r:id="rId20">
        <w:r>
          <w:rPr>
            <w:rStyle w:val="InternetLink"/>
            <w:rFonts w:ascii="Times New Roman;serif" w:hAnsi="Times New Roman;serif"/>
            <w:b w:val="false"/>
            <w:color w:val="0000FF"/>
            <w:sz w:val="20"/>
            <w:u w:val="single"/>
          </w:rPr>
          <w:t>May 5, 2026</w:t>
        </w:r>
      </w:hyperlink>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Current Reports on Form 8-K, filed with the SEC on </w:t>
      </w:r>
      <w:hyperlink r:id="rId21">
        <w:r>
          <w:rPr>
            <w:rStyle w:val="InternetLink"/>
            <w:rFonts w:ascii="Times New Roman;serif" w:hAnsi="Times New Roman;serif"/>
            <w:b w:val="false"/>
            <w:color w:val="0000FF"/>
            <w:sz w:val="20"/>
            <w:u w:val="single"/>
          </w:rPr>
          <w:t>April 13, 2026</w:t>
        </w:r>
      </w:hyperlink>
      <w:r>
        <w:rPr>
          <w:rFonts w:ascii="Times New Roman;serif" w:hAnsi="Times New Roman;serif"/>
          <w:b w:val="false"/>
          <w:color w:val="000000"/>
          <w:sz w:val="20"/>
        </w:rPr>
        <w:t xml:space="preserve">, </w:t>
      </w:r>
      <w:hyperlink r:id="rId22">
        <w:r>
          <w:rPr>
            <w:rStyle w:val="InternetLink"/>
            <w:rFonts w:ascii="Times New Roman;serif" w:hAnsi="Times New Roman;serif"/>
            <w:b w:val="false"/>
            <w:color w:val="0000FF"/>
            <w:sz w:val="20"/>
            <w:u w:val="single"/>
          </w:rPr>
          <w:t>April 13, 2026</w:t>
        </w:r>
      </w:hyperlink>
      <w:r>
        <w:rPr>
          <w:rFonts w:ascii="Times New Roman;serif" w:hAnsi="Times New Roman;serif"/>
          <w:b w:val="false"/>
          <w:color w:val="000000"/>
          <w:sz w:val="20"/>
        </w:rPr>
        <w:t xml:space="preserve">, </w:t>
      </w:r>
      <w:hyperlink r:id="rId23">
        <w:r>
          <w:rPr>
            <w:rStyle w:val="InternetLink"/>
            <w:rFonts w:ascii="Times New Roman;serif" w:hAnsi="Times New Roman;serif"/>
            <w:b w:val="false"/>
            <w:color w:val="0000FF"/>
            <w:sz w:val="20"/>
            <w:u w:val="single"/>
          </w:rPr>
          <w:t>April 16, 2026</w:t>
        </w:r>
      </w:hyperlink>
      <w:r>
        <w:rPr>
          <w:rFonts w:ascii="Times New Roman;serif" w:hAnsi="Times New Roman;serif"/>
          <w:b w:val="false"/>
          <w:color w:val="000000"/>
          <w:sz w:val="20"/>
        </w:rPr>
        <w:t xml:space="preserve">, </w:t>
      </w:r>
      <w:hyperlink r:id="rId24">
        <w:r>
          <w:rPr>
            <w:rStyle w:val="InternetLink"/>
            <w:rFonts w:ascii="Times New Roman;serif" w:hAnsi="Times New Roman;serif"/>
            <w:b w:val="false"/>
            <w:color w:val="0000FF"/>
            <w:sz w:val="20"/>
            <w:u w:val="single"/>
          </w:rPr>
          <w:t>May 29, 2026</w:t>
        </w:r>
      </w:hyperlink>
      <w:r>
        <w:rPr>
          <w:rFonts w:ascii="Times New Roman;serif" w:hAnsi="Times New Roman;serif"/>
          <w:b w:val="false"/>
          <w:color w:val="000000"/>
          <w:sz w:val="20"/>
        </w:rPr>
        <w:t xml:space="preserve">, </w:t>
      </w:r>
      <w:hyperlink r:id="rId25">
        <w:r>
          <w:rPr>
            <w:rStyle w:val="InternetLink"/>
            <w:rFonts w:ascii="Times New Roman;serif" w:hAnsi="Times New Roman;serif"/>
            <w:b w:val="false"/>
            <w:color w:val="0000FF"/>
            <w:sz w:val="20"/>
            <w:u w:val="single"/>
          </w:rPr>
          <w:t>June 1, 2026</w:t>
        </w:r>
      </w:hyperlink>
      <w:r>
        <w:rPr>
          <w:rFonts w:ascii="Times New Roman;serif" w:hAnsi="Times New Roman;serif"/>
          <w:b w:val="false"/>
          <w:color w:val="000000"/>
          <w:sz w:val="20"/>
        </w:rPr>
        <w:t xml:space="preserve">, and </w:t>
      </w:r>
      <w:hyperlink r:id="rId26">
        <w:r>
          <w:rPr>
            <w:rStyle w:val="InternetLink"/>
            <w:rFonts w:ascii="Times New Roman;serif" w:hAnsi="Times New Roman;serif"/>
            <w:b w:val="false"/>
            <w:color w:val="0000FF"/>
            <w:sz w:val="20"/>
            <w:u w:val="single"/>
          </w:rPr>
          <w:t>June 15, 2026</w:t>
        </w:r>
      </w:hyperlink>
      <w:r>
        <w:rPr>
          <w:rFonts w:ascii="Times New Roman;serif" w:hAnsi="Times New Roman;serif"/>
          <w:b w:val="false"/>
          <w:color w:val="000000"/>
          <w:sz w:val="20"/>
        </w:rPr>
        <w: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common stock contained in our registration statement on </w:t>
      </w:r>
      <w:hyperlink r:id="rId27">
        <w:r>
          <w:rPr>
            <w:rStyle w:val="InternetLink"/>
            <w:rFonts w:ascii="Times New Roman;serif" w:hAnsi="Times New Roman;serif"/>
            <w:b w:val="false"/>
            <w:color w:val="0000FF"/>
            <w:sz w:val="20"/>
            <w:u w:val="single"/>
          </w:rPr>
          <w:t>Form 8-A</w:t>
        </w:r>
      </w:hyperlink>
      <w:r>
        <w:rPr>
          <w:rFonts w:ascii="Times New Roman;serif" w:hAnsi="Times New Roman;serif"/>
          <w:b w:val="false"/>
          <w:color w:val="000000"/>
          <w:sz w:val="20"/>
        </w:rPr>
        <w:t>, filed with the SEC on March 28, 2016, including any amendments or reports filed for the purpose of updating such description.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incorporates by reference the documents listed above and any future filings we make with the SEC under Sections 13(a), 13(c), 14 or 15(d) of the Exchange Act between the date of the initial registration statement and the effectiveness of the registration statement and following the effectiveness of the registration statement until the offering of the securities under the registration statement is terminated or completed, except that we are not incorporating by reference any information furnished (and not filed) with the SEC, including any information furnished pursuant to Items 2.02 or 7.01 of Form 8-K or related exhibits furnished pursuant to Item 9.01 of Form 8-K (unless expressly provided to the contrary).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may request a copy of these filings (other than exhibits to such documents unless such exhibits are specifically incorporated by reference herein), at no cost, by contacting us, either orally or in writing, at the following:</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Spyre Therapeutics,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221 Crescent Street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Building 23, Suite 105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Waltham, Massachusetts 02453</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(617) 651-5940</w:t>
      </w:r>
    </w:p>
    <w:p>
      <w:pPr>
        <w:pStyle w:val="TextBody"/>
        <w:bidi w:val="0"/>
        <w:spacing w:lineRule="auto" w:line="288" w:before="0" w:after="180"/>
        <w:jc w:val="left"/>
        <w:rPr/>
      </w:pPr>
      <w:r>
        <w:rPr>
          <w:rFonts w:ascii="Times New Roman;serif" w:hAnsi="Times New Roman;serif"/>
          <w:b w:val="false"/>
          <w:color w:val="000000"/>
          <w:sz w:val="20"/>
        </w:rPr>
        <w:t xml:space="preserve">Information about us is also available at our website at </w:t>
      </w:r>
      <w:r>
        <w:rPr>
          <w:rFonts w:ascii="Times New Roman;serif" w:hAnsi="Times New Roman;serif"/>
          <w:b w:val="false"/>
          <w:i/>
          <w:color w:val="000000"/>
          <w:sz w:val="20"/>
        </w:rPr>
        <w:t>http://www.spyre.com</w:t>
      </w:r>
      <w:r>
        <w:rPr>
          <w:rFonts w:ascii="Times New Roman;serif" w:hAnsi="Times New Roman;serif"/>
          <w:b w:val="false"/>
          <w:color w:val="000000"/>
          <w:sz w:val="20"/>
        </w:rPr>
        <w:t xml:space="preserve">. You may access these materials free of charge as soon as reasonably practicable after they are electronically filed with, or furnished to, the SEC. However, the information on our website is not a part of this prospectus and is not incorporated by reference into this prospectus. We have authorized no one to provide you with any information that differs from that contained in this prospectus. Accordingly, we take no responsibility for any other information that others may give you. You should not assume that the information in this prospectus is accurate as of any date other than the date of the front cover of this prospectus.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color w:val="000000"/>
          <w:shd w:fill="FFFFFF" w:val="clear"/>
        </w:rPr>
      </w:pPr>
      <w:r>
        <w:rPr>
          <w:color w:val="000000"/>
          <w:shd w:fill="FFFFFF" w:val="clear"/>
        </w:rPr>
        <w:t xml:space="preserve">       </w:t>
      </w:r>
      <w:r>
        <w:rPr>
          <w:rFonts w:ascii="Times New Roman;serif" w:hAnsi="Times New Roman;serif"/>
          <w:b/>
          <w:color w:val="000000"/>
          <w:sz w:val="28"/>
          <w:shd w:fill="FFFFFF" w:val="clear"/>
        </w:rPr>
        <w:t>Shares</w:t>
      </w:r>
    </w:p>
    <w:p>
      <w:pPr>
        <w:pStyle w:val="TextBody"/>
        <w:bidi w:val="0"/>
        <w:spacing w:before="0" w:after="180"/>
        <w:jc w:val="center"/>
        <w:rPr>
          <w:shd w:fill="FFFFFF" w:val="clear"/>
        </w:rPr>
      </w:pPr>
      <w:r>
        <w:rPr>
          <w:shd w:fill="FFFFFF" w:val="clear"/>
        </w:rPr>
        <w:drawing>
          <wp:inline distT="0" distB="0" distL="0" distR="0">
            <wp:extent cx="1781175" cy="428625"/>
            <wp:effectExtent l="0" t="0" r="0" b="0"/>
            <wp:docPr id="6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 descr=""/>
                    <pic:cNvPicPr>
                      <a:picLocks noChangeAspect="1" noChangeArrowheads="1"/>
                    </pic:cNvPicPr>
                  </pic:nvPicPr>
                  <pic:blipFill>
                    <a:blip r:embed="rId28"/>
                    <a:stretch>
                      <a:fillRect/>
                    </a:stretch>
                  </pic:blipFill>
                  <pic:spPr bwMode="auto">
                    <a:xfrm>
                      <a:off x="0" y="0"/>
                      <a:ext cx="1781175" cy="428625"/>
                    </a:xfrm>
                    <a:prstGeom prst="rect">
                      <a:avLst/>
                    </a:prstGeom>
                  </pic:spPr>
                </pic:pic>
              </a:graphicData>
            </a:graphic>
          </wp:inline>
        </w:drawing>
      </w:r>
    </w:p>
    <w:p>
      <w:pPr>
        <w:pStyle w:val="TextBody"/>
        <w:bidi w:val="0"/>
        <w:spacing w:lineRule="auto" w:line="288" w:before="0" w:after="400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Common Stock </w:t>
      </w:r>
    </w:p>
    <w:p>
      <w:pPr>
        <w:pStyle w:val="TextBody"/>
        <w:bidi w:val="0"/>
        <w:spacing w:lineRule="auto" w:line="288" w:before="0" w:after="0"/>
        <w:jc w:val="center"/>
        <w:rPr>
          <w:rFonts w:ascii="Times New Roman;serif" w:hAnsi="Times New Roman;serif"/>
          <w:b/>
          <w:i/>
          <w:color w:val="000000"/>
          <w:sz w:val="24"/>
          <w:shd w:fill="FFFFFF" w:val="clear"/>
        </w:rPr>
      </w:pPr>
      <w:r>
        <w:rPr>
          <w:rFonts w:ascii="Times New Roman;serif" w:hAnsi="Times New Roman;serif"/>
          <w:b/>
          <w:i/>
          <w:color w:val="000000"/>
          <w:sz w:val="24"/>
          <w:shd w:fill="FFFFFF" w:val="clear"/>
        </w:rPr>
        <w:t>Joint Book-Running Managers</w:t>
      </w:r>
    </w:p>
    <w:tbl>
      <w:tblPr>
        <w:tblW w:w="5505" w:type="dxa"/>
        <w:jc w:val="left"/>
        <w:tblInd w:w="0" w:type="dxa"/>
        <w:tblLayout w:type="fixed"/>
        <w:tblCellMar>
          <w:top w:w="28" w:type="dxa"/>
          <w:left w:w="28" w:type="dxa"/>
          <w:bottom w:w="28" w:type="dxa"/>
          <w:right w:w="28" w:type="dxa"/>
        </w:tblCellMar>
      </w:tblPr>
      <w:tblGrid>
        <w:gridCol w:w="402"/>
        <w:gridCol w:w="354"/>
        <w:gridCol w:w="355"/>
        <w:gridCol w:w="479"/>
        <w:gridCol w:w="479"/>
        <w:gridCol w:w="481"/>
        <w:gridCol w:w="729"/>
        <w:gridCol w:w="729"/>
        <w:gridCol w:w="731"/>
        <w:gridCol w:w="224"/>
        <w:gridCol w:w="224"/>
        <w:gridCol w:w="318"/>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Jefferies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TD Cowen</w:t>
            </w:r>
          </w:p>
        </w:tc>
        <w:tc>
          <w:tcPr>
            <w:tcW w:w="21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Leerink Partners</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Stifel</w:t>
            </w:r>
          </w:p>
        </w:tc>
      </w:tr>
    </w:tbl>
    <w:p>
      <w:pPr>
        <w:pStyle w:val="TextBody"/>
        <w:bidi w:val="0"/>
        <w:spacing w:lineRule="auto" w:line="288" w:before="0" w:after="0"/>
        <w:jc w:val="center"/>
        <w:rPr>
          <w:rFonts w:ascii="Times New Roman;serif" w:hAnsi="Times New Roman;serif"/>
          <w:b/>
          <w:i/>
          <w:color w:val="000000"/>
          <w:sz w:val="24"/>
          <w:shd w:fill="FFFFFF" w:val="clear"/>
        </w:rPr>
      </w:pPr>
      <w:r>
        <w:rPr>
          <w:rFonts w:ascii="Times New Roman;serif" w:hAnsi="Times New Roman;serif"/>
          <w:b/>
          <w:i/>
          <w:color w:val="000000"/>
          <w:sz w:val="24"/>
          <w:shd w:fill="FFFFFF" w:val="clear"/>
        </w:rPr>
        <w:t>Passive Bookrunner</w:t>
      </w:r>
    </w:p>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9"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LifeSci Capital</w:t>
            </w:r>
          </w:p>
        </w:tc>
      </w:tr>
    </w:tbl>
    <w:p>
      <w:pPr>
        <w:pStyle w:val="TextBody"/>
        <w:bidi w:val="0"/>
        <w:spacing w:lineRule="auto" w:line="288" w:before="0" w:after="180"/>
        <w:jc w:val="center"/>
        <w:rPr>
          <w:shd w:fill="FFFFFF" w:val="clear"/>
        </w:rPr>
      </w:pPr>
      <w:r>
        <w:rPr>
          <w:color w:val="000000"/>
          <w:shd w:fill="FFFFFF" w:val="clear"/>
        </w:rPr>
        <w:t>     </w:t>
      </w:r>
      <w:r>
        <w:rPr>
          <w:rFonts w:ascii="Times New Roman;serif" w:hAnsi="Times New Roman;serif"/>
          <w:b/>
          <w:color w:val="000000"/>
          <w:sz w:val="20"/>
          <w:shd w:fill="FFFFFF" w:val="clear"/>
        </w:rPr>
        <w:t>,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636282/000163628226000020/syre-20251231.htm" TargetMode="External"/><Relationship Id="rId5" Type="http://schemas.openxmlformats.org/officeDocument/2006/relationships/hyperlink" Target="https://www.sec.gov/ix?doc=/Archives/edgar/data/0001636282/000163628226000039/syre-20260410.htm" TargetMode="External"/><Relationship Id="rId6" Type="http://schemas.openxmlformats.org/officeDocument/2006/relationships/hyperlink" Target="https://www.sec.gov/Archives/edgar/data/1636282/000163628226000050/syre-20260331.htm" TargetMode="External"/><Relationship Id="rId7" Type="http://schemas.openxmlformats.org/officeDocument/2006/relationships/hyperlink" Target="https://www.sec.gov/Archives/edgar/data/1636282/000163628226000096/syre-20260630.htm" TargetMode="External"/><Relationship Id="rId8" Type="http://schemas.openxmlformats.org/officeDocument/2006/relationships/hyperlink" Target="https://www.sec.gov/Archives/edgar/data/1636282/000162828026024906/syre-20260413.htm" TargetMode="External"/><Relationship Id="rId9" Type="http://schemas.openxmlformats.org/officeDocument/2006/relationships/hyperlink" Target="https://www.sec.gov/Archives/edgar/data/1636282/000162828026024831/syre-20260413.htm" TargetMode="External"/><Relationship Id="rId10" Type="http://schemas.openxmlformats.org/officeDocument/2006/relationships/hyperlink" Target="https://www.sec.gov/Archives/edgar/data/1636282/000162828026025508/syre-20260414.htm" TargetMode="External"/><Relationship Id="rId11" Type="http://schemas.openxmlformats.org/officeDocument/2006/relationships/hyperlink" Target="https://www.sec.gov/ix?doc=/Archives/edgar/data/0001636282/000163628226000056/syre-20260527.htm" TargetMode="External"/><Relationship Id="rId12" Type="http://schemas.openxmlformats.org/officeDocument/2006/relationships/hyperlink" Target="https://www.sec.gov/ix?doc=/Archives/edgar/data/0001636282/000163628226000075/syre-20260529.htm" TargetMode="External"/><Relationship Id="rId13" Type="http://schemas.openxmlformats.org/officeDocument/2006/relationships/hyperlink" Target="https://www.sec.gov/ix?doc=/Archives/edgar/data/0001636282/000163628226000083/syre-20260615.htm" TargetMode="External"/><Relationship Id="rId14" Type="http://schemas.openxmlformats.org/officeDocument/2006/relationships/hyperlink" Target="https://www.sec.gov/Archives/edgar/data/1636282/000163628226000105/syre-20260825.htm" TargetMode="External"/><Relationship Id="rId15" Type="http://schemas.openxmlformats.org/officeDocument/2006/relationships/hyperlink" Target="https://www.sec.gov/Archives/edgar/data/1636282/000163628226000113/syre-20260908.htm" TargetMode="External"/><Relationship Id="rId16" Type="http://schemas.openxmlformats.org/officeDocument/2006/relationships/hyperlink" Target="https://www.sec.gov/Archives/edgar/data/1636282/000119312516519700/d21112d8a12b.htm" TargetMode="External"/><Relationship Id="rId17" Type="http://schemas.openxmlformats.org/officeDocument/2006/relationships/image" Target="media/image3.jpeg"/><Relationship Id="rId18" Type="http://schemas.openxmlformats.org/officeDocument/2006/relationships/hyperlink" Target="https://www.sec.gov/Archives/edgar/data/1636282/000163628226000020/syre-20251231.htm" TargetMode="External"/><Relationship Id="rId19" Type="http://schemas.openxmlformats.org/officeDocument/2006/relationships/hyperlink" Target="https://www.sec.gov/Archives/edgar/data/1636282/000163628226000039/syre-20260410.htm" TargetMode="External"/><Relationship Id="rId20" Type="http://schemas.openxmlformats.org/officeDocument/2006/relationships/hyperlink" Target="https://www.sec.gov/Archives/edgar/data/1636282/000163628226000050/syre-20260331.htm" TargetMode="External"/><Relationship Id="rId21" Type="http://schemas.openxmlformats.org/officeDocument/2006/relationships/hyperlink" Target="https://www.sec.gov/Archives/edgar/data/1636282/000162828026024906/syre-20260413.htm" TargetMode="External"/><Relationship Id="rId22" Type="http://schemas.openxmlformats.org/officeDocument/2006/relationships/hyperlink" Target="https://www.sec.gov/Archives/edgar/data/1636282/000162828026024831/syre-20260413.htm" TargetMode="External"/><Relationship Id="rId23" Type="http://schemas.openxmlformats.org/officeDocument/2006/relationships/hyperlink" Target="https://www.sec.gov/Archives/edgar/data/1636282/000162828026025508/syre-20260414.htm" TargetMode="External"/><Relationship Id="rId24" Type="http://schemas.openxmlformats.org/officeDocument/2006/relationships/hyperlink" Target="https://www.sec.gov/ix?doc=/Archives/edgar/data/0001636282/000163628226000056/syre-20260527.htm" TargetMode="External"/><Relationship Id="rId25" Type="http://schemas.openxmlformats.org/officeDocument/2006/relationships/hyperlink" Target="https://www.sec.gov/ix?doc=/Archives/edgar/data/0001636282/000163628226000075/syre-20260529.htm" TargetMode="External"/><Relationship Id="rId26" Type="http://schemas.openxmlformats.org/officeDocument/2006/relationships/hyperlink" Target="https://www.sec.gov/ix?doc=/Archives/edgar/data/0001636282/000163628226000083/syre-20260615.htm" TargetMode="External"/><Relationship Id="rId27" Type="http://schemas.openxmlformats.org/officeDocument/2006/relationships/hyperlink" Target="https://www.sec.gov/Archives/edgar/data/1636282/000119312516519700/d21112d8a12b.htm" TargetMode="External"/><Relationship Id="rId28" Type="http://schemas.openxmlformats.org/officeDocument/2006/relationships/image" Target="media/image4.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Pages>
  <Words>27744</Words>
  <Characters>149354</Characters>
  <CharactersWithSpaces>176774</CharactersWithSpaces>
  <Paragraphs>762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