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25,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SPYRE THERAPEUTICS, INC.</w:t>
      </w:r>
    </w:p>
    <w:p>
      <w:pPr>
        <w:pStyle w:val="TextBody"/>
        <w:bidi w:val="0"/>
        <w:spacing w:lineRule="auto" w:line="288" w:before="12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001-37722</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46-4312787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221 Crescent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23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105</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Waltham, MA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02453</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5790" w:type="dxa"/>
        <w:jc w:val="left"/>
        <w:tblInd w:w="0" w:type="dxa"/>
        <w:tblLayout w:type="fixed"/>
        <w:tblCellMar>
          <w:top w:w="28" w:type="dxa"/>
          <w:left w:w="28" w:type="dxa"/>
          <w:bottom w:w="28" w:type="dxa"/>
          <w:right w:w="28" w:type="dxa"/>
        </w:tblCellMar>
      </w:tblPr>
      <w:tblGrid>
        <w:gridCol w:w="1852"/>
        <w:gridCol w:w="1629"/>
        <w:gridCol w:w="2309"/>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617 651-5940</w:t>
            </w:r>
          </w:p>
        </w:tc>
      </w:tr>
    </w:tbl>
    <w:tbl>
      <w:tblPr>
        <w:tblW w:w="1425" w:type="dxa"/>
        <w:jc w:val="left"/>
        <w:tblInd w:w="0" w:type="dxa"/>
        <w:tblLayout w:type="fixed"/>
        <w:tblCellMar>
          <w:top w:w="28" w:type="dxa"/>
          <w:left w:w="28" w:type="dxa"/>
          <w:bottom w:w="28" w:type="dxa"/>
          <w:right w:w="28" w:type="dxa"/>
        </w:tblCellMar>
      </w:tblPr>
      <w:tblGrid>
        <w:gridCol w:w="456"/>
        <w:gridCol w:w="401"/>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SYRE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SPY072 SKYWAY-RA Sub-Study Topline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2026, Spyre Therapeutics, Inc. (“Spyre” or the “Company”) issued a press release announcing topline results from the rheumatoid arthritis (“RA”) sub-study of the Phase 2 SKYWAY basket trial evaluating SPY072 in rheumatic diseases.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The information in this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under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2026, the Company announced topline results from the RA sub-study of the Phase 2 SKYWAY basket trial evaluating SPY072 in rheumatic diseases.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SPY072 SKYWAY-RA Sub-Study Topline Results </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SKYWAY-RA sub-study is one of three sub-studies in the SKYWAY basket trial and is a randomized and placebo-controlled study evaluating two doses of SPY072 in patients with moderate to severely active RA with inadequate response to conventional or advanced therapies. The primary endpoint is the change from baseline to Week 12 in Disease Activity Score in 28 joints, C-reactive protein (DAS28-CRP), and the secondary endpoint is the proportion of patients achieving an ACR20 response at Week 12.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topline results from the RA sub-study of the Phase 2 SKYWAY basket trial indicated that both SPY072 Low Dose and SPY072 High Dose demonstrated statistically significant benefits compared to placebo on one or more of the primary (change from baseline in DAS28-CRP), key secondary (ACR20), and exploratory endpoints (ACR50). SPY072 was well tolerated, with a safety profile consistent with the TL1A class. The results provide proof-of-mechanism for TL1A in RA and support its potential in other autoimmune diseases and as a combination component, but did not meet the Company’s internal bar to prioritize advancement of SPY072 as a monotherapy in RA. </w:t>
      </w:r>
    </w:p>
    <w:p>
      <w:pPr>
        <w:pStyle w:val="TextBody"/>
        <w:bidi w:val="0"/>
        <w:spacing w:before="0" w:after="0"/>
        <w:ind w:left="0" w:right="0" w:firstLine="630"/>
        <w:jc w:val="left"/>
        <w:rPr/>
      </w:pPr>
      <w:r>
        <w:rPr/>
      </w:r>
    </w:p>
    <w:p>
      <w:pPr>
        <w:pStyle w:val="TextBody"/>
        <w:bidi w:val="0"/>
        <w:spacing w:lineRule="auto" w:line="288" w:before="0" w:after="0"/>
        <w:jc w:val="left"/>
        <w:rPr/>
      </w:pPr>
      <w:r>
        <w:rPr>
          <w:rFonts w:ascii="Times New Roman;serif" w:hAnsi="Times New Roman;serif"/>
          <w:b/>
          <w:color w:val="000000"/>
          <w:sz w:val="20"/>
        </w:rPr>
        <w:t>Efficacy:</w:t>
      </w:r>
      <w:r>
        <w:rPr>
          <w:color w:val="000000"/>
        </w:rPr>
        <w:t xml:space="preserve"> </w:t>
      </w:r>
      <w:r>
        <w:rPr>
          <w:rFonts w:ascii="Times New Roman;serif" w:hAnsi="Times New Roman;serif"/>
          <w:b w:val="false"/>
          <w:color w:val="000000"/>
          <w:sz w:val="20"/>
        </w:rPr>
        <w:t xml:space="preserve">SPY072 Low Dose demonstrated a statistically significant benefit compared to placebo on the primary endpoint (change from baseline in DAS28-CRP) at Week 12. Nominally significant improvements versus placebo were observed on the secondary endpoint (ACR20) with High Dose and on the exploratory endpoint (ACR50) with Low Dose. Results were generally comparable between advanced-therapy-naïve and advanced-therapy-experienced sub-groups.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979" w:type="dxa"/>
        <w:jc w:val="left"/>
        <w:tblInd w:w="0" w:type="dxa"/>
        <w:tblLayout w:type="fixed"/>
        <w:tblCellMar>
          <w:top w:w="28" w:type="dxa"/>
          <w:left w:w="28" w:type="dxa"/>
          <w:bottom w:w="28" w:type="dxa"/>
          <w:right w:w="28" w:type="dxa"/>
        </w:tblCellMar>
      </w:tblPr>
      <w:tblGrid>
        <w:gridCol w:w="761"/>
        <w:gridCol w:w="668"/>
        <w:gridCol w:w="671"/>
        <w:gridCol w:w="804"/>
        <w:gridCol w:w="804"/>
        <w:gridCol w:w="806"/>
        <w:gridCol w:w="774"/>
        <w:gridCol w:w="774"/>
        <w:gridCol w:w="776"/>
        <w:gridCol w:w="334"/>
        <w:gridCol w:w="334"/>
        <w:gridCol w:w="47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Endpoint (W12)</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SPY072 High Dose</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(N=48)</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SPY072 Low Dose</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Placebo</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(N=47)</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ΔDAS28-CRP</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-1.5</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-1.9*</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-1.3</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ACR20</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63%**</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2"/>
              </w:rPr>
            </w:pPr>
            <w:r>
              <w:rPr>
                <w:rFonts w:ascii="sans-serif" w:hAnsi="sans-serif"/>
                <w:b w:val="false"/>
                <w:color w:val="000000"/>
                <w:sz w:val="22"/>
              </w:rPr>
              <w:t>58%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43%</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ACR50</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31%</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38%**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19%</w:t>
            </w:r>
          </w:p>
        </w:tc>
      </w:tr>
      <w:tr>
        <w:trPr/>
        <w:tc>
          <w:tcPr>
            <w:tcW w:w="21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ACR70</w:t>
            </w:r>
          </w:p>
        </w:tc>
        <w:tc>
          <w:tcPr>
            <w:tcW w:w="24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13%</w:t>
            </w:r>
          </w:p>
        </w:tc>
        <w:tc>
          <w:tcPr>
            <w:tcW w:w="23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4%</w:t>
            </w:r>
          </w:p>
        </w:tc>
        <w:tc>
          <w:tcPr>
            <w:tcW w:w="114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2%</w:t>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*p&lt;0.05 for SPY072 versus placebo</w:t>
      </w:r>
      <w:r>
        <w:rPr>
          <w:color w:val="000000"/>
        </w:rPr>
        <w:t xml:space="preserve"> </w:t>
      </w:r>
      <w:r>
        <w:rPr>
          <w:rFonts w:ascii="Times New Roman;serif" w:hAnsi="Times New Roman;serif"/>
          <w:b w:val="false"/>
          <w:color w:val="000000"/>
          <w:sz w:val="20"/>
        </w:rPr>
        <w:t>**nominal p&lt;0.05 for SPY072 versus placebo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Both doses of SPY072 achieved target drug concentrations and provided complete and durable suppression of free TL1A through Week 12, suggesting complete target engagement.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Safety: </w:t>
      </w:r>
      <w:r>
        <w:rPr>
          <w:rFonts w:ascii="Times New Roman;serif" w:hAnsi="Times New Roman;serif"/>
          <w:b w:val="false"/>
          <w:color w:val="000000"/>
          <w:sz w:val="20"/>
        </w:rPr>
        <w:t xml:space="preserve">SPY072 was well tolerated, with a safety profile consistent with the TL1A class. Rates of adverse events were comparable between active (27%) and placebo (36%) and generally mild or moderate. One Serious Treatment-Emergent Adverse Event (“TEAE”) occurred on each arm, none deemed drug-related. One death occurred in a participant receiving placebo. The most common TEAEs were infections and infestations, occurring in 14% of SPY072-treated participants and 15% of placebo-treated participants.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Next Steps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remains at the forefront of evaluating potential first- and best-in-class monotherapies and combinations in immunology and inflammation (“I&amp;I”) with numerous expected topline readouts over the next 12-18 months to prioritize programs for further development: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448"/>
        <w:gridCol w:w="452"/>
        <w:gridCol w:w="1608"/>
        <w:gridCol w:w="1478"/>
        <w:gridCol w:w="1378"/>
        <w:gridCol w:w="707"/>
        <w:gridCol w:w="695"/>
        <w:gridCol w:w="671"/>
        <w:gridCol w:w="665"/>
        <w:gridCol w:w="620"/>
        <w:gridCol w:w="883"/>
      </w:tblGrid>
      <w:tr>
        <w:trPr/>
        <w:tc>
          <w:tcPr>
            <w:tcW w:w="60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Trial</w:t>
            </w:r>
          </w:p>
        </w:tc>
        <w:tc>
          <w:tcPr>
            <w:tcW w:w="44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color w:val="000000"/>
                <w:sz w:val="22"/>
              </w:rPr>
            </w:pPr>
            <w:r>
              <w:rPr>
                <w:rFonts w:ascii="sans-serif" w:hAnsi="sans-serif"/>
                <w:b/>
                <w:color w:val="000000"/>
                <w:sz w:val="22"/>
              </w:rPr>
              <w:t>Indication</w:t>
            </w:r>
          </w:p>
        </w:tc>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color w:val="000000"/>
                <w:sz w:val="22"/>
              </w:rPr>
            </w:pPr>
            <w:r>
              <w:rPr>
                <w:rFonts w:ascii="sans-serif" w:hAnsi="sans-serif"/>
                <w:b/>
                <w:color w:val="000000"/>
                <w:sz w:val="22"/>
              </w:rPr>
              <w:t>Asset(s)</w:t>
            </w:r>
          </w:p>
        </w:tc>
        <w:tc>
          <w:tcPr>
            <w:tcW w:w="216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color w:val="000000"/>
                <w:sz w:val="22"/>
              </w:rPr>
            </w:pPr>
            <w:r>
              <w:rPr>
                <w:rFonts w:ascii="sans-serif" w:hAnsi="sans-serif"/>
                <w:b/>
                <w:color w:val="000000"/>
                <w:sz w:val="22"/>
              </w:rPr>
              <w:t>Expected timing</w:t>
            </w:r>
          </w:p>
        </w:tc>
      </w:tr>
      <w:tr>
        <w:trPr/>
        <w:tc>
          <w:tcPr>
            <w:tcW w:w="15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SKYLINE Part A</w:t>
            </w:r>
          </w:p>
        </w:tc>
        <w:tc>
          <w:tcPr>
            <w:tcW w:w="44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Ulcerative Colitis (“UC”)</w:t>
            </w:r>
          </w:p>
        </w:tc>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SPY003</w:t>
            </w:r>
          </w:p>
        </w:tc>
        <w:tc>
          <w:tcPr>
            <w:tcW w:w="216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September 2026</w:t>
            </w:r>
          </w:p>
        </w:tc>
      </w:tr>
      <w:tr>
        <w:trPr/>
        <w:tc>
          <w:tcPr>
            <w:tcW w:w="15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SKYWAY</w:t>
            </w:r>
          </w:p>
        </w:tc>
        <w:tc>
          <w:tcPr>
            <w:tcW w:w="44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Psoriatic Arthritis (“PsA”), Axial Spondyloarthritis (“axSpA”)</w:t>
            </w:r>
          </w:p>
        </w:tc>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SPY072</w:t>
            </w:r>
          </w:p>
        </w:tc>
        <w:tc>
          <w:tcPr>
            <w:tcW w:w="216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4Q 2026</w:t>
            </w:r>
          </w:p>
        </w:tc>
      </w:tr>
      <w:tr>
        <w:trPr/>
        <w:tc>
          <w:tcPr>
            <w:tcW w:w="15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SKYLINE Part B</w:t>
            </w:r>
          </w:p>
        </w:tc>
        <w:tc>
          <w:tcPr>
            <w:tcW w:w="44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UC</w:t>
            </w:r>
          </w:p>
        </w:tc>
        <w:tc>
          <w:tcPr>
            <w:tcW w:w="20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 xml:space="preserve">SPY001, SPY002, SPY003 </w:t>
              <w:br/>
              <w:t xml:space="preserve">SPY120, SPY130, SPY230 </w:t>
            </w:r>
          </w:p>
        </w:tc>
        <w:tc>
          <w:tcPr>
            <w:tcW w:w="216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2027</w:t>
            </w:r>
          </w:p>
        </w:tc>
      </w:tr>
      <w:tr>
        <w:trPr/>
        <w:tc>
          <w:tcPr>
            <w:tcW w:w="15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SKYLIGHT</w:t>
            </w:r>
          </w:p>
        </w:tc>
        <w:tc>
          <w:tcPr>
            <w:tcW w:w="44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Hidradenitis Suppurativa (“HS”)</w:t>
            </w:r>
          </w:p>
        </w:tc>
        <w:tc>
          <w:tcPr>
            <w:tcW w:w="207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SPY072 + IL-17A/F</w:t>
            </w:r>
          </w:p>
        </w:tc>
        <w:tc>
          <w:tcPr>
            <w:tcW w:w="2168"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Late 2027 or early 2028</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Forward Looking Statements </w:t>
      </w:r>
      <w:r>
        <w:rPr>
          <w:rFonts w:ascii="Times New Roman;serif" w:hAnsi="Times New Roman;serif"/>
          <w:b w:val="false"/>
          <w:color w:val="000000"/>
          <w:sz w:val="20"/>
        </w:rPr>
        <w:t xml:space="preserve">This Current Report on Form 8-K contains “forward-looking” statements within the meaning of the safe harbor provisions of the U.S. Private Securities Litigation Reform Act of 1995. All statements contained in this Current Report on Form 8-K, other than statements of historical fact are forward-looking statements. These statements include, but are not limited to, statements regarding: the efficacy and safety of SPY072/our TL1A antibodies and their potential in other/a range of autoimmune diseases and as combination components; the Company remaining at the forefront of evaluating potential first and best-in-class monotherapies and combinations in I&amp;I; the expected timing of topline results from the PsA and axSpA SKYWAY sub-studies, SKYLIGHT trial in HS and SKYLINE part A and B in UC and the potential further development of these programs; the timing of and the Company’s ongoing development programs in inflammatory bowel disease and HS; and Spyre’s ongoing and future pre-clinical and clinical development activities. The words “opportunity,” “potential,” “milestones,” “pipeline,” “strategy,” “anticipate,” “believe,” “could,” “estimate,” “expect,” “may,” “might,” “plan,” “possible,” “predict,” “should,” “will,” “would,” “can,” “likely,” “aim,”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to,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topline or interim data reported for our programs; the potential impact of Trump Administration policies and changes in law on our business; and those uncertainties and factors described in Spyre's most recent Annual Report on Form 10-K, as supplemented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updated by subsequent Quarterly Reports on Form 10-Q and any other filings that Spyre has made or may make with the Securities and Exchange Commission from time to time. You should not place undue reliance on forward-looking statements in this Current Report on Form 8-K, which speak only as of the date they are made and are qualified in their entirety by reference to the cautionary statements herein. Spyre does not undertake or accept any duty to make any updates or revisions to any forward-looking statements. This Current Report on Form 8-K does not purport to summarize all of the conditions, risks and other attributes of an investment in Spyre.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937"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099"/>
        <w:gridCol w:w="2099"/>
        <w:gridCol w:w="2987"/>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Exhibit </w:t>
            </w: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20260825xexx991.htm">
              <w:r>
                <w:rPr>
                  <w:rStyle w:val="InternetLink"/>
                  <w:rFonts w:ascii="Times New Roman;serif" w:hAnsi="Times New Roman;serif"/>
                  <w:b w:val="false"/>
                  <w:color w:val="0000FF"/>
                  <w:sz w:val="20"/>
                  <w:u w:val="single"/>
                </w:rPr>
                <w:t>Press release issued by Spyre Therapeutics, Inc. regarding Data, dated August 25, 2026.</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9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49"/>
        <w:gridCol w:w="149"/>
        <w:gridCol w:w="151"/>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SPYRE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August 25,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Cameron Turtle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Cameron Turtle</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right"/>
        <w:rPr>
          <w:rFonts w:ascii="sans-serif" w:hAnsi="sans-serif"/>
          <w:b/>
          <w:color w:val="000000"/>
          <w:sz w:val="22"/>
        </w:rPr>
      </w:pPr>
      <w:r>
        <w:rPr>
          <w:rFonts w:ascii="sans-serif" w:hAnsi="sans-serif"/>
          <w:b/>
          <w:color w:val="000000"/>
          <w:sz w:val="22"/>
        </w:rPr>
        <w:t>Exhibit 99.1</w:t>
      </w:r>
    </w:p>
    <w:p>
      <w:pPr>
        <w:pStyle w:val="TextBody"/>
        <w:bidi w:val="0"/>
        <w:spacing w:before="240" w:after="180"/>
        <w:jc w:val="right"/>
        <w:rPr/>
      </w:pPr>
      <w:r>
        <w:rPr/>
        <w:drawing>
          <wp:inline distT="0" distB="0" distL="0" distR="0">
            <wp:extent cx="1762125" cy="428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62125" cy="428625"/>
                    </a:xfrm>
                    <a:prstGeom prst="rect">
                      <a:avLst/>
                    </a:prstGeom>
                  </pic:spPr>
                </pic:pic>
              </a:graphicData>
            </a:graphic>
          </wp:inline>
        </w:drawing>
      </w:r>
    </w:p>
    <w:p>
      <w:pPr>
        <w:pStyle w:val="TextBody"/>
        <w:bidi w:val="0"/>
        <w:spacing w:before="240" w:after="180"/>
        <w:jc w:val="right"/>
        <w:rPr/>
      </w:pPr>
      <w:r>
        <w:rPr/>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 xml:space="preserve">Spyre Therapeutics Announces Topline Results from the Rheumatoid Arthritis </w:t>
      </w:r>
    </w:p>
    <w:p>
      <w:pPr>
        <w:pStyle w:val="TextBody"/>
        <w:bidi w:val="0"/>
        <w:spacing w:lineRule="auto" w:line="268" w:before="0" w:after="0"/>
        <w:jc w:val="center"/>
        <w:rPr>
          <w:rFonts w:ascii="sans-serif" w:hAnsi="sans-serif"/>
          <w:b/>
          <w:color w:val="000000"/>
          <w:sz w:val="22"/>
        </w:rPr>
      </w:pPr>
      <w:r>
        <w:rPr>
          <w:rFonts w:ascii="sans-serif" w:hAnsi="sans-serif"/>
          <w:b/>
          <w:color w:val="000000"/>
          <w:sz w:val="22"/>
        </w:rPr>
        <w:t xml:space="preserve">Sub-study of the SKYWAY Phase 2 Trial of SPY072 </w:t>
      </w:r>
    </w:p>
    <w:p>
      <w:pPr>
        <w:pStyle w:val="TextBody"/>
        <w:bidi w:val="0"/>
        <w:spacing w:before="0" w:after="0"/>
        <w:jc w:val="left"/>
        <w:rPr/>
      </w:pPr>
      <w:r>
        <w:rPr/>
      </w:r>
    </w:p>
    <w:p>
      <w:pPr>
        <w:pStyle w:val="TextBody"/>
        <w:bidi w:val="0"/>
        <w:spacing w:lineRule="auto" w:line="333" w:before="0" w:after="0"/>
        <w:jc w:val="center"/>
        <w:rPr>
          <w:rFonts w:ascii="sans-serif" w:hAnsi="sans-serif"/>
          <w:b w:val="false"/>
          <w:i/>
          <w:color w:val="000000"/>
          <w:sz w:val="22"/>
        </w:rPr>
      </w:pPr>
      <w:r>
        <w:rPr>
          <w:rFonts w:ascii="sans-serif" w:hAnsi="sans-serif"/>
          <w:b w:val="false"/>
          <w:i/>
          <w:color w:val="000000"/>
          <w:sz w:val="22"/>
        </w:rPr>
        <w:t>Both doses of SPY072 demonstrated statistically significant benefits compared to placebo on one or more of the primary (change from baseline in DAS28-CRP), key secondary (ACR20), and exploratory endpoints (e.g., ACR50)</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SPY072 was well tolerated with rates of adverse events comparable to placebo</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Magnitude of effect did not meet the Company’s target to prioritize monotherapy development of SPY072 in rheumatoid arthritis (RA); results support the broad potential of Spyre’s TL1A antibodies in autoimmune disease and as combination components</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 xml:space="preserve">Topline data for SPY072 in psoriatic arthritis (PsA) and axial spondyloarthritis (axSpA) on track for Q4 2026 and for SPY072 in combination with IL17-A/F in hidradenitis suppurativa (HS) in late 2027 or early 2028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WALTHAM, Mass., August 25, 2026 (GLOBE NEWSWIRE)</w:t>
      </w:r>
      <w:r>
        <w:rPr>
          <w:color w:val="000000"/>
        </w:rPr>
        <w:t xml:space="preserve"> </w:t>
      </w:r>
      <w:r>
        <w:rPr>
          <w:rFonts w:ascii="sans-serif" w:hAnsi="sans-serif"/>
          <w:b w:val="false"/>
          <w:color w:val="000000"/>
          <w:sz w:val="22"/>
        </w:rPr>
        <w:t>- Spyre Therapeutics, Inc. (NASDAQ: SYRE), a clinical-stage biotechnology company committed to developing next-generation therapies that elevate the standard in immunology by delivering more complete disease control, greater durability, and a simpler treatment experience for patients, today announced topline results from the RA sub-study of its Phase 2 SKYWAY basket trial evaluating SPY072 in rheumatic diseases. Both doses of SPY072 demonstrated statistically significant benefits compared to placebo on one or more of the primary (change from baseline in DAS28-CRP), key secondary (ACR20), and exploratory endpoints (ACR50). SPY072 was well tolerated, with a safety profile consistent with the TL1A class. The results provide proof-of-mechanism for TL1A in RA and support its potential in other autoimmune diseases and as a combination component, but did not meet the Company’s internal bar to prioritize advancement of SPY072 in RA.</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2"/>
        </w:rPr>
        <w:t xml:space="preserve">The SKYWAY trial was designed to explore the safety and efficacy of TL1A inhibition in a range of rheumatic diseases to identify opportunities for indication-leading products. The results today do not lead us to prioritize SPY072 as a monotherapy in RA. However, the favorable safety profile of TL1A inhibition alongside demonstrated efficacy across inflammatory bowel disease, HS, and now RA provide increased conviction that our long-acting TL1A antibodies have potential in a range of autoimmune diseases and as optimal combination components,” said Cameron Turtle, DPhil, Chief Executive Officer at Spyre. “We want to thank the patients, investigators, and site staff who participated in this study and look forward to results in PsA and axSpA next quarter. Additionally, we are excited to have initiated our SKYLIGHT trial of SPY072 in combination with IL-17A/F in HS, our fourth investigational combination of validated mechanisms in autoimmune indications with high unmet need.”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SKYWAY-RA efficacy results</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2"/>
        </w:rPr>
      </w:pPr>
      <w:r>
        <w:rPr>
          <w:rFonts w:ascii="sans-serif" w:hAnsi="sans-serif"/>
          <w:b w:val="false"/>
          <w:color w:val="000000"/>
          <w:sz w:val="22"/>
        </w:rPr>
        <w:t xml:space="preserve">SPY072 Low Dose demonstrated a statistically significant benefit compared to placebo on the primary endpoint (change from baseline in DAS28-CRP) at Week 12. Nominally significant improvements versus placebo were observed on the secondary endpoint (ACR20) with High Dose and on the exploratory endpoint (ACR50) with Low Dose. Results were generally comparable between advanced-therapy-naïve and advanced-therapy-experienced sub-groups.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79" w:type="dxa"/>
        <w:jc w:val="left"/>
        <w:tblInd w:w="0" w:type="dxa"/>
        <w:tblLayout w:type="fixed"/>
        <w:tblCellMar>
          <w:top w:w="28" w:type="dxa"/>
          <w:left w:w="28" w:type="dxa"/>
          <w:bottom w:w="28" w:type="dxa"/>
          <w:right w:w="28" w:type="dxa"/>
        </w:tblCellMar>
      </w:tblPr>
      <w:tblGrid>
        <w:gridCol w:w="761"/>
        <w:gridCol w:w="668"/>
        <w:gridCol w:w="671"/>
        <w:gridCol w:w="804"/>
        <w:gridCol w:w="804"/>
        <w:gridCol w:w="806"/>
        <w:gridCol w:w="774"/>
        <w:gridCol w:w="774"/>
        <w:gridCol w:w="776"/>
        <w:gridCol w:w="334"/>
        <w:gridCol w:w="334"/>
        <w:gridCol w:w="47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Endpoint (W12)</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SPY072 High Dose</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(N=48)</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SPY072 Low Dose</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rFonts w:ascii="sans-serif" w:hAnsi="sans-serif"/>
                <w:b/>
                <w:color w:val="000000"/>
                <w:sz w:val="22"/>
              </w:rPr>
            </w:pPr>
            <w:r>
              <w:rPr>
                <w:rFonts w:ascii="sans-serif" w:hAnsi="sans-serif"/>
                <w:b/>
                <w:color w:val="000000"/>
                <w:sz w:val="22"/>
              </w:rPr>
              <w:t>Placebo</w:t>
            </w:r>
          </w:p>
          <w:p>
            <w:pPr>
              <w:pStyle w:val="TableContents"/>
              <w:bidi w:val="0"/>
              <w:spacing w:lineRule="auto" w:line="276" w:before="0" w:after="0"/>
              <w:jc w:val="center"/>
              <w:rPr>
                <w:rFonts w:ascii="sans-serif" w:hAnsi="sans-serif"/>
                <w:b w:val="false"/>
                <w:color w:val="000000"/>
                <w:sz w:val="22"/>
              </w:rPr>
            </w:pPr>
            <w:r>
              <w:rPr>
                <w:rFonts w:ascii="sans-serif" w:hAnsi="sans-serif"/>
                <w:b w:val="false"/>
                <w:color w:val="000000"/>
                <w:sz w:val="22"/>
              </w:rPr>
              <w:t>(N=47)</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ΔDAS28-CRP</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-1.5</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-1.9*</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-1.3</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ACR20</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63%**</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58%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43%</w:t>
            </w:r>
          </w:p>
        </w:tc>
      </w:tr>
      <w:tr>
        <w:trPr/>
        <w:tc>
          <w:tcPr>
            <w:tcW w:w="21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ACR50</w:t>
            </w:r>
          </w:p>
        </w:tc>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31%</w:t>
            </w:r>
          </w:p>
        </w:tc>
        <w:tc>
          <w:tcPr>
            <w:tcW w:w="2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38%**</w:t>
            </w:r>
          </w:p>
        </w:tc>
        <w:tc>
          <w:tcPr>
            <w:tcW w:w="11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19%</w:t>
            </w:r>
          </w:p>
        </w:tc>
      </w:tr>
      <w:tr>
        <w:trPr/>
        <w:tc>
          <w:tcPr>
            <w:tcW w:w="21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ACR70</w:t>
            </w:r>
          </w:p>
        </w:tc>
        <w:tc>
          <w:tcPr>
            <w:tcW w:w="24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13%</w:t>
            </w:r>
          </w:p>
        </w:tc>
        <w:tc>
          <w:tcPr>
            <w:tcW w:w="23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4%</w:t>
            </w:r>
          </w:p>
        </w:tc>
        <w:tc>
          <w:tcPr>
            <w:tcW w:w="114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center"/>
              <w:rPr>
                <w:rFonts w:ascii="sans-serif" w:hAnsi="sans-serif"/>
                <w:b w:val="false"/>
                <w:color w:val="000000"/>
                <w:sz w:val="22"/>
              </w:rPr>
            </w:pPr>
            <w:r>
              <w:rPr>
                <w:rFonts w:ascii="sans-serif" w:hAnsi="sans-serif"/>
                <w:b w:val="false"/>
                <w:color w:val="000000"/>
                <w:sz w:val="22"/>
              </w:rPr>
              <w:t>2%</w:t>
            </w:r>
          </w:p>
        </w:tc>
      </w:tr>
    </w:tbl>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*p&lt;0.05 for SPY072 versus placebo **nominal p&lt;0.05 for SPY072 versus placebo</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Both doses of SPY072 achieved target drug concentrations and provided complete and durable suppression of free TL1A through Week 12, suggesting complete target engagement.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Safety results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SPY072 was well tolerated with a safety profile consistent with the TL1A class. Rates of adverse events were comparable between active (27%) and placebo (36%) and generally mild or moderate. One Serious TEAE occurred on each arm, none deemed drug-related. One death occurred in a participant receiving placebo. The most common TEAEs were infections and infestations, occurring in 14% of SPY072-treated participants and 15% of placebo-treated participants.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Next steps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The Company remains at the forefront of evaluating potential first- and best-in-class monotherapies and combinations in I&amp;I with numerous expected topline readouts over the next 12-18 months to prioritize programs for further development:</w:t>
      </w:r>
    </w:p>
    <w:p>
      <w:pPr>
        <w:pStyle w:val="TextBody"/>
        <w:bidi w:val="0"/>
        <w:spacing w:before="0" w:after="0"/>
        <w:jc w:val="left"/>
        <w:rPr/>
      </w:pPr>
      <w:r>
        <w:rPr/>
      </w:r>
    </w:p>
    <w:tbl>
      <w:tblPr>
        <w:tblW w:w="9687" w:type="dxa"/>
        <w:jc w:val="left"/>
        <w:tblInd w:w="0" w:type="dxa"/>
        <w:tblLayout w:type="fixed"/>
        <w:tblCellMar>
          <w:top w:w="28" w:type="dxa"/>
          <w:left w:w="28" w:type="dxa"/>
          <w:bottom w:w="28" w:type="dxa"/>
          <w:right w:w="28" w:type="dxa"/>
        </w:tblCellMar>
      </w:tblPr>
      <w:tblGrid>
        <w:gridCol w:w="646"/>
        <w:gridCol w:w="567"/>
        <w:gridCol w:w="572"/>
        <w:gridCol w:w="659"/>
        <w:gridCol w:w="659"/>
        <w:gridCol w:w="661"/>
        <w:gridCol w:w="1003"/>
        <w:gridCol w:w="1003"/>
        <w:gridCol w:w="1008"/>
        <w:gridCol w:w="852"/>
        <w:gridCol w:w="852"/>
        <w:gridCol w:w="1205"/>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Trial</w:t>
            </w:r>
          </w:p>
        </w:tc>
        <w:tc>
          <w:tcPr>
            <w:tcW w:w="19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Indication</w:t>
            </w:r>
          </w:p>
        </w:tc>
        <w:tc>
          <w:tcPr>
            <w:tcW w:w="3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Asset(s)</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color w:val="000000"/>
                <w:sz w:val="22"/>
              </w:rPr>
            </w:pPr>
            <w:r>
              <w:rPr>
                <w:rFonts w:ascii="sans-serif" w:hAnsi="sans-serif"/>
                <w:b/>
                <w:color w:val="000000"/>
                <w:sz w:val="22"/>
              </w:rPr>
              <w:t>Expected timing</w:t>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SKYLINE Part A</w:t>
            </w:r>
          </w:p>
        </w:tc>
        <w:tc>
          <w:tcPr>
            <w:tcW w:w="19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Ulcerative Colitis</w:t>
            </w:r>
          </w:p>
        </w:tc>
        <w:tc>
          <w:tcPr>
            <w:tcW w:w="3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SPY003</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Sept 2026</w:t>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SKYWAY</w:t>
            </w:r>
          </w:p>
        </w:tc>
        <w:tc>
          <w:tcPr>
            <w:tcW w:w="19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PsA, axSpA</w:t>
            </w:r>
          </w:p>
        </w:tc>
        <w:tc>
          <w:tcPr>
            <w:tcW w:w="3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SPY072</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4Q 2026</w:t>
            </w:r>
          </w:p>
        </w:tc>
      </w:tr>
      <w:tr>
        <w:trPr/>
        <w:tc>
          <w:tcPr>
            <w:tcW w:w="17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SKYLINE Part B</w:t>
            </w:r>
          </w:p>
        </w:tc>
        <w:tc>
          <w:tcPr>
            <w:tcW w:w="19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Ulcerative Colitis</w:t>
            </w:r>
          </w:p>
        </w:tc>
        <w:tc>
          <w:tcPr>
            <w:tcW w:w="30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SPY001, SPY002, SPY003</w:t>
              <w:br/>
              <w:t>SPY120, SPY130, SPY230</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2027</w:t>
            </w:r>
          </w:p>
        </w:tc>
      </w:tr>
      <w:tr>
        <w:trPr/>
        <w:tc>
          <w:tcPr>
            <w:tcW w:w="178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SKYLIGHT</w:t>
            </w:r>
          </w:p>
        </w:tc>
        <w:tc>
          <w:tcPr>
            <w:tcW w:w="19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HS</w:t>
            </w:r>
          </w:p>
        </w:tc>
        <w:tc>
          <w:tcPr>
            <w:tcW w:w="30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SPY072 + IL-17A/F</w:t>
            </w:r>
          </w:p>
        </w:tc>
        <w:tc>
          <w:tcPr>
            <w:tcW w:w="290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283"/>
              <w:jc w:val="left"/>
              <w:rPr>
                <w:rFonts w:ascii="sans-serif" w:hAnsi="sans-serif"/>
                <w:b w:val="false"/>
                <w:color w:val="000000"/>
                <w:sz w:val="22"/>
              </w:rPr>
            </w:pPr>
            <w:r>
              <w:rPr>
                <w:rFonts w:ascii="sans-serif" w:hAnsi="sans-serif"/>
                <w:b w:val="false"/>
                <w:color w:val="000000"/>
                <w:sz w:val="22"/>
              </w:rPr>
              <w:t>Late 2027 or early 2028</w:t>
            </w:r>
          </w:p>
        </w:tc>
      </w:tr>
    </w:tbl>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SKYWAY-RA</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The SKYWAY-RA sub-study is one of three sub-studies in the SKYWAY basket trial (NCT07148414) and is a randomized and placebo-controlled study evaluating two doses of SPY072 in patients with moderate to severely active RA with inadequate response to conventional or advanced therapies. The primary endpoint is the change from baseline to Week 12 in Disease Activity Score in 28 joints, C-reactive protein (DAS28-CRP) and the secondary endpoint is the proportion of patients achieving an ACR20 response at Week 12.</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Spyre Therapeutics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Spyre Therapeutics is a clinical-stage biotechnology company committed to developing next-generation therapies that elevate the standard in immunology by delivering more complete disease control, greater durability, and a simpler treatment experience for patients. Spyre's pipeline includes investigational extended half-life antibodies targeting α4β7, TL1A, IL-23, and IL-17A/F as well as rational combination programs.</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For more information, visit Spyre's website at www.spyre.com.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 xml:space="preserve">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statements include, but are not limited to, statements regarding: Spyre’s ability to achieve the expected benefits or opportunities with respect to its product candidates and combinations thereof, including its ability to develop next-generation therapies that elevate the standard in immunology by delivering more complete disease control, greater durability, and a simpler treatment experience for patients; the efficacy and safety of SPY072/ our TL1A antibodies and their broad potential in autoimmune diseases and as optimal combination components; the Company remaining at the forefront of evaluating potential first and best-in-class monotherapies and combinations in I&amp;I; the expected timing of topline results from the PsA and axSpA SKYWAY sub-studies, SKYLIGHT trial in HS and SKYLINE part A and B in UC and the potential further development of these programs; the timing of and the Company’s ongoing development programs in inflammatory bowel disease and HS; and Spyre’s ongoing and future pre-clinical and clinical development activities. The words "opportunity," "potential," "milestones," "pipeline," "strategy," "anticipate," "believe," "could," "estimate," "expect," "may," "might," "plan," "possible," "predict," "should," "will," "would," "can, " "likely," "aim,"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to,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topline or interim data reported for our programs; the potential impact of Trump Administration policies and changes in law on our business; and those uncertainties and factors described in Spyre's most recent Annual Report on Form 10-K, as supplemented and updated by subsequent Quarterly Reports on Form 10-Q and any other filings that Spyre has made or may make with the Securities and Exchange Commission from time to time. You should not place undue reliance on forward-looking statements in this press release, which speak only as of the date they are made and are qualified in their entirety by reference to the cautionary statements herein. Spyre does not undertake or accept any duty to make any updates or revisions to any forward-looking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2"/>
        </w:rPr>
        <w:t>For Investors:</w:t>
      </w:r>
      <w:r>
        <w:rPr>
          <w:color w:val="000000"/>
        </w:rPr>
        <w:t xml:space="preserve">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Eric McIntyre, Spyre Therapeutics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SVP of Finance and Investor Relations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Eric.mcintyre@spyre.com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For Media:</w:t>
      </w:r>
      <w:r>
        <w:rPr>
          <w:color w:val="000000"/>
        </w:rPr>
        <w:t xml:space="preserve">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Josie Butler, 1AB</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josie@1abmedia.com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2835</Words>
  <Characters>16709</Characters>
  <CharactersWithSpaces>19372</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