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Stelzer Laurie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11/22/2023</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221 CRESCENT STREET,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23</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105</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02453</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Spyre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AGLE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Heidy King-Jones, as</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11/27/2023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24"/>
          <w:szCs w:val="24"/>
          <w:color w:val="auto"/>
        </w:rPr>
        <w:t>Know all by these present that the undersigned hereby constitutes and appoints each of Ryan Murr, Melanie Neary, Cameron Turtle, Scott Burrows and Heidy King-Jones, signing individually, the undersigned’s true and lawful attorneys-in-fact and agents to:</w:t>
      </w:r>
    </w:p>
    <w:p>
      <w:pPr>
        <w:spacing w:after="0" w:line="68" w:lineRule="exact"/>
        <w:rPr>
          <w:sz w:val="20"/>
          <w:szCs w:val="20"/>
          <w:color w:val="auto"/>
        </w:rPr>
      </w:pPr>
    </w:p>
    <w:p>
      <w:pPr>
        <w:ind w:right="120" w:firstLine="729"/>
        <w:spacing w:after="0" w:line="242" w:lineRule="auto"/>
        <w:tabs>
          <w:tab w:leader="none" w:pos="1069"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director or beneficial owner of more than 10% of a registered class of securities of Aeglea BioTherapeutics, Inc. (the “Company”), (a) Forms 3, 4 and 5 (including any amendments thereto) in accordance with Section 16(a) of the Securities Exchange Act of 1934, as amended (the “Exchange Act”) and the rules thereunder and a (b) Form ID, Uniform Application for Access Codes to File on EDGAR, including Update Passphrase Confirmation;</w:t>
      </w:r>
    </w:p>
    <w:p>
      <w:pPr>
        <w:spacing w:after="0" w:line="79" w:lineRule="exact"/>
        <w:rPr>
          <w:rFonts w:ascii="Times New Roman" w:cs="Times New Roman" w:eastAsia="Times New Roman" w:hAnsi="Times New Roman"/>
          <w:sz w:val="24"/>
          <w:szCs w:val="24"/>
          <w:color w:val="auto"/>
        </w:rPr>
      </w:pPr>
    </w:p>
    <w:p>
      <w:pPr>
        <w:ind w:right="120" w:firstLine="729"/>
        <w:spacing w:after="0" w:line="245" w:lineRule="auto"/>
        <w:tabs>
          <w:tab w:leader="none" w:pos="1069"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3" w:lineRule="exact"/>
        <w:rPr>
          <w:rFonts w:ascii="Times New Roman" w:cs="Times New Roman" w:eastAsia="Times New Roman" w:hAnsi="Times New Roman"/>
          <w:sz w:val="24"/>
          <w:szCs w:val="24"/>
          <w:color w:val="auto"/>
        </w:rPr>
      </w:pPr>
    </w:p>
    <w:p>
      <w:pPr>
        <w:ind w:firstLine="729"/>
        <w:spacing w:after="0" w:line="242" w:lineRule="auto"/>
        <w:tabs>
          <w:tab w:leader="none" w:pos="1069"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8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Gibson, Dunn &amp; Crutcher LLP.</w:t>
      </w:r>
    </w:p>
    <w:p>
      <w:pPr>
        <w:spacing w:after="0" w:line="79" w:lineRule="exact"/>
        <w:rPr>
          <w:sz w:val="20"/>
          <w:szCs w:val="20"/>
          <w:color w:val="auto"/>
        </w:rPr>
      </w:pPr>
    </w:p>
    <w:p>
      <w:pPr>
        <w:ind w:right="660"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November 27, 2023.</w:t>
      </w:r>
    </w:p>
    <w:p>
      <w:pPr>
        <w:spacing w:after="0" w:line="21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4"/>
          <w:szCs w:val="24"/>
          <w:color w:val="auto"/>
        </w:rPr>
        <w:t>/s/ Laurie Stelzer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24765</wp:posOffset>
            </wp:positionV>
            <wp:extent cx="2706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06370" cy="9525"/>
                    </a:xfrm>
                    <a:prstGeom prst="rect">
                      <a:avLst/>
                    </a:prstGeom>
                    <a:noFill/>
                  </pic:spPr>
                </pic:pic>
              </a:graphicData>
            </a:graphic>
          </wp:anchor>
        </w:drawing>
      </w:r>
    </w:p>
    <w:p>
      <w:pPr>
        <w:spacing w:after="0" w:line="1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4"/>
          <w:szCs w:val="24"/>
          <w:color w:val="auto"/>
        </w:rPr>
        <w:t>Laurie Stelzer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412115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00"/>
      </w:cols>
      <w:pgMar w:left="480" w:top="3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44348" TargetMode="External"/><Relationship Id="rId11"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2023-11-27T15:51:10Z</dcterms:created>
  <dcterms:modified xsi:type="dcterms:W3CDTF">2023-11-27T15:51:10Z</dcterms:modified>
</cp:coreProperties>
</file>