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07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Sloan Sheldon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60"/>
        <w:spacing w:after="0" w:line="310"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1077"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8,334</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27.46</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8,334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6,500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87.52</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1,834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1,834</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88.34</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27.46</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8,334</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10/01/2034</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8,334</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99"/>
              </w:rPr>
              <w:t>305,000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June 20,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$87.03 to $87.99,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$88.03 to $88.95, inclusive. The Reporting Person undertakes to provide to the Issuer, any security holder of the Issuer, or the staff of the SEC,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400,000 shares of the Issuer's common stock, one quarter of which vested and became exercisable on October 1, 2025, with the remaining three quarters vesting in monthly installments over the following three years, subject to the Reporting Person's continued employment with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8798"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2026-07-02T20:34:19Z</dcterms:created>
  <dcterms:modified xsi:type="dcterms:W3CDTF">2026-07-02T20:34:19Z</dcterms:modified>
</cp:coreProperties>
</file>