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0990964.xml.htm"/>
      <w:bookmarkStart w:id="1" w:name="kswkform4_179099096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Burrows Scott 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221 CRESCENT STREET, BUILDING 23,</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105</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WALTHAM</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02453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Spyre Therapeutics, Inc.</w:t>
              </w:r>
            </w:hyperlink>
            <w:r>
              <w:rPr/>
              <w:t xml:space="preserve"> [ </w:t>
            </w:r>
            <w:r>
              <w:rPr>
                <w:rFonts w:ascii="Times;serif" w:hAnsi="Times;serif"/>
                <w:color w:val="0000FF"/>
                <w:sz w:val="24"/>
                <w:shd w:fill="FFFFFF" w:val="clear"/>
              </w:rPr>
              <w:t>SYRE</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09/30/2026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3"/>
        <w:gridCol w:w="902"/>
        <w:gridCol w:w="772"/>
        <w:gridCol w:w="599"/>
        <w:gridCol w:w="347"/>
        <w:gridCol w:w="927"/>
        <w:gridCol w:w="451"/>
        <w:gridCol w:w="795"/>
        <w:gridCol w:w="1156"/>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09/30/2026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17,500</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14.5</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97,262</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09/30/2026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17,500</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89.89</w:t>
            </w:r>
            <w:r>
              <w:rPr>
                <w:rFonts w:ascii="Times;serif" w:hAnsi="Times;serif"/>
                <w:color w:val="008000"/>
                <w:position w:val="7"/>
                <w:sz w:val="16"/>
                <w:sz w:val="20"/>
                <w:shd w:fill="FFFFFF" w:val="clear"/>
              </w:rPr>
              <w:t>(1)</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79,762</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(2)</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7,500</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14.5</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87,262</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600</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89.07</w:t>
            </w:r>
            <w:r>
              <w:rPr>
                <w:rFonts w:ascii="Times;serif" w:hAnsi="Times;serif"/>
                <w:color w:val="008000"/>
                <w:position w:val="7"/>
                <w:sz w:val="16"/>
                <w:sz w:val="20"/>
                <w:shd w:fill="FFFFFF" w:val="clear"/>
              </w:rPr>
              <w:t>(3)</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86,662</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1,500</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90.27</w:t>
            </w:r>
            <w:r>
              <w:rPr>
                <w:rFonts w:ascii="Times;serif" w:hAnsi="Times;serif"/>
                <w:color w:val="008000"/>
                <w:position w:val="7"/>
                <w:sz w:val="16"/>
                <w:sz w:val="20"/>
                <w:shd w:fill="FFFFFF" w:val="clear"/>
              </w:rPr>
              <w:t>(4)</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85,162</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2,100</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91.92</w:t>
            </w:r>
            <w:r>
              <w:rPr>
                <w:rFonts w:ascii="Times;serif" w:hAnsi="Times;serif"/>
                <w:color w:val="008000"/>
                <w:position w:val="7"/>
                <w:sz w:val="16"/>
                <w:sz w:val="20"/>
                <w:shd w:fill="FFFFFF" w:val="clear"/>
              </w:rPr>
              <w:t>(5)</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83,062</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3,071</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92.95</w:t>
            </w:r>
            <w:r>
              <w:rPr>
                <w:rFonts w:ascii="Times;serif" w:hAnsi="Times;serif"/>
                <w:color w:val="008000"/>
                <w:position w:val="7"/>
                <w:sz w:val="16"/>
                <w:sz w:val="20"/>
                <w:shd w:fill="FFFFFF" w:val="clear"/>
              </w:rPr>
              <w:t>(6)</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79,991</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229</w:t>
            </w:r>
          </w:p>
        </w:tc>
        <w:tc>
          <w:tcPr>
            <w:tcW w:w="4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93.57</w:t>
            </w:r>
            <w:r>
              <w:rPr>
                <w:rFonts w:ascii="Times;serif" w:hAnsi="Times;serif"/>
                <w:color w:val="008000"/>
                <w:position w:val="7"/>
                <w:sz w:val="16"/>
                <w:sz w:val="20"/>
                <w:shd w:fill="FFFFFF" w:val="clear"/>
              </w:rPr>
              <w:t>(7)</w:t>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79,762</w:t>
            </w:r>
            <w:r>
              <w:rPr>
                <w:rFonts w:ascii="Times;serif" w:hAnsi="Times;serif"/>
                <w:color w:val="008000"/>
                <w:position w:val="7"/>
                <w:sz w:val="16"/>
                <w:sz w:val="20"/>
                <w:shd w:fill="FFFFFF" w:val="clear"/>
              </w:rPr>
              <w:t>(8)</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14.5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09/30/2026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17,500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(9)</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09/01/2033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17,500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319,857</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14.5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(2)</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7,500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(9)</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09/01/2033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7,500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312,357</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above is a weighted average price. The shares were sold in multiple transactions at prices ranging from $89.00 to $90.62, inclusive. The Reporting Person undertakes to provide to the Issuer, any security holder of the Issuer, or the staff of the Securities and Exchange Commission (the "SEC"), upon request, full information regarding the number of shares sold at each separate price within the range.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This transaction was executed pursuant to a Rule 10b5-1 trading plan adopted on November 10,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above is a weighted average price. The shares were sold in multiple transactions at prices ranging from $88.63 to $89.53, inclusive. The Reporting Person undertakes to provide to the Issuer, any security holder of the Issuer, or the staff of the Securities and Exchange Commission (the "SEC"), upon request, full information regarding the number of shares sold at each separate price within the range.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above is a weighted average price. The shares were sold in multiple transactions at prices ranging from $89.96 to $90.95, inclusive. The Reporting Person undertakes to provide to the Issuer, any security holder of the Issuer, or the staff of the SEC, upon request, full information regarding the number of shares sold at each separate price within the range.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price reported above is a weighted average price. The shares were sold in multiple transactions at prices ranging from $91.41 to $92.26, inclusive. The Reporting Person undertakes to provide to the Issuer, any security holder of the Issuer, or the staff of the SEC, upon request, full information regarding the number of shares sold at each separate price within the range.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price reported above is a weighted average price. The shares were sold in multiple transactions at prices ranging from $92.54 to $93.53, inclusive. The Reporting Person undertakes to provide to the Issuer, any security holder of the Issuer, or the staff of the SEC, upon request, full information regarding the number of shares sold at each separate price within the range.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price reported above is a weighted average price. The shares were sold in multiple transactions at prices ranging from $93.54 to $93.59, inclusive. The Reporting Person undertakes to provide to the Issuer, any security holder of the Issuer, or the staff of the SEC, upon request, full information regarding the number of shares sold at each separate price within the range.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Includes 33,738 RSUs. Each RSU represents a contingent right to receive, upon vesting, one share of the Issuer's common stock. The RSUs vest on September 1, 2027, subject to the Reporting Person's continued employment with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This option represents a right to purchase 404,857 shares of the Issuer's common stock (which have been adjusted to reflect the Issuer's 1-for-25 reverse stock split on September 8, 2023), one quarter of which vested and became exercisable on September 1, 2024, with the remaining three quarters vesting in monthly installments over the following three years, subject to the Reporting Person's continued employment with the Issuer.</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Heidy King-Jones,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853327" TargetMode="External"/><Relationship Id="rId5" Type="http://schemas.openxmlformats.org/officeDocument/2006/relationships/hyperlink" Target="http://www.sec.gov/cgi-bin/browse-edgar?action=getcompany&amp;CIK=000163628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1175</Words>
  <Characters>6234</Characters>
  <CharactersWithSpaces>7252</CharactersWithSpaces>
  <Paragraphs>185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