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28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8574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Sloan Sheldon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60"/>
        <w:spacing w:after="0" w:line="310" w:lineRule="auto"/>
        <w:rPr>
          <w:sz w:val="20"/>
          <w:szCs w:val="20"/>
          <w:color w:val="auto"/>
        </w:rPr>
      </w:pPr>
      <w:r>
        <w:rPr>
          <w:rFonts w:ascii="Times New Roman" w:cs="Times New Roman" w:eastAsia="Times New Roman" w:hAnsi="Times New Roman"/>
          <w:sz w:val="17"/>
          <w:szCs w:val="17"/>
          <w:color w:val="0000FF"/>
        </w:rPr>
        <w:t>221 CRESCENT STREET, BUILDING 23 SUITE 105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Spyre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SYRE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837"/>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4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8"/>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02453</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06/03/2026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8,333</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27.46</w:t>
            </w:r>
          </w:p>
        </w:tc>
        <w:tc>
          <w:tcPr>
            <w:tcW w:w="1200" w:type="dxa"/>
            <w:vAlign w:val="bottom"/>
            <w:tcBorders>
              <w:bottom w:val="single" w:sz="8" w:color="2C2C2C"/>
            </w:tcBorders>
            <w:gridSpan w:val="2"/>
          </w:tcPr>
          <w:p>
            <w:pPr>
              <w:jc w:val="right"/>
              <w:ind w:right="381"/>
              <w:spacing w:after="0"/>
              <w:rPr>
                <w:sz w:val="20"/>
                <w:szCs w:val="20"/>
                <w:color w:val="auto"/>
              </w:rPr>
            </w:pPr>
            <w:r>
              <w:rPr>
                <w:rFonts w:ascii="Times New Roman" w:cs="Times New Roman" w:eastAsia="Times New Roman" w:hAnsi="Times New Roman"/>
                <w:sz w:val="17"/>
                <w:szCs w:val="17"/>
                <w:color w:val="0000FF"/>
              </w:rPr>
              <w:t>8,333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06/03/2026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8,333</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w:t>
            </w: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541"/>
              <w:spacing w:after="0"/>
              <w:rPr>
                <w:sz w:val="20"/>
                <w:szCs w:val="20"/>
                <w:color w:val="auto"/>
              </w:rPr>
            </w:pPr>
            <w:r>
              <w:rPr>
                <w:rFonts w:ascii="Times New Roman" w:cs="Times New Roman" w:eastAsia="Times New Roman" w:hAnsi="Times New Roman"/>
                <w:sz w:val="17"/>
                <w:szCs w:val="17"/>
                <w:color w:val="0000FF"/>
              </w:rPr>
              <w:t>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27.46</w:t>
            </w:r>
          </w:p>
        </w:tc>
        <w:tc>
          <w:tcPr>
            <w:tcW w:w="160" w:type="dxa"/>
            <w:vAlign w:val="bottom"/>
          </w:tcPr>
          <w:p>
            <w:pPr>
              <w:spacing w:after="0"/>
              <w:rPr>
                <w:sz w:val="16"/>
                <w:szCs w:val="16"/>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06/03/2026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ind w:left="2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8,333</w:t>
            </w:r>
          </w:p>
        </w:tc>
        <w:tc>
          <w:tcPr>
            <w:tcW w:w="760" w:type="dxa"/>
            <w:vAlign w:val="bottom"/>
            <w:gridSpan w:val="2"/>
          </w:tcPr>
          <w:p>
            <w:pPr>
              <w:jc w:val="center"/>
              <w:ind w:right="23"/>
              <w:spacing w:after="0"/>
              <w:rPr>
                <w:sz w:val="20"/>
                <w:szCs w:val="20"/>
                <w:color w:val="auto"/>
              </w:rPr>
            </w:pPr>
            <w:r>
              <w:rPr>
                <w:rFonts w:ascii="Times New Roman" w:cs="Times New Roman" w:eastAsia="Times New Roman" w:hAnsi="Times New Roman"/>
                <w:sz w:val="11"/>
                <w:szCs w:val="11"/>
                <w:color w:val="008000"/>
                <w:w w:val="93"/>
              </w:rPr>
              <w:t>(2)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10/01/2034</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8,333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w w:val="99"/>
              </w:rPr>
              <w:t>313,334</w:t>
            </w:r>
          </w:p>
        </w:tc>
        <w:tc>
          <w:tcPr>
            <w:tcW w:w="24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pursuant to a Rule 10b5-1 trading plan adopted on June 20, 2025.</w:t>
      </w:r>
    </w:p>
    <w:p>
      <w:pPr>
        <w:spacing w:after="0" w:line="45" w:lineRule="exact"/>
        <w:rPr>
          <w:rFonts w:ascii="Times New Roman" w:cs="Times New Roman" w:eastAsia="Times New Roman" w:hAnsi="Times New Roman"/>
          <w:sz w:val="13"/>
          <w:szCs w:val="13"/>
          <w:color w:val="008000"/>
        </w:rPr>
      </w:pPr>
    </w:p>
    <w:p>
      <w:pPr>
        <w:ind w:left="40" w:right="1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represents the right to purchase 400,000 shares of the Issuer's common stock, one quarter of which vested and became exercisable on October 1, 2025, with the remaining three quarters vesting in monthly installments over the following three years, subject to the Reporting Person's continued employment with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Heidy King-Jones, as</w:t>
            </w:r>
          </w:p>
        </w:tc>
        <w:tc>
          <w:tcPr>
            <w:tcW w:w="38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06/03/2026</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38798" TargetMode="External"/><Relationship Id="rId14" Type="http://schemas.openxmlformats.org/officeDocument/2006/relationships/hyperlink" Target="http://www.sec.gov/cgi-bin/browse-edgar?action=getcompany&amp;CIK=00016362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2026-06-03T20:33:07Z</dcterms:created>
  <dcterms:modified xsi:type="dcterms:W3CDTF">2026-06-03T20:33:07Z</dcterms:modified>
</cp:coreProperties>
</file>