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SPYRE THERAPEUTICS, INC.</w:t>
      </w:r>
    </w:p>
    <w:p>
      <w:pPr>
        <w:pStyle w:val="TextBody"/>
        <w:bidi w:val="0"/>
        <w:spacing w:lineRule="auto" w:line="288" w:before="0" w:after="16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537" w:type="dxa"/>
        <w:jc w:val="left"/>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001-37722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46-4312787</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221 Crescent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23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105</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Waltham, MA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02453</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5790" w:type="dxa"/>
        <w:jc w:val="center"/>
        <w:tblInd w:w="0" w:type="dxa"/>
        <w:tblLayout w:type="fixed"/>
        <w:tblCellMar>
          <w:top w:w="28" w:type="dxa"/>
          <w:left w:w="28" w:type="dxa"/>
          <w:bottom w:w="28" w:type="dxa"/>
          <w:right w:w="28" w:type="dxa"/>
        </w:tblCellMar>
      </w:tblPr>
      <w:tblGrid>
        <w:gridCol w:w="1852"/>
        <w:gridCol w:w="1629"/>
        <w:gridCol w:w="2309"/>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617 651-5940</w:t>
            </w:r>
          </w:p>
        </w:tc>
      </w:tr>
    </w:tbl>
    <w:tbl>
      <w:tblPr>
        <w:tblW w:w="1425" w:type="dxa"/>
        <w:jc w:val="center"/>
        <w:tblInd w:w="0" w:type="dxa"/>
        <w:tblLayout w:type="fixed"/>
        <w:tblCellMar>
          <w:top w:w="28" w:type="dxa"/>
          <w:left w:w="28" w:type="dxa"/>
          <w:bottom w:w="28" w:type="dxa"/>
          <w:right w:w="28" w:type="dxa"/>
        </w:tblCellMar>
      </w:tblPr>
      <w:tblGrid>
        <w:gridCol w:w="456"/>
        <w:gridCol w:w="401"/>
        <w:gridCol w:w="568"/>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bl>
    <w:p>
      <w:pPr>
        <w:pStyle w:val="TextBody"/>
        <w:bidi w:val="0"/>
        <w:spacing w:lineRule="auto" w:line="288" w:before="0" w:after="16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57" w:type="dxa"/>
        <w:jc w:val="center"/>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970"/>
        <w:gridCol w:w="970"/>
        <w:gridCol w:w="137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SYRE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2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5, 2026, Spyre Therapeutics, Inc. (the “Company”) entered into an underwriting agreement (the “Underwriting Agreement”) with Jefferies LLC, TD Securities (USA) LLC, Leerink Partners LLC and Stifel, Nicolaus &amp; Company, Incorporated, as the representatives of the underwriters named therein (the “Underwriters”), relating to the offer and sale (the “Offering”) of 4,117,648 shares of the Company’s common stock, par value $0.0001 per share (the “Common Stock”), at a public offering price of $85.00 per share. In addition, the Company granted the Underwriters a 30-day option (the “Option”) to purchase up to an additional 617,647 shares of Common Stock on the same terms and conditions as the Common Stock sold in the Offering. The Offering is expected to close on or about October 7, 2026, subject to satisfaction of customary closing conditions.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gross proceeds to the Company from the Offering are expected to be approximately $350.0 million, before deducting underwriting discounts and commissions and estimated offering expenses. The Company intends to use the net proceeds of the offering to continue to advance its programs in Gastroenterology, Rheumatology, and Dermatology, including to fund preclinical studies, clinical trials, manufacturing, and Phase 3 readiness, as well as a new program to advance SPY072 into late-stage development for hidradenitis suppurativa. Spyre also intends to use a portion of the net proceeds to further develop and support its general infrastructure. Finally, Spyre may use a portion of the net proceeds to in-license, acquire, or invest in additional businesses, technologies, products, or assets, and to fund the development of such new acquired or in-licensed products and technologies. Any remaining proceeds will be used for other ongoing research and development, working capital and other general corporate purposes.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Offering is being made pursuant to the Company’s shelf registration statement on Form S-3 (File No. 333-297063), which was previously filed with the U.S. Securities and Exchange Commission (the “SEC”) on June 26, 2026, and became effective on June 26, 2026. A final prospectus supplement dated October 5, 2026, relating to and describing the terms of the Offering was filed with the SEC on October 6, 2026.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Underwriting Agreement contains customary representations and warranties, agreements and obligations, conditions to closing and termination provisions. In the Underwriting Agreement, the Company agreed to indemnify the Underwriters against certain liabilities, including liabilities under the Securities Act of 1933, as amended, or to contribute payments that the Underwriters may be required to make because of such liabilities.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Underwriting Agreement is filed as Exhibit 1.1 and is incorporated herein by reference. The foregoing description of the Underwriting Agreement does not purport to be complete and is qualified in its entirety by reference to such exhibit.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 opinion dated October 7, 2026 relating to the legality of the issuance and sale of the Common Stock in the Offering is filed herewith as Exhibit 5.1.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4"/>
        <w:gridCol w:w="2674"/>
        <w:gridCol w:w="382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1-8xk.htm">
              <w:r>
                <w:rPr>
                  <w:rStyle w:val="InternetLink"/>
                  <w:rFonts w:ascii="Times New Roman;serif" w:hAnsi="Times New Roman;serif"/>
                  <w:b w:val="false"/>
                  <w:color w:val="0000FF"/>
                  <w:sz w:val="20"/>
                  <w:u w:val="single"/>
                </w:rPr>
                <w:t xml:space="preserve">Underwriting Agreement, by and among the Company and Jefferies LLC, TD Securities (USA) LLC, Leerink Partners LLC and Stifel, Nicolaus &amp; Company, Incorporated, dated as of October 5, 2026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8xk.htm">
              <w:r>
                <w:rPr>
                  <w:rStyle w:val="InternetLink"/>
                  <w:rFonts w:ascii="Times New Roman;serif" w:hAnsi="Times New Roman;serif"/>
                  <w:b w:val="false"/>
                  <w:color w:val="0000FF"/>
                  <w:sz w:val="20"/>
                  <w:u w:val="single"/>
                </w:rPr>
                <w:t xml:space="preserve">Opinion of Ropes &amp; Gray LLP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994" w:type="dxa"/>
        <w:jc w:val="left"/>
        <w:tblInd w:w="0" w:type="dxa"/>
        <w:tblLayout w:type="fixed"/>
        <w:tblCellMar>
          <w:top w:w="28" w:type="dxa"/>
          <w:left w:w="28" w:type="dxa"/>
          <w:bottom w:w="28" w:type="dxa"/>
          <w:right w:w="28" w:type="dxa"/>
        </w:tblCellMar>
      </w:tblPr>
      <w:tblGrid>
        <w:gridCol w:w="689"/>
        <w:gridCol w:w="606"/>
        <w:gridCol w:w="610"/>
        <w:gridCol w:w="134"/>
        <w:gridCol w:w="134"/>
        <w:gridCol w:w="136"/>
        <w:gridCol w:w="785"/>
        <w:gridCol w:w="785"/>
        <w:gridCol w:w="111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SPYRE THERAPEUTICS,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Cameron Turtle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Cameron Turtle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Spyre Therapeutics, Inc.</w:t>
      </w:r>
    </w:p>
    <w:p>
      <w:pPr>
        <w:pStyle w:val="TextBody"/>
        <w:bidi w:val="0"/>
        <w:spacing w:lineRule="auto" w:line="288" w:before="0" w:after="360"/>
        <w:jc w:val="center"/>
        <w:rPr>
          <w:rFonts w:ascii="Times New Roman;serif" w:hAnsi="Times New Roman;serif"/>
          <w:b/>
          <w:color w:val="000000"/>
          <w:sz w:val="22"/>
        </w:rPr>
      </w:pPr>
      <w:r>
        <w:rPr>
          <w:rFonts w:ascii="Times New Roman;serif" w:hAnsi="Times New Roman;serif"/>
          <w:b/>
          <w:color w:val="000000"/>
          <w:sz w:val="22"/>
        </w:rPr>
        <w:t>4,117,648 Shares of Common Stock, Par Value $0.0001</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UNDERWRITING AGREEMENT</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October 5, 2026</w:t>
      </w:r>
    </w:p>
    <w:tbl>
      <w:tblPr>
        <w:tblW w:w="7127" w:type="dxa"/>
        <w:jc w:val="left"/>
        <w:tblInd w:w="0" w:type="dxa"/>
        <w:tblLayout w:type="fixed"/>
        <w:tblCellMar>
          <w:top w:w="28" w:type="dxa"/>
          <w:left w:w="28" w:type="dxa"/>
          <w:bottom w:w="28" w:type="dxa"/>
          <w:right w:w="28" w:type="dxa"/>
        </w:tblCellMar>
      </w:tblPr>
      <w:tblGrid>
        <w:gridCol w:w="941"/>
        <w:gridCol w:w="828"/>
        <w:gridCol w:w="828"/>
        <w:gridCol w:w="1324"/>
        <w:gridCol w:w="1324"/>
        <w:gridCol w:w="1882"/>
      </w:tblGrid>
      <w:tr>
        <w:trPr/>
        <w:tc>
          <w:tcPr>
            <w:tcW w:w="94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JEFFERIES LLC</w:t>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TD SECURITIES (USA) LLC</w:t>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LEERINK PARTNERS LLC </w:t>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STIFEL, NICOLAUS &amp; COMPANY, INCORPORATED</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Representatives of the several Underwriters</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 Jefferies LLC</w:t>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520 Madison Avenue</w:t>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10022</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 TD Securities (USA) LLC</w:t>
            </w:r>
          </w:p>
        </w:tc>
      </w:tr>
      <w:tr>
        <w:trPr/>
        <w:tc>
          <w:tcPr>
            <w:tcW w:w="71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 Vanderbilt Avenue</w:t>
            </w:r>
          </w:p>
        </w:tc>
      </w:tr>
      <w:tr>
        <w:trPr/>
        <w:tc>
          <w:tcPr>
            <w:tcW w:w="71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10017</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 Leerink Partners LLC</w:t>
            </w:r>
          </w:p>
        </w:tc>
      </w:tr>
      <w:tr>
        <w:trPr/>
        <w:tc>
          <w:tcPr>
            <w:tcW w:w="71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1301 Avenue of the Americas, 5th Floor</w:t>
            </w:r>
          </w:p>
        </w:tc>
      </w:tr>
      <w:tr>
        <w:trPr/>
        <w:tc>
          <w:tcPr>
            <w:tcW w:w="71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10019</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 Stifel, Nicolaus &amp; Company, Incorporated</w:t>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787 7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Avenue, 11</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tc>
      </w:tr>
      <w:tr>
        <w:trPr/>
        <w:tc>
          <w:tcPr>
            <w:tcW w:w="7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10019</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ind w:left="0" w:right="0" w:firstLine="720"/>
        <w:jc w:val="left"/>
        <w:rPr/>
      </w:pPr>
      <w:r>
        <w:rPr>
          <w:rFonts w:ascii="Times New Roman;serif" w:hAnsi="Times New Roman;serif"/>
          <w:b/>
          <w:color w:val="000000"/>
          <w:sz w:val="22"/>
        </w:rPr>
        <w:t>Introductory.</w:t>
      </w:r>
      <w:r>
        <w:rPr>
          <w:color w:val="000000"/>
        </w:rPr>
        <w:t xml:space="preserve"> </w:t>
      </w:r>
      <w:r>
        <w:rPr>
          <w:rFonts w:ascii="Times New Roman;serif" w:hAnsi="Times New Roman;serif"/>
          <w:b w:val="false"/>
          <w:color w:val="000000"/>
          <w:sz w:val="22"/>
        </w:rPr>
        <w:t>Spyre Therapeutics,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xml:space="preserve">), proposes to issue and sell to the several underwriters named in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Underwriters</w:t>
      </w:r>
      <w:r>
        <w:rPr>
          <w:color w:val="000000"/>
        </w:rPr>
        <w:t>”</w:t>
      </w:r>
      <w:r>
        <w:rPr>
          <w:rFonts w:ascii="Times New Roman;serif" w:hAnsi="Times New Roman;serif"/>
          <w:b w:val="false"/>
          <w:color w:val="000000"/>
          <w:sz w:val="22"/>
        </w:rPr>
        <w:t>) an aggregate of 4,117,648 shares (the “</w:t>
      </w:r>
      <w:r>
        <w:rPr>
          <w:rFonts w:ascii="Times New Roman;serif" w:hAnsi="Times New Roman;serif"/>
          <w:b/>
          <w:color w:val="000000"/>
          <w:sz w:val="22"/>
        </w:rPr>
        <w:t>Firm Shares</w:t>
      </w:r>
      <w:r>
        <w:rPr>
          <w:color w:val="000000"/>
        </w:rPr>
        <w:t>”</w:t>
      </w:r>
      <w:r>
        <w:rPr>
          <w:rFonts w:ascii="Times New Roman;serif" w:hAnsi="Times New Roman;serif"/>
          <w:b w:val="false"/>
          <w:color w:val="000000"/>
          <w:sz w:val="22"/>
        </w:rPr>
        <w:t>) of its common stock, par value $0.0001 per share (the “</w:t>
      </w:r>
      <w:r>
        <w:rPr>
          <w:rFonts w:ascii="Times New Roman;serif" w:hAnsi="Times New Roman;serif"/>
          <w:b/>
          <w:color w:val="000000"/>
          <w:sz w:val="22"/>
        </w:rPr>
        <w:t>Common Stock</w:t>
      </w:r>
      <w:r>
        <w:rPr>
          <w:color w:val="000000"/>
        </w:rPr>
        <w:t>”</w:t>
      </w:r>
      <w:r>
        <w:rPr>
          <w:rFonts w:ascii="Times New Roman;serif" w:hAnsi="Times New Roman;serif"/>
          <w:b w:val="false"/>
          <w:color w:val="000000"/>
          <w:sz w:val="22"/>
        </w:rPr>
        <w:t>). In addition, the Company has granted to the Underwriters an option to purchase up to an additional 617,647 shares of Common Stock as provided in Section 2. The additional 617,647 shares of Common Stock to be sold by the Company pursuant to such option are collectively called the “</w:t>
      </w:r>
      <w:r>
        <w:rPr>
          <w:rFonts w:ascii="Times New Roman;serif" w:hAnsi="Times New Roman;serif"/>
          <w:b/>
          <w:color w:val="000000"/>
          <w:sz w:val="22"/>
        </w:rPr>
        <w:t>Optional Shares</w:t>
      </w:r>
      <w:r>
        <w:rPr>
          <w:rFonts w:ascii="Times New Roman;serif" w:hAnsi="Times New Roman;serif"/>
          <w:b w:val="false"/>
          <w:color w:val="000000"/>
          <w:sz w:val="22"/>
        </w:rPr>
        <w:t>.” The Firm Shares and, if and to the extent such option is exercised, the Optional Shares are collectively called the “</w:t>
      </w:r>
      <w:r>
        <w:rPr>
          <w:rFonts w:ascii="Times New Roman;serif" w:hAnsi="Times New Roman;serif"/>
          <w:b/>
          <w:color w:val="000000"/>
          <w:sz w:val="22"/>
        </w:rPr>
        <w:t>Offered Shares</w:t>
      </w:r>
      <w:r>
        <w:rPr>
          <w:rFonts w:ascii="Times New Roman;serif" w:hAnsi="Times New Roman;serif"/>
          <w:b w:val="false"/>
          <w:color w:val="000000"/>
          <w:sz w:val="22"/>
        </w:rPr>
        <w:t>.” Jefferies LLC (“</w:t>
      </w:r>
      <w:r>
        <w:rPr>
          <w:rFonts w:ascii="Times New Roman;serif" w:hAnsi="Times New Roman;serif"/>
          <w:b/>
          <w:color w:val="000000"/>
          <w:sz w:val="22"/>
        </w:rPr>
        <w:t>Jefferies</w:t>
      </w:r>
      <w:r>
        <w:rPr>
          <w:color w:val="000000"/>
        </w:rPr>
        <w:t>”</w:t>
      </w:r>
      <w:r>
        <w:rPr>
          <w:rFonts w:ascii="Times New Roman;serif" w:hAnsi="Times New Roman;serif"/>
          <w:b w:val="false"/>
          <w:color w:val="000000"/>
          <w:sz w:val="22"/>
        </w:rPr>
        <w:t>), TD Securities (USA) LLC, Leerink Partners LLC and Stifel, Nicolaus &amp; Company, Incorporated have agreed to act as representatives of the several Underwriters (in such capacity, the “</w:t>
      </w:r>
      <w:r>
        <w:rPr>
          <w:rFonts w:ascii="Times New Roman;serif" w:hAnsi="Times New Roman;serif"/>
          <w:b/>
          <w:color w:val="000000"/>
          <w:sz w:val="22"/>
        </w:rPr>
        <w:t>Representatives</w:t>
      </w:r>
      <w:r>
        <w:rPr>
          <w:color w:val="000000"/>
        </w:rPr>
        <w:t>”</w:t>
      </w:r>
      <w:r>
        <w:rPr>
          <w:rFonts w:ascii="Times New Roman;serif" w:hAnsi="Times New Roman;serif"/>
          <w:b w:val="false"/>
          <w:color w:val="000000"/>
          <w:sz w:val="22"/>
        </w:rPr>
        <w:t xml:space="preserve">) in connection with the offering and sale of the Offered Shares. To the extent there are no additional underwriters listed on </w:t>
      </w:r>
      <w:r>
        <w:rPr>
          <w:rFonts w:ascii="Times New Roman;serif" w:hAnsi="Times New Roman;serif"/>
          <w:b w:val="false"/>
          <w:color w:val="000000"/>
          <w:sz w:val="22"/>
          <w:u w:val="single"/>
        </w:rPr>
        <w:t>Schedule A</w:t>
      </w:r>
      <w:r>
        <w:rPr>
          <w:rFonts w:ascii="Times New Roman;serif" w:hAnsi="Times New Roman;serif"/>
          <w:b w:val="false"/>
          <w:color w:val="000000"/>
          <w:sz w:val="22"/>
        </w:rPr>
        <w:t>, the term “Representatives” as used herein shall mean you, as Underwriters, and the term “Underwriters” shall mean either the singular or the plural, as the context requires.</w:t>
      </w:r>
    </w:p>
    <w:p>
      <w:pPr>
        <w:pStyle w:val="TextBody"/>
        <w:bidi w:val="0"/>
        <w:spacing w:lineRule="auto" w:line="288" w:before="0" w:after="240"/>
        <w:ind w:left="0" w:right="0" w:firstLine="720"/>
        <w:jc w:val="left"/>
        <w:rPr/>
      </w:pPr>
      <w:r>
        <w:rPr>
          <w:rFonts w:ascii="Times New Roman;serif" w:hAnsi="Times New Roman;serif"/>
          <w:b w:val="false"/>
          <w:color w:val="000000"/>
          <w:sz w:val="22"/>
        </w:rPr>
        <w:t>The Company has prepared and filed with the Securities and Exchange Commission (the “</w:t>
      </w:r>
      <w:r>
        <w:rPr>
          <w:rFonts w:ascii="Times New Roman;serif" w:hAnsi="Times New Roman;serif"/>
          <w:b/>
          <w:color w:val="000000"/>
          <w:sz w:val="22"/>
        </w:rPr>
        <w:t>Commission</w:t>
      </w:r>
      <w:r>
        <w:rPr>
          <w:color w:val="000000"/>
        </w:rPr>
        <w:t>”</w:t>
      </w:r>
      <w:r>
        <w:rPr>
          <w:rFonts w:ascii="Times New Roman;serif" w:hAnsi="Times New Roman;serif"/>
          <w:b w:val="false"/>
          <w:color w:val="000000"/>
          <w:sz w:val="22"/>
        </w:rPr>
        <w:t xml:space="preserve">) an “automatic shelf” registration statement on Form S-3ASR, File No. 333-297063,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including a base prospectus (the “</w:t>
      </w:r>
      <w:r>
        <w:rPr>
          <w:rFonts w:ascii="Times New Roman;serif" w:hAnsi="Times New Roman;serif"/>
          <w:b/>
          <w:color w:val="000000"/>
          <w:sz w:val="22"/>
        </w:rPr>
        <w:t>Base Prospectus</w:t>
      </w:r>
      <w:r>
        <w:rPr>
          <w:color w:val="000000"/>
        </w:rPr>
        <w:t>”</w:t>
      </w:r>
      <w:r>
        <w:rPr>
          <w:rFonts w:ascii="Times New Roman;serif" w:hAnsi="Times New Roman;serif"/>
          <w:b w:val="false"/>
          <w:color w:val="000000"/>
          <w:sz w:val="22"/>
        </w:rPr>
        <w:t>) to be used in connection with the public offering and sale of the Offered Shares. Such registration statement, including the financial statements, exhibits and schedules thereto, in the form in which it became effective under the Securities Act of 1933, as amended, and the rules and regulations promulgated thereunder (collectively,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serif" w:hAnsi="Times New Roman;serif"/>
          <w:b/>
          <w:color w:val="000000"/>
          <w:sz w:val="22"/>
        </w:rPr>
        <w:t>Registration Statement</w:t>
      </w:r>
      <w:r>
        <w:rPr>
          <w:rFonts w:ascii="Times New Roman;serif" w:hAnsi="Times New Roman;serif"/>
          <w:b w:val="false"/>
          <w:color w:val="000000"/>
          <w:sz w:val="22"/>
        </w:rPr>
        <w:t>.” Any registration statement filed by the Company pursuant to Rule 462(b) under the Securities Act in connection with the offer and sale of the Offered Shares is called the “</w:t>
      </w:r>
      <w:r>
        <w:rPr>
          <w:rFonts w:ascii="Times New Roman;serif" w:hAnsi="Times New Roman;serif"/>
          <w:b/>
          <w:color w:val="000000"/>
          <w:sz w:val="22"/>
        </w:rPr>
        <w:t>Rule 462(b) Registration Statement</w:t>
      </w:r>
      <w:r>
        <w:rPr>
          <w:rFonts w:ascii="Times New Roman;serif" w:hAnsi="Times New Roman;serif"/>
          <w:b w:val="false"/>
          <w:color w:val="000000"/>
          <w:sz w:val="22"/>
        </w:rPr>
        <w:t>,” and from and after the date and time of filing of any such Rule 462(b) Registration Statement the term “Registration Statement” shall include the Rule 462(b) Registration Statement. The preliminary prospectus supplement dated October 5, 2026 describing the Offered Shares and the offering thereof (the “</w:t>
      </w:r>
      <w:r>
        <w:rPr>
          <w:rFonts w:ascii="Times New Roman;serif" w:hAnsi="Times New Roman;serif"/>
          <w:b/>
          <w:color w:val="000000"/>
          <w:sz w:val="22"/>
        </w:rPr>
        <w:t>Preliminary Prospectus Supplement</w:t>
      </w:r>
      <w:r>
        <w:rPr>
          <w:color w:val="000000"/>
        </w:rPr>
        <w:t>”</w:t>
      </w:r>
      <w:r>
        <w:rPr>
          <w:rFonts w:ascii="Times New Roman;serif" w:hAnsi="Times New Roman;serif"/>
          <w:b w:val="false"/>
          <w:color w:val="000000"/>
          <w:sz w:val="22"/>
        </w:rPr>
        <w:t>), together with the Base Prospectus, is called the “</w:t>
      </w:r>
      <w:r>
        <w:rPr>
          <w:rFonts w:ascii="Times New Roman;serif" w:hAnsi="Times New Roman;serif"/>
          <w:b/>
          <w:color w:val="000000"/>
          <w:sz w:val="22"/>
        </w:rPr>
        <w:t>Preliminary Prospectus</w:t>
      </w:r>
      <w:r>
        <w:rPr>
          <w:rFonts w:ascii="Times New Roman;serif" w:hAnsi="Times New Roman;serif"/>
          <w:b w:val="false"/>
          <w:color w:val="000000"/>
          <w:sz w:val="22"/>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Times New Roman;serif" w:hAnsi="Times New Roman;serif"/>
          <w:b/>
          <w:color w:val="000000"/>
          <w:sz w:val="22"/>
        </w:rPr>
        <w:t>preliminary prospectus</w:t>
      </w:r>
      <w:r>
        <w:rPr>
          <w:rFonts w:ascii="Times New Roman;serif" w:hAnsi="Times New Roman;serif"/>
          <w:b w:val="false"/>
          <w:color w:val="000000"/>
          <w:sz w:val="22"/>
        </w:rPr>
        <w:t>.” As used herein, the term “</w:t>
      </w:r>
      <w:r>
        <w:rPr>
          <w:rFonts w:ascii="Times New Roman;serif" w:hAnsi="Times New Roman;serif"/>
          <w:b/>
          <w:color w:val="000000"/>
          <w:sz w:val="22"/>
        </w:rPr>
        <w:t>Prospectus</w:t>
      </w:r>
      <w:r>
        <w:rPr>
          <w:color w:val="000000"/>
        </w:rPr>
        <w:t xml:space="preserve">” </w:t>
      </w:r>
      <w:r>
        <w:rPr>
          <w:rFonts w:ascii="Times New Roman;serif" w:hAnsi="Times New Roman;serif"/>
          <w:b w:val="false"/>
          <w:color w:val="000000"/>
          <w:sz w:val="22"/>
        </w:rPr>
        <w:t>shall mean the final prospectus supplement to the Base Prospectus that describes the Offered Shares and the offering thereof (the “</w:t>
      </w:r>
      <w:r>
        <w:rPr>
          <w:rFonts w:ascii="Times New Roman;serif" w:hAnsi="Times New Roman;serif"/>
          <w:b/>
          <w:color w:val="000000"/>
          <w:sz w:val="22"/>
        </w:rPr>
        <w:t>Final Prospectus Supplement</w:t>
      </w:r>
      <w:r>
        <w:rPr>
          <w:color w:val="000000"/>
        </w:rPr>
        <w:t>”</w:t>
      </w:r>
      <w:r>
        <w:rPr>
          <w:rFonts w:ascii="Times New Roman;serif" w:hAnsi="Times New Roman;serif"/>
          <w:b w:val="false"/>
          <w:color w:val="000000"/>
          <w:sz w:val="22"/>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serif" w:hAnsi="Times New Roman;serif"/>
          <w:b/>
          <w:color w:val="000000"/>
          <w:sz w:val="22"/>
        </w:rPr>
        <w:t>Applicable Time</w:t>
      </w:r>
      <w:r>
        <w:rPr>
          <w:color w:val="000000"/>
        </w:rPr>
        <w:t xml:space="preserve">” </w:t>
      </w:r>
      <w:r>
        <w:rPr>
          <w:rFonts w:ascii="Times New Roman;serif" w:hAnsi="Times New Roman;serif"/>
          <w:b w:val="false"/>
          <w:color w:val="000000"/>
          <w:sz w:val="22"/>
        </w:rPr>
        <w:t>is 6:45 p.m. (New York City time) on October 5, 2026. As used herein, “</w:t>
      </w:r>
      <w:r>
        <w:rPr>
          <w:rFonts w:ascii="Times New Roman;serif" w:hAnsi="Times New Roman;serif"/>
          <w:b/>
          <w:color w:val="000000"/>
          <w:sz w:val="22"/>
        </w:rPr>
        <w:t>free writing prospectus</w:t>
      </w:r>
      <w:r>
        <w:rPr>
          <w:color w:val="000000"/>
        </w:rPr>
        <w:t xml:space="preserve">” </w:t>
      </w:r>
      <w:r>
        <w:rPr>
          <w:rFonts w:ascii="Times New Roman;serif" w:hAnsi="Times New Roman;serif"/>
          <w:b w:val="false"/>
          <w:color w:val="000000"/>
          <w:sz w:val="22"/>
        </w:rPr>
        <w:t>has the meaning set forth in Rule 405 under the Securities Act, and “</w:t>
      </w:r>
      <w:r>
        <w:rPr>
          <w:rFonts w:ascii="Times New Roman;serif" w:hAnsi="Times New Roman;serif"/>
          <w:b/>
          <w:color w:val="000000"/>
          <w:sz w:val="22"/>
        </w:rPr>
        <w:t>Time of Sale Prospectus</w:t>
      </w:r>
      <w:r>
        <w:rPr>
          <w:color w:val="000000"/>
        </w:rPr>
        <w:t xml:space="preserve">” </w:t>
      </w:r>
      <w:r>
        <w:rPr>
          <w:rFonts w:ascii="Times New Roman;serif" w:hAnsi="Times New Roman;serif"/>
          <w:b w:val="false"/>
          <w:color w:val="000000"/>
          <w:sz w:val="22"/>
        </w:rPr>
        <w:t xml:space="preserve">means the Preliminary Prospectus, as amended or supplemented immediately prior to the Applicable Time, together with the free writing prospectuses, if any, identified in </w:t>
      </w:r>
      <w:r>
        <w:rPr>
          <w:rFonts w:ascii="Times New Roman;serif" w:hAnsi="Times New Roman;serif"/>
          <w:b w:val="false"/>
          <w:color w:val="000000"/>
          <w:sz w:val="22"/>
          <w:u w:val="single"/>
        </w:rPr>
        <w:t>Schedule C</w:t>
      </w:r>
      <w:r>
        <w:rPr>
          <w:color w:val="000000"/>
        </w:rPr>
        <w:t xml:space="preserve"> </w:t>
      </w:r>
      <w:r>
        <w:rPr>
          <w:rFonts w:ascii="Times New Roman;serif" w:hAnsi="Times New Roman;serif"/>
          <w:b w:val="false"/>
          <w:color w:val="000000"/>
          <w:sz w:val="22"/>
        </w:rPr>
        <w:t>hereto. As used herein, “</w:t>
      </w:r>
      <w:r>
        <w:rPr>
          <w:rFonts w:ascii="Times New Roman;serif" w:hAnsi="Times New Roman;serif"/>
          <w:b/>
          <w:color w:val="000000"/>
          <w:sz w:val="22"/>
        </w:rPr>
        <w:t>Written Testing-the-Waters Communication</w:t>
      </w:r>
      <w:r>
        <w:rPr>
          <w:color w:val="000000"/>
        </w:rPr>
        <w:t xml:space="preserve">” </w:t>
      </w:r>
      <w:r>
        <w:rPr>
          <w:rFonts w:ascii="Times New Roman;serif" w:hAnsi="Times New Roman;serif"/>
          <w:b w:val="false"/>
          <w:color w:val="000000"/>
          <w:sz w:val="22"/>
        </w:rPr>
        <w:t>means each written communication (within the meaning of Rule 405 under the Securities Act) that is made in reliance on Section 5(d) of the Securities Act or Rule 163B under the Securities Act by the Company or any person authorized to act on behalf of the Company to one or more potential investors that are qualified institutional buyers (“</w:t>
      </w:r>
      <w:r>
        <w:rPr>
          <w:rFonts w:ascii="Times New Roman;serif" w:hAnsi="Times New Roman;serif"/>
          <w:b/>
          <w:color w:val="000000"/>
          <w:sz w:val="22"/>
        </w:rPr>
        <w:t>QIBs</w:t>
      </w:r>
      <w:r>
        <w:rPr>
          <w:color w:val="000000"/>
        </w:rPr>
        <w:t>”</w:t>
      </w:r>
      <w:r>
        <w:rPr>
          <w:rFonts w:ascii="Times New Roman;serif" w:hAnsi="Times New Roman;serif"/>
          <w:b w:val="false"/>
          <w:color w:val="000000"/>
          <w:sz w:val="22"/>
        </w:rPr>
        <w:t>) and/or institutions that are accredited investors (“</w:t>
      </w:r>
      <w:r>
        <w:rPr>
          <w:rFonts w:ascii="Times New Roman;serif" w:hAnsi="Times New Roman;serif"/>
          <w:b/>
          <w:color w:val="000000"/>
          <w:sz w:val="22"/>
        </w:rPr>
        <w:t>IAIs</w:t>
      </w:r>
      <w:r>
        <w:rPr>
          <w:color w:val="000000"/>
        </w:rPr>
        <w:t>”</w:t>
      </w:r>
      <w:r>
        <w:rPr>
          <w:rFonts w:ascii="Times New Roman;serif" w:hAnsi="Times New Roman;serif"/>
          <w:b w:val="false"/>
          <w:color w:val="000000"/>
          <w:sz w:val="22"/>
        </w:rPr>
        <w:t>), as such terms are respectively defined in Rule 144A and Rule 501(a) under the Securities Act, to determine whether such investors might have an interest in the offering of the Offered Shares; “</w:t>
      </w:r>
      <w:r>
        <w:rPr>
          <w:rFonts w:ascii="Times New Roman;serif" w:hAnsi="Times New Roman;serif"/>
          <w:b/>
          <w:color w:val="000000"/>
          <w:sz w:val="22"/>
        </w:rPr>
        <w:t>Oral Testing-the-Waters Communication</w:t>
      </w:r>
      <w:r>
        <w:rPr>
          <w:color w:val="000000"/>
        </w:rPr>
        <w:t xml:space="preserve">” </w:t>
      </w:r>
      <w:r>
        <w:rPr>
          <w:rFonts w:ascii="Times New Roman;serif" w:hAnsi="Times New Roman;serif"/>
          <w:b w:val="false"/>
          <w:color w:val="000000"/>
          <w:sz w:val="22"/>
        </w:rPr>
        <w:t>means each oral communication, if any, made in reliance on Section 5(d) of the Securities Act or Rule 163B under the Securities Act by the Company or any person authorized to act on behalf of the Company made to one or more QIBs and/or one or more IAIs to determine whether such investors might have an interest in the offering of the Offered Shares; “</w:t>
      </w:r>
      <w:r>
        <w:rPr>
          <w:rFonts w:ascii="Times New Roman;serif" w:hAnsi="Times New Roman;serif"/>
          <w:b/>
          <w:color w:val="000000"/>
          <w:sz w:val="22"/>
        </w:rPr>
        <w:t>Marketing Materials</w:t>
      </w:r>
      <w:r>
        <w:rPr>
          <w:color w:val="000000"/>
        </w:rPr>
        <w:t xml:space="preserve">” </w:t>
      </w:r>
      <w:r>
        <w:rPr>
          <w:rFonts w:ascii="Times New Roman;serif" w:hAnsi="Times New Roman;serif"/>
          <w:b w:val="false"/>
          <w:color w:val="000000"/>
          <w:sz w:val="22"/>
        </w:rPr>
        <w:t>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Times New Roman;serif" w:hAnsi="Times New Roman;serif"/>
          <w:b/>
          <w:color w:val="000000"/>
          <w:sz w:val="22"/>
        </w:rPr>
        <w:t>Permitted Testing-the-Waters Communication</w:t>
      </w:r>
      <w:r>
        <w:rPr>
          <w:color w:val="000000"/>
        </w:rPr>
        <w:t xml:space="preserve">” </w:t>
      </w:r>
      <w:r>
        <w:rPr>
          <w:rFonts w:ascii="Times New Roman;serif" w:hAnsi="Times New Roman;serif"/>
          <w:b w:val="false"/>
          <w:color w:val="000000"/>
          <w:sz w:val="22"/>
        </w:rPr>
        <w:t xml:space="preserve">means the Written Testing-the-Waters Communication(s) and Marketing Materials listed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attached hereto.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All references in this Agreement to the Registration Statement, the Preliminary Prospectus, any preliminary prospectus, the Base Prospectus, the Prospectus or any free writing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shall include any copy thereof filed with the Commission pursuant to its Electronic Data Gathering, Analysis and Retrieval System (“</w:t>
      </w:r>
      <w:r>
        <w:rPr>
          <w:rFonts w:ascii="Times New Roman;serif" w:hAnsi="Times New Roman;serif"/>
          <w:b/>
          <w:color w:val="000000"/>
          <w:sz w:val="22"/>
        </w:rPr>
        <w:t>EDGAR</w:t>
      </w:r>
      <w:r>
        <w:rPr>
          <w:color w:val="000000"/>
        </w:rPr>
        <w:t>”</w:t>
      </w:r>
      <w:r>
        <w:rPr>
          <w:rFonts w:ascii="Times New Roman;serif" w:hAnsi="Times New Roman;serif"/>
          <w:b w:val="false"/>
          <w:color w:val="000000"/>
          <w:sz w:val="22"/>
        </w:rPr>
        <w:t>) and (ii) the Prospectus shall be deemed to include any “electronic Prospectus” provided for use in connection with the offering of the Offered Shares as contemplated by Section 3(n)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In the event that the Company has only one subsidiary, then all references herein to “Subsidiaries” of the Company shall be deemed to refer to such single Subsidiary, </w:t>
      </w:r>
      <w:r>
        <w:rPr>
          <w:rFonts w:ascii="Times New Roman;serif" w:hAnsi="Times New Roman;serif"/>
          <w:b w:val="false"/>
          <w:color w:val="000000"/>
          <w:sz w:val="22"/>
          <w:u w:val="single"/>
        </w:rPr>
        <w:t>mutatis</w:t>
      </w:r>
      <w:r>
        <w:rPr>
          <w:color w:val="000000"/>
        </w:rPr>
        <w:t xml:space="preserve"> </w:t>
      </w:r>
      <w:r>
        <w:rPr>
          <w:rFonts w:ascii="Times New Roman;serif" w:hAnsi="Times New Roman;serif"/>
          <w:b w:val="false"/>
          <w:color w:val="000000"/>
          <w:sz w:val="22"/>
          <w:u w:val="single"/>
        </w:rPr>
        <w:t>mutandis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hereby confirms its agreements with the Underwriters as follows:</w:t>
      </w:r>
    </w:p>
    <w:p>
      <w:pPr>
        <w:pStyle w:val="TextBody"/>
        <w:bidi w:val="0"/>
        <w:spacing w:lineRule="auto" w:line="288" w:before="0" w:after="240"/>
        <w:ind w:left="0" w:right="0" w:firstLine="1440"/>
        <w:jc w:val="left"/>
        <w:rPr/>
      </w:pPr>
      <w:r>
        <w:rPr>
          <w:rFonts w:ascii="Times New Roman;serif" w:hAnsi="Times New Roman;serif"/>
          <w:b/>
          <w:color w:val="000000"/>
          <w:sz w:val="22"/>
        </w:rPr>
        <w:t>Section 1.</w:t>
      </w:r>
      <w:r>
        <w:rPr>
          <w:rFonts w:ascii="Times New Roman;serif" w:hAnsi="Times New Roman;serif"/>
          <w:b/>
          <w:color w:val="000000"/>
          <w:sz w:val="22"/>
        </w:rPr>
        <w:t>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hereby represents, warrants and covenants to each Underwriter, as of the date of this Agreement, as of the First Closing Date (as hereinafter defined) and as of each Option Closing Date (as hereinafter defined), if any, as follows: </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Compliance with Registration Requirements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Registration Statement became effective upon filing with the Commission pursuant to Rule 462(e) under the Securities Act. The Company has complied, and will comply,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2025 was filed with the Commission, or, if later, at the time the Registration Statement was originally filed with the Commission, the Company met the then-applicable requirements for use of Form S-3 under the Securities Act and was a “well-known seasoned issuer” as defined in Rule 405 under the Securities Act. The Company meets the requirements for use of Form S-3 under the Securities Act specified in FINRA Rule 5110(j)(6).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Disclosure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Each preliminary prospectus and the Prospectus when first used or filed, as applicable,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Free Writing Prospectuses; Eligible Issuer</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As of the determination date referenced in Rule 164(h) under the Securities Act, the 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serif" w:hAnsi="Times New Roman;serif"/>
          <w:b w:val="false"/>
          <w:color w:val="000000"/>
          <w:sz w:val="22"/>
          <w:u w:val="single"/>
        </w:rPr>
        <w:t>Schedule C</w:t>
      </w:r>
      <w:r>
        <w:rPr>
          <w:rFonts w:ascii="Times New Roman;serif" w:hAnsi="Times New Roman;serif"/>
          <w:b w:val="false"/>
          <w:color w:val="000000"/>
          <w:sz w:val="22"/>
        </w:rPr>
        <w:t xml:space="preserve">, if any, furnished to you before first use, the Company has not prepared, used or referred to, and will not, without your prior written consent, prepare, use or refer to, any free writing prospectus. </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Distribution of Offering Material By the Company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Prior to the later of (i) the expiration or termination of the option granted to the several Underwriters in Section 2 and (ii) the completion of the Underwriters’ distribution of the Offered Shares, the Company has not distributed and will not distribute any offering material in connection with the offering and sale of the Offered Shares other than the Registration Statement, the Time of Sale Prospectus, the Prospectus or any free writing prospectuses, if any, identified on Schedule C hereto.</w: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The Underwriting Agreement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has been duly authorized, executed and delivered by the Company.</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Authorization of the Offered Shares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Offered Shares have been duly authorized for issuance and sale pursuant to this Agreement and, when issued and delivered by the Company against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payment therefor pursuant to this Agreement, will be validly issued, fully paid and nonassessable, free and clear of any pledge, lien, encumbrance, security interest or other claim. The issuance and sale of the Offered Shares is not and will not be, subject to preemptive or other similar rights arising by operation of law, under the organizational documents of the Company or under any agreement to which the Company or its Subsidiaries (as defined below) is a party or otherwise, except as have been validly waived or complied with.</w:t>
      </w:r>
      <w:r>
        <w:rPr>
          <w:color w:val="FF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(g)</w:t>
      </w:r>
      <w:r>
        <w:rPr>
          <w:rFonts w:ascii="Times New Roman;serif" w:hAnsi="Times New Roman;serif"/>
          <w:b/>
          <w:i/>
          <w:color w:val="000000"/>
          <w:sz w:val="22"/>
        </w:rPr>
        <w:t>No Applicable Registration or Other Similar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There are no persons with registration or other similar rights to have any equity or debt securities registered for sale under the Registration Statement or included in the offering contemplated by this Agreement, except for such rights as have been duly waived or complied with.</w:t>
      </w:r>
    </w:p>
    <w:p>
      <w:pPr>
        <w:pStyle w:val="TextBody"/>
        <w:bidi w:val="0"/>
        <w:spacing w:lineRule="auto" w:line="288" w:before="0" w:after="240"/>
        <w:ind w:left="0" w:right="0" w:firstLine="720"/>
        <w:jc w:val="left"/>
        <w:rPr/>
      </w:pPr>
      <w:r>
        <w:rPr>
          <w:rFonts w:ascii="Times New Roman;serif" w:hAnsi="Times New Roman;serif"/>
          <w:b/>
          <w:color w:val="000000"/>
          <w:sz w:val="22"/>
        </w:rPr>
        <w:t>(h)</w:t>
      </w:r>
      <w:r>
        <w:rPr>
          <w:rFonts w:ascii="Times New Roman;serif" w:hAnsi="Times New Roman;serif"/>
          <w:b/>
          <w:i/>
          <w:color w:val="000000"/>
          <w:sz w:val="22"/>
        </w:rPr>
        <w:t>No Material Adverse Change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serif" w:hAnsi="Times New Roman;serif"/>
          <w:b/>
          <w:color w:val="000000"/>
          <w:sz w:val="22"/>
        </w:rPr>
        <w:t>Material Adverse Change</w:t>
      </w:r>
      <w:r>
        <w:rPr>
          <w:color w:val="000000"/>
        </w:rPr>
        <w:t>”</w:t>
      </w:r>
      <w:r>
        <w:rPr>
          <w:rFonts w:ascii="Times New Roman;serif" w:hAnsi="Times New Roman;serif"/>
          <w:b w:val="false"/>
          <w:color w:val="000000"/>
          <w:sz w:val="22"/>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pStyle w:val="TextBody"/>
        <w:bidi w:val="0"/>
        <w:spacing w:lineRule="auto" w:line="288" w:before="0" w:after="240"/>
        <w:ind w:left="0" w:right="0" w:firstLine="720"/>
        <w:jc w:val="left"/>
        <w:rPr/>
      </w:pPr>
      <w:r>
        <w:rPr>
          <w:rFonts w:ascii="Times New Roman;serif" w:hAnsi="Times New Roman;serif"/>
          <w:b/>
          <w:color w:val="000000"/>
          <w:sz w:val="22"/>
        </w:rPr>
        <w:t>(i)</w:t>
      </w:r>
      <w:r>
        <w:rPr>
          <w:rFonts w:ascii="Times New Roman;serif" w:hAnsi="Times New Roman;serif"/>
          <w:b/>
          <w:i/>
          <w:color w:val="000000"/>
          <w:sz w:val="22"/>
        </w:rPr>
        <w:t>Independent Accountants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of PricewaterhouseCoopers LLP, which has expressed its opinion with respect to the consolidated financial statements (which term as used in this Agreement includes the related notes thereto) of the Company and its Subsidiaries as of December 31, 2024 and for each of the two years in the period ended December 31, 2024, filed with the Commission or incorporated by reference as a part of the Registration Statement and included in the Time of Sale Prospectus and Prospectus, and KPMG LLP, which has expressed its opinion with respect to the consolidated financial statements of the Company and its Subsidiaries as of December 31, 2025 and for the year ended December 31, 2025, is (i) an independent registered public accounting firm as required by the Securities Act and the Exchange Act and the rules of the Public Company Accounting Oversight Board (“</w:t>
      </w:r>
      <w:r>
        <w:rPr>
          <w:rFonts w:ascii="Times New Roman;serif" w:hAnsi="Times New Roman;serif"/>
          <w:b/>
          <w:color w:val="000000"/>
          <w:sz w:val="22"/>
        </w:rPr>
        <w:t>PCAOB</w:t>
      </w:r>
      <w:r>
        <w:rPr>
          <w:color w:val="000000"/>
        </w:rPr>
        <w:t>”</w:t>
      </w:r>
      <w:r>
        <w:rPr>
          <w:rFonts w:ascii="Times New Roman;serif" w:hAnsi="Times New Roman;serif"/>
          <w:b w:val="false"/>
          <w:color w:val="000000"/>
          <w:sz w:val="22"/>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lineRule="auto" w:line="288" w:before="0" w:after="240"/>
        <w:ind w:left="0" w:right="0" w:firstLine="720"/>
        <w:jc w:val="left"/>
        <w:rPr/>
      </w:pPr>
      <w:r>
        <w:rPr>
          <w:rFonts w:ascii="Times New Roman;serif" w:hAnsi="Times New Roman;serif"/>
          <w:b/>
          <w:color w:val="000000"/>
          <w:sz w:val="22"/>
        </w:rPr>
        <w:t>(j)</w:t>
      </w:r>
      <w:r>
        <w:rPr>
          <w:rFonts w:ascii="Times New Roman;serif" w:hAnsi="Times New Roman;serif"/>
          <w:b/>
          <w:i/>
          <w:color w:val="000000"/>
          <w:sz w:val="22"/>
        </w:rPr>
        <w:t>Financial Statements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financial statements, as restated, filed with the Commission as a part of or incorporated by reference in the Registration Statement and included in the Time of Sale Prospectus and the Prospectus present fairly in all material respects the consolidated financial position of the Company and its Subsidiaries as of and at the dates indicated and the results of their operations, changes in stockholders’ equity and cash flows for the periods specified. The supporting schedules (if any) included in or incorporated in the Registration Statement present fairly in all material respects the information required to be stated therein. Such financial statements, as restated, and supporting schedules (if any) have been prepared in conformity with generally accepted accounting principles as applied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United States applied on a consistent basis throughout the periods involved, except as may be expressly stated in the related notes thereto and in the case of unaudited interim financial statements, which are subject to normal year-end adjustments and do not contain certain footnotes as permitted by the applicable rules of the Commission. No other financial statements or supporting schedules are required to be included in or incorporated in the Registration Statement, the Time of Sale Prospectus or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(k)</w:t>
      </w:r>
      <w:r>
        <w:rPr>
          <w:rFonts w:ascii="Times New Roman;serif" w:hAnsi="Times New Roman;serif"/>
          <w:b/>
          <w:i/>
          <w:color w:val="000000"/>
          <w:sz w:val="22"/>
        </w:rPr>
        <w:t>XBRL.</w:t>
      </w:r>
      <w:r>
        <w:rPr>
          <w:color w:val="000000"/>
        </w:rPr>
        <w:t xml:space="preserve"> </w:t>
      </w:r>
      <w:r>
        <w:rPr>
          <w:rFonts w:ascii="Times New Roman;serif" w:hAnsi="Times New Roman;serif"/>
          <w:b w:val="false"/>
          <w:color w:val="000000"/>
          <w:sz w:val="22"/>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in all material respects.</w:t>
      </w:r>
    </w:p>
    <w:p>
      <w:pPr>
        <w:pStyle w:val="TextBody"/>
        <w:bidi w:val="0"/>
        <w:spacing w:lineRule="auto" w:line="288" w:before="0" w:after="240"/>
        <w:ind w:left="0" w:right="0" w:firstLine="720"/>
        <w:jc w:val="left"/>
        <w:rPr/>
      </w:pPr>
      <w:r>
        <w:rPr>
          <w:rFonts w:ascii="Times New Roman;serif" w:hAnsi="Times New Roman;serif"/>
          <w:b/>
          <w:color w:val="000000"/>
          <w:sz w:val="22"/>
        </w:rPr>
        <w:t>(l)</w:t>
      </w:r>
      <w:r>
        <w:rPr>
          <w:rFonts w:ascii="Times New Roman;serif" w:hAnsi="Times New Roman;serif"/>
          <w:b/>
          <w:i/>
          <w:color w:val="000000"/>
          <w:sz w:val="22"/>
        </w:rPr>
        <w:t>Company’s Accounting System</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maintains a system of “internal control over financial reporting” (as such term is defined in Rule 13a-15(f) of the General Rules and Regulations under the Exchange Act (the “</w:t>
      </w:r>
      <w:r>
        <w:rPr>
          <w:rFonts w:ascii="Times New Roman;serif" w:hAnsi="Times New Roman;serif"/>
          <w:b/>
          <w:color w:val="000000"/>
          <w:sz w:val="22"/>
        </w:rPr>
        <w:t>Exchange Act Rules</w:t>
      </w:r>
      <w:r>
        <w:rPr>
          <w:color w:val="000000"/>
        </w:rPr>
        <w:t>”</w:t>
      </w:r>
      <w:r>
        <w:rPr>
          <w:rFonts w:ascii="Times New Roman;serif" w:hAnsi="Times New Roman;serif"/>
          <w:b w:val="false"/>
          <w:color w:val="000000"/>
          <w:sz w:val="22"/>
        </w:rPr>
        <w:t xml:space="preserve">)) that complies with the requirements of the Exchange Act and has been designed by the Company’s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maintains and will continue to maintain a standard system of accounting established and administered in accordance with U.S. GAAP and the applicable requirements of the Exchange Act. </w:t>
      </w:r>
    </w:p>
    <w:p>
      <w:pPr>
        <w:pStyle w:val="TextBody"/>
        <w:bidi w:val="0"/>
        <w:spacing w:lineRule="auto" w:line="288" w:before="0" w:after="240"/>
        <w:ind w:left="0" w:right="0" w:firstLine="720"/>
        <w:jc w:val="left"/>
        <w:rPr/>
      </w:pPr>
      <w:r>
        <w:rPr>
          <w:rFonts w:ascii="Times New Roman;serif" w:hAnsi="Times New Roman;serif"/>
          <w:b/>
          <w:color w:val="000000"/>
          <w:sz w:val="22"/>
        </w:rPr>
        <w:t>(m)</w:t>
      </w:r>
      <w:r>
        <w:rPr>
          <w:rFonts w:ascii="Times New Roman;serif" w:hAnsi="Times New Roman;serif"/>
          <w:b/>
          <w:i/>
          <w:color w:val="000000"/>
          <w:sz w:val="22"/>
        </w:rPr>
        <w:t>Sarbanes-Oxley; Disclosure Controls and Procedures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is in compliance in all material respects with the applicable provisions of the Sarbanes-Oxley Act of 2002 and the rules and regulations promulgated thereunder The Company has established and maintains disclosure controls and procedures (as defined in Exchange Act Rules 13a-15(e) and 15d-15(e)) designed to ensure that (i) material information relating to the Company and its Subsidiaries is made known to the Company’s principal executive officer and its principal financial officer by others within those entities and (ii) information required to be disclosed by the Company in reports that it files, furnishes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conducted evaluations of the effectiveness of its disclosure controls as required by Rule 13a-15 of the Exchange Act.</w:t>
      </w:r>
    </w:p>
    <w:p>
      <w:pPr>
        <w:pStyle w:val="TextBody"/>
        <w:bidi w:val="0"/>
        <w:spacing w:lineRule="auto" w:line="288" w:before="0" w:after="240"/>
        <w:ind w:left="0" w:right="0" w:firstLine="720"/>
        <w:jc w:val="left"/>
        <w:rPr/>
      </w:pPr>
      <w:r>
        <w:rPr>
          <w:rFonts w:ascii="Times New Roman;serif" w:hAnsi="Times New Roman;serif"/>
          <w:b/>
          <w:color w:val="000000"/>
          <w:sz w:val="22"/>
        </w:rPr>
        <w:t>(n)</w:t>
      </w:r>
      <w:r>
        <w:rPr>
          <w:rFonts w:ascii="Times New Roman;serif" w:hAnsi="Times New Roman;serif"/>
          <w:b/>
          <w:i/>
          <w:color w:val="000000"/>
          <w:sz w:val="22"/>
        </w:rPr>
        <w:t>Incorporation and Good Standing of the Company and its Subsidiaries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has been duly incorporated and is validly existing as a corporation in good standing under the laws of the jurisdiction of its incorporation and has corporate power and authority to own, lease and operate its properties and to conduct its business as described in the Registration Statement, the Time of Sale Prospectus and the Prospectus and to enter into and perform its obligations under this Agreement and to consummate the transactions contemplated herein and therein. Each material subsidiary of the Company (each a “</w:t>
      </w:r>
      <w:r>
        <w:rPr>
          <w:rFonts w:ascii="Times New Roman;serif" w:hAnsi="Times New Roman;serif"/>
          <w:b/>
          <w:color w:val="000000"/>
          <w:sz w:val="22"/>
        </w:rPr>
        <w:t>Subsidiary</w:t>
      </w:r>
      <w:r>
        <w:rPr>
          <w:color w:val="000000"/>
        </w:rPr>
        <w:t>”</w:t>
      </w:r>
      <w:r>
        <w:rPr>
          <w:rFonts w:ascii="Times New Roman;serif" w:hAnsi="Times New Roman;serif"/>
          <w:b w:val="false"/>
          <w:color w:val="000000"/>
          <w:sz w:val="22"/>
        </w:rPr>
        <w:t xml:space="preserve">) has been duly organized and is validly existing as a corporation or limited liability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company in good standing under the laws of the jurisdiction of its organization and has the requisite power and authority to own, lease and operate its properties and to conduct its business as described in the Registration Statement, the Time of Sale Prospectus and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All of the issued and outstanding equity interests of the Subsidiaries have been duly authorized and validly issued, are fully paid and nonassessable and are owned by the Company, directly or through the Subsidiaries, free and clear of any security interest, mortgage, pledge, lien, encumbrance or adverse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 </w:t>
      </w:r>
    </w:p>
    <w:p>
      <w:pPr>
        <w:pStyle w:val="TextBody"/>
        <w:bidi w:val="0"/>
        <w:spacing w:lineRule="auto" w:line="288" w:before="0" w:after="240"/>
        <w:ind w:left="0" w:right="0" w:firstLine="720"/>
        <w:jc w:val="left"/>
        <w:rPr/>
      </w:pPr>
      <w:r>
        <w:rPr>
          <w:rFonts w:ascii="Times New Roman;serif" w:hAnsi="Times New Roman;serif"/>
          <w:b/>
          <w:color w:val="000000"/>
          <w:sz w:val="22"/>
        </w:rPr>
        <w:t>(o)</w:t>
      </w:r>
      <w:r>
        <w:rPr>
          <w:rFonts w:ascii="Times New Roman;serif" w:hAnsi="Times New Roman;serif"/>
          <w:b/>
          <w:i/>
          <w:color w:val="000000"/>
          <w:sz w:val="22"/>
        </w:rPr>
        <w:t>Capitalization and Other Capital Stock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authorized, issued and outstanding capital stock of the Company is as set forth in the Registration Statement, the Time of Sale Prospectus and the Prospectus under the caption “Description of Securities” (other than for subsequent issuances, if any, pursuant to employee benefit plans, or upon the exercise of outstanding options or warrants, in each case described in the Registration Statement, the Time of Sale Prospectus and the Prospectus). The Common Stock (including the Offered Shares) conforms in all material respects to the descriptions thereof contained in the Time of Sale Prospectus and Prospectus. All of the issued and outstanding shares of Common Stock have been duly authorized and validly issued, are fully paid and nonassessable and have been issued in compliance with applicable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Registration Statement, the Time of Sale Prospectus and the Prospectus. The description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pStyle w:val="TextBody"/>
        <w:bidi w:val="0"/>
        <w:spacing w:lineRule="auto" w:line="288" w:before="0" w:after="240"/>
        <w:ind w:left="0" w:right="0" w:firstLine="720"/>
        <w:jc w:val="left"/>
        <w:rPr/>
      </w:pPr>
      <w:r>
        <w:rPr>
          <w:rFonts w:ascii="Times New Roman;serif" w:hAnsi="Times New Roman;serif"/>
          <w:b/>
          <w:color w:val="000000"/>
          <w:sz w:val="22"/>
        </w:rPr>
        <w:t>(p)</w:t>
      </w:r>
      <w:r>
        <w:rPr>
          <w:rFonts w:ascii="Times New Roman;serif" w:hAnsi="Times New Roman;serif"/>
          <w:b/>
          <w:i/>
          <w:color w:val="000000"/>
          <w:sz w:val="22"/>
        </w:rPr>
        <w:t>Stock Exchange Listing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is subject to and in compliance in all material respects with the reporting requirements of Section 13 or Section 15(d) of the Exchange Act. The Common Stock is registered pursuant to Section 12(b) or Section 12(g) of the Exchange Act and is listed on the Nasdaq Global Select Market (the “</w:t>
      </w:r>
      <w:r>
        <w:rPr>
          <w:rFonts w:ascii="Times New Roman;serif" w:hAnsi="Times New Roman;serif"/>
          <w:b/>
          <w:color w:val="000000"/>
          <w:sz w:val="22"/>
        </w:rPr>
        <w:t>Nasdaq</w:t>
      </w:r>
      <w:r>
        <w:rPr>
          <w:color w:val="000000"/>
        </w:rPr>
        <w:t>”</w:t>
      </w:r>
      <w:r>
        <w:rPr>
          <w:rFonts w:ascii="Times New Roman;serif" w:hAnsi="Times New Roman;serif"/>
          <w:b w:val="false"/>
          <w:color w:val="000000"/>
          <w:sz w:val="22"/>
        </w:rPr>
        <w:t xml:space="preserve">),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Offered Shares that have been or may be sold under this Agreement have been approved for listing on the Nasdaq, subject to official notice of issuance; the Company has taken all necessary actions to ensure that, upon and at all times after the Nasdaq shall have approved the Offered Shares for listing, it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will be in compliance with all applicable corporate governance requirements set forth in the Nasdaq’s listing rules that are then in effect.</w:t>
      </w:r>
    </w:p>
    <w:p>
      <w:pPr>
        <w:pStyle w:val="TextBody"/>
        <w:bidi w:val="0"/>
        <w:spacing w:lineRule="auto" w:line="288" w:before="0" w:after="240"/>
        <w:ind w:left="0" w:right="0" w:firstLine="720"/>
        <w:jc w:val="left"/>
        <w:rPr/>
      </w:pPr>
      <w:r>
        <w:rPr>
          <w:rFonts w:ascii="Times New Roman;serif" w:hAnsi="Times New Roman;serif"/>
          <w:b/>
          <w:color w:val="000000"/>
          <w:sz w:val="22"/>
        </w:rPr>
        <w:t>(q)</w:t>
      </w:r>
      <w:r>
        <w:rPr>
          <w:rFonts w:ascii="Times New Roman;serif" w:hAnsi="Times New Roman;serif"/>
          <w:b/>
          <w:i/>
          <w:color w:val="000000"/>
          <w:sz w:val="22"/>
        </w:rPr>
        <w:t>Non-Contravention of Existing Instruments; No Further Authorizations or Approvals Required</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Company nor any of its Subsidiaries is in violation of its charter or bylaws or is in default (or, with the giving of notice or lapse of time, would be in default) (“</w:t>
      </w:r>
      <w:r>
        <w:rPr>
          <w:rFonts w:ascii="Times New Roman;serif" w:hAnsi="Times New Roman;serif"/>
          <w:b/>
          <w:color w:val="000000"/>
          <w:sz w:val="22"/>
        </w:rPr>
        <w:t>Default</w:t>
      </w:r>
      <w:r>
        <w:rPr>
          <w:color w:val="000000"/>
        </w:rPr>
        <w:t>”</w:t>
      </w:r>
      <w:r>
        <w:rPr>
          <w:rFonts w:ascii="Times New Roman;serif" w:hAnsi="Times New Roman;serif"/>
          <w:b w:val="false"/>
          <w:color w:val="000000"/>
          <w:sz w:val="22"/>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serif" w:hAnsi="Times New Roman;serif"/>
          <w:b/>
          <w:color w:val="000000"/>
          <w:sz w:val="22"/>
        </w:rPr>
        <w:t>Existing Instrument</w:t>
      </w:r>
      <w:r>
        <w:rPr>
          <w:color w:val="000000"/>
        </w:rPr>
        <w:t>”</w:t>
      </w:r>
      <w:r>
        <w:rPr>
          <w:rFonts w:ascii="Times New Roman;serif" w:hAnsi="Times New Roman;serif"/>
          <w:b w:val="false"/>
          <w:color w:val="000000"/>
          <w:sz w:val="22"/>
        </w:rPr>
        <w:t>), except for such Defaults as would not, individually or in the aggregate, reasonably be expected to result in a Material Adverse Change. The Company’s execution, delivery and performance of this Agreement and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Subsidiary, except in the case of clauses (ii) and (iii) above,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applicable state securities or blue sky laws and from the Financial Industry Regulatory Authority, Inc. (“</w:t>
      </w:r>
      <w:r>
        <w:rPr>
          <w:rFonts w:ascii="Times New Roman;serif" w:hAnsi="Times New Roman;serif"/>
          <w:b/>
          <w:color w:val="000000"/>
          <w:sz w:val="22"/>
        </w:rPr>
        <w:t>FINRA</w:t>
      </w:r>
      <w:r>
        <w:rPr>
          <w:color w:val="000000"/>
        </w:rPr>
        <w:t>”</w:t>
      </w:r>
      <w:r>
        <w:rPr>
          <w:rFonts w:ascii="Times New Roman;serif" w:hAnsi="Times New Roman;serif"/>
          <w:b w:val="false"/>
          <w:color w:val="000000"/>
          <w:sz w:val="22"/>
        </w:rPr>
        <w:t>). As used herein, a “</w:t>
      </w:r>
      <w:r>
        <w:rPr>
          <w:rFonts w:ascii="Times New Roman;serif" w:hAnsi="Times New Roman;serif"/>
          <w:b/>
          <w:color w:val="000000"/>
          <w:sz w:val="22"/>
        </w:rPr>
        <w:t>Debt Repayment Triggering Event</w:t>
      </w:r>
      <w:r>
        <w:rPr>
          <w:color w:val="000000"/>
        </w:rPr>
        <w:t xml:space="preserve">” </w:t>
      </w:r>
      <w:r>
        <w:rPr>
          <w:rFonts w:ascii="Times New Roman;serif" w:hAnsi="Times New Roman;serif"/>
          <w:b w:val="false"/>
          <w:color w:val="000000"/>
          <w:sz w:val="22"/>
        </w:rPr>
        <w:t>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lineRule="auto" w:line="288" w:before="0" w:after="240"/>
        <w:ind w:left="0" w:right="0" w:firstLine="720"/>
        <w:jc w:val="left"/>
        <w:rPr/>
      </w:pPr>
      <w:r>
        <w:rPr>
          <w:rFonts w:ascii="Times New Roman;serif" w:hAnsi="Times New Roman;serif"/>
          <w:b/>
          <w:color w:val="000000"/>
          <w:sz w:val="22"/>
        </w:rPr>
        <w:t>(r)</w:t>
      </w:r>
      <w:r>
        <w:rPr>
          <w:rFonts w:ascii="Times New Roman;serif" w:hAnsi="Times New Roman;serif"/>
          <w:b/>
          <w:i/>
          <w:color w:val="000000"/>
          <w:sz w:val="22"/>
        </w:rPr>
        <w:t>Compliance with Laws.</w:t>
      </w:r>
      <w:r>
        <w:rPr>
          <w:color w:val="000000"/>
        </w:rPr>
        <w:t xml:space="preserve"> </w:t>
      </w:r>
      <w:r>
        <w:rPr>
          <w:rFonts w:ascii="Times New Roman;serif" w:hAnsi="Times New Roman;serif"/>
          <w:b w:val="false"/>
          <w:color w:val="000000"/>
          <w:sz w:val="22"/>
        </w:rPr>
        <w:t>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pStyle w:val="TextBody"/>
        <w:bidi w:val="0"/>
        <w:spacing w:lineRule="auto" w:line="288" w:before="0" w:after="240"/>
        <w:ind w:left="0" w:right="0" w:firstLine="720"/>
        <w:jc w:val="left"/>
        <w:rPr/>
      </w:pPr>
      <w:r>
        <w:rPr>
          <w:rFonts w:ascii="Times New Roman;serif" w:hAnsi="Times New Roman;serif"/>
          <w:b/>
          <w:color w:val="000000"/>
          <w:sz w:val="22"/>
        </w:rPr>
        <w:t>(s)</w:t>
      </w:r>
      <w:r>
        <w:rPr>
          <w:rFonts w:ascii="Times New Roman;serif" w:hAnsi="Times New Roman;serif"/>
          <w:b/>
          <w:i/>
          <w:color w:val="000000"/>
          <w:sz w:val="22"/>
        </w:rPr>
        <w:t>No Material Actions or Proceedings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There are no legal or governmental actions, suits or proceedings pending or, to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Agreement. No material labor dispute with the employees of the Company or any of its Subsidiaries exists or, to the Company’s knowledge, is threatened or imminent.</w:t>
      </w:r>
    </w:p>
    <w:p>
      <w:pPr>
        <w:pStyle w:val="TextBody"/>
        <w:bidi w:val="0"/>
        <w:spacing w:lineRule="auto" w:line="288" w:before="0" w:after="240"/>
        <w:ind w:left="0" w:right="0" w:firstLine="720"/>
        <w:jc w:val="left"/>
        <w:rPr/>
      </w:pPr>
      <w:r>
        <w:rPr>
          <w:rFonts w:ascii="Times New Roman;serif" w:hAnsi="Times New Roman;serif"/>
          <w:b/>
          <w:color w:val="000000"/>
          <w:sz w:val="22"/>
        </w:rPr>
        <w:t>(t)</w:t>
      </w:r>
      <w:r>
        <w:rPr>
          <w:rFonts w:ascii="Times New Roman;serif" w:hAnsi="Times New Roman;serif"/>
          <w:b/>
          <w:i/>
          <w:color w:val="000000"/>
          <w:sz w:val="22"/>
        </w:rPr>
        <w:t>Intellectual Property Rights</w:t>
      </w:r>
      <w:r>
        <w:rPr>
          <w:rFonts w:ascii="Times New Roman;serif" w:hAnsi="Times New Roman;serif"/>
          <w:b/>
          <w:color w:val="000000"/>
          <w:sz w:val="22"/>
        </w:rPr>
        <w:t xml:space="preserve">.  </w:t>
      </w:r>
      <w:r>
        <w:rPr>
          <w:rFonts w:ascii="Times New Roman;serif" w:hAnsi="Times New Roman;serif"/>
          <w:b w:val="false"/>
          <w:color w:val="000000"/>
          <w:sz w:val="22"/>
        </w:rPr>
        <w:t>The Company and its Subsidiaries own, possess, have valid license rights or can acquire on a reasonable terms, adequate rights to use all (i) patents, patent applications, trademarks, trademark registrations, service marks, service mark registrations, Internet domain name registrations, copyrights, copyright registrations, licenses, trade secret rights (“</w:t>
      </w:r>
      <w:r>
        <w:rPr>
          <w:rFonts w:ascii="Times New Roman;serif" w:hAnsi="Times New Roman;serif"/>
          <w:b/>
          <w:color w:val="000000"/>
          <w:sz w:val="22"/>
        </w:rPr>
        <w:t>Intellectual Property Rights</w:t>
      </w:r>
      <w:r>
        <w:rPr>
          <w:color w:val="000000"/>
        </w:rPr>
        <w:t>”</w:t>
      </w:r>
      <w:r>
        <w:rPr>
          <w:rFonts w:ascii="Times New Roman;serif" w:hAnsi="Times New Roman;serif"/>
          <w:b w:val="false"/>
          <w:color w:val="000000"/>
          <w:sz w:val="22"/>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serif" w:hAnsi="Times New Roman;serif"/>
          <w:b/>
          <w:color w:val="000000"/>
          <w:sz w:val="22"/>
        </w:rPr>
        <w:t>Intellectual Property Assets</w:t>
      </w:r>
      <w:r>
        <w:rPr>
          <w:color w:val="000000"/>
        </w:rPr>
        <w:t>”</w:t>
      </w:r>
      <w:r>
        <w:rPr>
          <w:rFonts w:ascii="Times New Roman;serif" w:hAnsi="Times New Roman;serif"/>
          <w:b w:val="false"/>
          <w:color w:val="000000"/>
          <w:sz w:val="22"/>
        </w:rPr>
        <w:t>) necessary to conduct their respective businesses as currently conducted, and as proposed to be conducted and described in the Registration Statement, the Time of Sale Prospectus and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knowledge of the Company, the Company and its Subsidiaries’ respective businesses as now conducted do not give rise to any infringement of, any misappropriation of, or other violation of, any valid and enforceable Intellectual Property Rights of any other person in any material respect. All licenses for the use of the Intellectual Property Rights described in the Registration Statement, the Time of Sale Prospectus and the Prospectus are valid, binding upon, and enforceable by or against the parties thereto in accordance with their terms. Since the Merger Date (as defined below), and, to the Company’s knowledge, prior to the Merger Date, the Company has complied in all material respects with, and is not in breach of, any intellectual property license and has not received any asserted or threatened claim of breach of any intellectual property license. The Company has no knowledge of any breach or anticipated breach by any other person to any intellectual property license. Since the Merger Date, and, to the Company’s knowledge, prior to the Merger Date, no written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pStyle w:val="TextBody"/>
        <w:bidi w:val="0"/>
        <w:spacing w:lineRule="auto" w:line="288" w:before="0" w:after="240"/>
        <w:ind w:left="0" w:right="0" w:firstLine="720"/>
        <w:jc w:val="left"/>
        <w:rPr/>
      </w:pPr>
      <w:r>
        <w:rPr>
          <w:rFonts w:ascii="Times New Roman;serif" w:hAnsi="Times New Roman;serif"/>
          <w:b/>
          <w:color w:val="000000"/>
          <w:sz w:val="22"/>
        </w:rPr>
        <w:t>(u)</w:t>
      </w:r>
      <w:r>
        <w:rPr>
          <w:rFonts w:ascii="Times New Roman;serif" w:hAnsi="Times New Roman;serif"/>
          <w:b/>
          <w:i/>
          <w:color w:val="000000"/>
          <w:sz w:val="22"/>
        </w:rPr>
        <w:t>All Necessary Permits, etc</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reasonably be expected to, individually or in the aggregate,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reasonably be expected to, individually or in the aggregate, result in a Material Adverse Change.</w:t>
      </w:r>
    </w:p>
    <w:p>
      <w:pPr>
        <w:pStyle w:val="TextBody"/>
        <w:bidi w:val="0"/>
        <w:spacing w:lineRule="auto" w:line="288" w:before="0" w:after="240"/>
        <w:ind w:left="0" w:right="0" w:firstLine="720"/>
        <w:jc w:val="left"/>
        <w:rPr/>
      </w:pPr>
      <w:r>
        <w:rPr>
          <w:rFonts w:ascii="Times New Roman;serif" w:hAnsi="Times New Roman;serif"/>
          <w:b/>
          <w:color w:val="000000"/>
          <w:sz w:val="22"/>
        </w:rPr>
        <w:t>(v)</w:t>
      </w:r>
      <w:r>
        <w:rPr>
          <w:rFonts w:ascii="Times New Roman;serif" w:hAnsi="Times New Roman;serif"/>
          <w:b/>
          <w:i/>
          <w:color w:val="000000"/>
          <w:sz w:val="22"/>
        </w:rPr>
        <w:t>Tax Law Compliance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and its consolidated Subsidiaries have filed all necessary federal, state and foreign income, property and franchise tax returns or have properly requested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extensions thereof, other than those returns where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where the failure to pay would not result in a Material Adverse Change. The Company has made adequate charges, accruals and reserves, in conformity with U.S. GAAP, in the applicable financial statements referred to in Section 1(j) above in respect of all material federal, state and foreign income, property and franchise taxes for all periods as to which the tax liability of the Company or any of its consolidated Subsidiaries has not been finally determined.</w:t>
      </w:r>
    </w:p>
    <w:p>
      <w:pPr>
        <w:pStyle w:val="TextBody"/>
        <w:bidi w:val="0"/>
        <w:spacing w:lineRule="auto" w:line="288" w:before="0" w:after="240"/>
        <w:ind w:left="0" w:right="0" w:firstLine="720"/>
        <w:jc w:val="left"/>
        <w:rPr/>
      </w:pPr>
      <w:r>
        <w:rPr>
          <w:rFonts w:ascii="Times New Roman;serif" w:hAnsi="Times New Roman;serif"/>
          <w:b/>
          <w:color w:val="000000"/>
          <w:sz w:val="22"/>
        </w:rPr>
        <w:t>(w)</w:t>
      </w:r>
      <w:r>
        <w:rPr>
          <w:rFonts w:ascii="Times New Roman;serif" w:hAnsi="Times New Roman;serif"/>
          <w:b/>
          <w:i/>
          <w:color w:val="000000"/>
          <w:sz w:val="22"/>
        </w:rPr>
        <w:t>Insurance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is insured by insurers of recognized financial responsibility with policies in such amounts and with such deductibles and covering such risks as are generally deemed adequate and customary for the business for which it is engaged including, but not limited to, policies covering real and personal property owned or leased by the Company against theft, damage, destruction, acts of vandalism and earthquakes.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w:t>
      </w:r>
    </w:p>
    <w:p>
      <w:pPr>
        <w:pStyle w:val="TextBody"/>
        <w:bidi w:val="0"/>
        <w:spacing w:lineRule="auto" w:line="288" w:before="0" w:after="240"/>
        <w:ind w:left="0" w:right="0" w:firstLine="720"/>
        <w:jc w:val="left"/>
        <w:rPr/>
      </w:pPr>
      <w:r>
        <w:rPr>
          <w:rFonts w:ascii="Times New Roman;serif" w:hAnsi="Times New Roman;serif"/>
          <w:b/>
          <w:color w:val="000000"/>
          <w:sz w:val="22"/>
        </w:rPr>
        <w:t>(x)</w:t>
      </w:r>
      <w:r>
        <w:rPr>
          <w:rFonts w:ascii="Times New Roman;serif" w:hAnsi="Times New Roman;serif"/>
          <w:b/>
          <w:i/>
          <w:color w:val="000000"/>
          <w:sz w:val="22"/>
        </w:rPr>
        <w:t>Compliance with Environmental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serif" w:hAnsi="Times New Roman;serif"/>
          <w:b/>
          <w:color w:val="000000"/>
          <w:sz w:val="22"/>
        </w:rPr>
        <w:t>Materials of Environmental Concern</w:t>
      </w:r>
      <w:r>
        <w:rPr>
          <w:color w:val="000000"/>
        </w:rPr>
        <w:t>”</w:t>
      </w:r>
      <w:r>
        <w:rPr>
          <w:rFonts w:ascii="Times New Roman;serif" w:hAnsi="Times New Roman;serif"/>
          <w:b w:val="false"/>
          <w:color w:val="000000"/>
          <w:sz w:val="22"/>
        </w:rPr>
        <w:t>), or otherwise relating to the manufacture, processing, distribution, use, treatment, storage, disposal, transport or handling of Materials of Environmental Concern (collectively, “</w:t>
      </w:r>
      <w:r>
        <w:rPr>
          <w:rFonts w:ascii="Times New Roman;serif" w:hAnsi="Times New Roman;serif"/>
          <w:b/>
          <w:color w:val="000000"/>
          <w:sz w:val="22"/>
        </w:rPr>
        <w:t>Environmental Laws</w:t>
      </w:r>
      <w:r>
        <w:rPr>
          <w:color w:val="000000"/>
        </w:rPr>
        <w:t>”</w:t>
      </w:r>
      <w:r>
        <w:rPr>
          <w:rFonts w:ascii="Times New Roman;serif" w:hAnsi="Times New Roman;serif"/>
          <w:b w:val="false"/>
          <w:color w:val="000000"/>
          <w:sz w:val="22"/>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serif" w:hAnsi="Times New Roman;serif"/>
          <w:b/>
          <w:color w:val="000000"/>
          <w:sz w:val="22"/>
        </w:rPr>
        <w:t>Environmental Claims</w:t>
      </w:r>
      <w:r>
        <w:rPr>
          <w:color w:val="000000"/>
        </w:rPr>
        <w:t>”</w:t>
      </w:r>
      <w:r>
        <w:rPr>
          <w:rFonts w:ascii="Times New Roman;serif" w:hAnsi="Times New Roman;serif"/>
          <w:b w:val="false"/>
          <w:color w:val="000000"/>
          <w:sz w:val="22"/>
        </w:rPr>
        <w:t>),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(y)</w:t>
      </w:r>
      <w:r>
        <w:rPr>
          <w:rFonts w:ascii="Times New Roman;serif" w:hAnsi="Times New Roman;serif"/>
          <w:b/>
          <w:i/>
          <w:color w:val="000000"/>
          <w:sz w:val="22"/>
        </w:rPr>
        <w:t>ERISA Compliance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and its Subsidiaries and any “employee benefit plan” (as defined under the Employee Retirement Income Security Act of 1974, as amended, and the regulations and published interpretations thereunder (collectively, “</w:t>
      </w:r>
      <w:r>
        <w:rPr>
          <w:rFonts w:ascii="Times New Roman;serif" w:hAnsi="Times New Roman;serif"/>
          <w:b/>
          <w:color w:val="000000"/>
          <w:sz w:val="22"/>
        </w:rPr>
        <w:t>ERISA</w:t>
      </w:r>
      <w:r>
        <w:rPr>
          <w:color w:val="000000"/>
        </w:rPr>
        <w:t>”</w:t>
      </w:r>
      <w:r>
        <w:rPr>
          <w:rFonts w:ascii="Times New Roman;serif" w:hAnsi="Times New Roman;serif"/>
          <w:b w:val="false"/>
          <w:color w:val="000000"/>
          <w:sz w:val="22"/>
        </w:rPr>
        <w:t>)) established or maintained by the Company, its Subsidiaries or their “ERISA Affiliates” (as defined below) are in compliance in all material respects with ERISA. “</w:t>
      </w:r>
      <w:r>
        <w:rPr>
          <w:rFonts w:ascii="Times New Roman;serif" w:hAnsi="Times New Roman;serif"/>
          <w:b/>
          <w:color w:val="000000"/>
          <w:sz w:val="22"/>
        </w:rPr>
        <w:t>ERISA Affiliate</w:t>
      </w:r>
      <w:r>
        <w:rPr>
          <w:color w:val="000000"/>
        </w:rPr>
        <w:t xml:space="preserve">” </w:t>
      </w:r>
      <w:r>
        <w:rPr>
          <w:rFonts w:ascii="Times New Roman;serif" w:hAnsi="Times New Roman;serif"/>
          <w:b w:val="false"/>
          <w:color w:val="000000"/>
          <w:sz w:val="22"/>
        </w:rPr>
        <w:t>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pStyle w:val="TextBody"/>
        <w:bidi w:val="0"/>
        <w:spacing w:lineRule="auto" w:line="288" w:before="0" w:after="240"/>
        <w:ind w:left="0" w:right="0" w:firstLine="720"/>
        <w:jc w:val="left"/>
        <w:rPr/>
      </w:pPr>
      <w:r>
        <w:rPr>
          <w:rFonts w:ascii="Times New Roman;serif" w:hAnsi="Times New Roman;serif"/>
          <w:b/>
          <w:color w:val="000000"/>
          <w:sz w:val="22"/>
        </w:rPr>
        <w:t>(z)</w:t>
      </w:r>
      <w:r>
        <w:rPr>
          <w:rFonts w:ascii="Times New Roman;serif" w:hAnsi="Times New Roman;serif"/>
          <w:b/>
          <w:i/>
          <w:color w:val="000000"/>
          <w:sz w:val="22"/>
        </w:rPr>
        <w:t>Company Not an “Investment Company.”</w:t>
      </w:r>
      <w:r>
        <w:rPr>
          <w:color w:val="000000"/>
        </w:rPr>
        <w:t xml:space="preserve"> </w:t>
      </w:r>
      <w:r>
        <w:rPr>
          <w:rFonts w:ascii="Times New Roman;serif" w:hAnsi="Times New Roman;serif"/>
          <w:b w:val="false"/>
          <w:color w:val="000000"/>
          <w:sz w:val="22"/>
        </w:rPr>
        <w:t>The Company has been advised of the rules and requirements under the Investment Company Act of 1940, as amended (the “</w:t>
      </w:r>
      <w:r>
        <w:rPr>
          <w:rFonts w:ascii="Times New Roman;serif" w:hAnsi="Times New Roman;serif"/>
          <w:b/>
          <w:color w:val="000000"/>
          <w:sz w:val="22"/>
        </w:rPr>
        <w:t>Investment Company Act</w:t>
      </w:r>
      <w:r>
        <w:rPr>
          <w:color w:val="000000"/>
        </w:rPr>
        <w:t>”</w:t>
      </w:r>
      <w:r>
        <w:rPr>
          <w:rFonts w:ascii="Times New Roman;serif" w:hAnsi="Times New Roman;serif"/>
          <w:b w:val="false"/>
          <w:color w:val="000000"/>
          <w:sz w:val="22"/>
        </w:rPr>
        <w:t>). The Company is not, and will not be after receipt of payment for the Offered Shares or after the application of the proceeds therefrom as described under “Use of Proceeds” in the Registration Statement, the Time of Sale Prospectus and the Prospectus, an “investment company” within the meaning of Investment Company Act.</w:t>
      </w:r>
    </w:p>
    <w:p>
      <w:pPr>
        <w:pStyle w:val="TextBody"/>
        <w:bidi w:val="0"/>
        <w:spacing w:lineRule="auto" w:line="288" w:before="0" w:after="240"/>
        <w:ind w:left="0" w:right="0" w:firstLine="720"/>
        <w:jc w:val="left"/>
        <w:rPr/>
      </w:pPr>
      <w:r>
        <w:rPr>
          <w:rFonts w:ascii="Times New Roman;serif" w:hAnsi="Times New Roman;serif"/>
          <w:b/>
          <w:color w:val="000000"/>
          <w:sz w:val="22"/>
        </w:rPr>
        <w:t>(aa)</w:t>
      </w:r>
      <w:r>
        <w:rPr>
          <w:rFonts w:ascii="Times New Roman;serif" w:hAnsi="Times New Roman;serif"/>
          <w:b/>
          <w:i/>
          <w:color w:val="000000"/>
          <w:sz w:val="22"/>
        </w:rPr>
        <w:t>No Price Stabilization or Manipulation; Compliance with Regulation M</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has not taken and will not take, directly or indirectly, any action designed to or that might be reasonably expected to cause or result in stabilization or manipulation of the price of any security of the Company, whether to facilitate the sale or resale of the Offered Shares or otherwise, and has taken no action which would directly or indirectly violate Regulation M under the Exchange Act (“</w:t>
      </w:r>
      <w:r>
        <w:rPr>
          <w:rFonts w:ascii="Times New Roman;serif" w:hAnsi="Times New Roman;serif"/>
          <w:b/>
          <w:color w:val="000000"/>
          <w:sz w:val="22"/>
        </w:rPr>
        <w:t>Regulation M</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(bb)</w:t>
      </w:r>
      <w:r>
        <w:rPr>
          <w:rFonts w:ascii="Times New Roman;serif" w:hAnsi="Times New Roman;serif"/>
          <w:b/>
          <w:i/>
          <w:color w:val="000000"/>
          <w:sz w:val="22"/>
        </w:rPr>
        <w:t>Related-Party Transactions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There are no business relationships or related-party transactions involving the Company or any Subsidiary or any other person required to be described in the Registration Statement, the Time of Sale Prospectus or the Prospectus which have not been described as required by applicable laws.</w:t>
      </w:r>
    </w:p>
    <w:p>
      <w:pPr>
        <w:pStyle w:val="TextBody"/>
        <w:bidi w:val="0"/>
        <w:spacing w:lineRule="auto" w:line="288" w:before="0" w:after="240"/>
        <w:ind w:left="0" w:right="0" w:firstLine="720"/>
        <w:jc w:val="left"/>
        <w:rPr/>
      </w:pPr>
      <w:r>
        <w:rPr>
          <w:rFonts w:ascii="Times New Roman;serif" w:hAnsi="Times New Roman;serif"/>
          <w:b/>
          <w:color w:val="000000"/>
          <w:sz w:val="22"/>
        </w:rPr>
        <w:t>(cc)</w:t>
      </w:r>
      <w:r>
        <w:rPr>
          <w:rFonts w:ascii="Times New Roman;serif" w:hAnsi="Times New Roman;serif"/>
          <w:b/>
          <w:i/>
          <w:color w:val="000000"/>
          <w:sz w:val="22"/>
        </w:rPr>
        <w:t>FINRA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Rules or NASD Conduct Rules is true, complete and correct.</w:t>
      </w:r>
    </w:p>
    <w:p>
      <w:pPr>
        <w:pStyle w:val="TextBody"/>
        <w:bidi w:val="0"/>
        <w:spacing w:lineRule="auto" w:line="288" w:before="0" w:after="240"/>
        <w:ind w:left="0" w:right="0" w:firstLine="720"/>
        <w:jc w:val="left"/>
        <w:rPr/>
      </w:pPr>
      <w:r>
        <w:rPr>
          <w:rFonts w:ascii="Times New Roman;serif" w:hAnsi="Times New Roman;serif"/>
          <w:b/>
          <w:color w:val="000000"/>
          <w:sz w:val="22"/>
        </w:rPr>
        <w:t>(dd)</w:t>
      </w:r>
      <w:r>
        <w:rPr>
          <w:rFonts w:ascii="Times New Roman;serif" w:hAnsi="Times New Roman;serif"/>
          <w:b/>
          <w:i/>
          <w:color w:val="000000"/>
          <w:sz w:val="22"/>
        </w:rPr>
        <w:t>Parties to Lock-Up Agreements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has furnished to the Underwriters a letter agreement in the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Lock-up Agreement</w:t>
      </w:r>
      <w:r>
        <w:rPr>
          <w:color w:val="000000"/>
        </w:rPr>
        <w:t>”</w:t>
      </w:r>
      <w:r>
        <w:rPr>
          <w:rFonts w:ascii="Times New Roman;serif" w:hAnsi="Times New Roman;serif"/>
          <w:b w:val="false"/>
          <w:color w:val="000000"/>
          <w:sz w:val="22"/>
        </w:rPr>
        <w:t xml:space="preserve">) from each of the persons listed on </w:t>
      </w:r>
      <w:r>
        <w:rPr>
          <w:rFonts w:ascii="Times New Roman;serif" w:hAnsi="Times New Roman;serif"/>
          <w:b w:val="false"/>
          <w:color w:val="000000"/>
          <w:sz w:val="22"/>
          <w:u w:val="single"/>
        </w:rPr>
        <w:t>Exhibit B</w:t>
      </w:r>
      <w:r>
        <w:rPr>
          <w:rFonts w:ascii="Times New Roman;serif" w:hAnsi="Times New Roman;serif"/>
          <w:b w:val="false"/>
          <w:color w:val="000000"/>
          <w:sz w:val="22"/>
        </w:rPr>
        <w:t xml:space="preserve">. Such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lists under an appropriate caption the directors and officers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Company. If any additional persons shall become directors or officers of the Company prior to the end of the Lock-up Period (as defined below), the Company shall cause each such person, prior to or contemporaneously with their appointment or election as a director or officer of the Company, to execute and deliver to the Underwriters a Lock-up Agreement.</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(ee)</w:t>
      </w:r>
      <w:r>
        <w:rPr>
          <w:rFonts w:ascii="Times New Roman;serif" w:hAnsi="Times New Roman;serif"/>
          <w:b/>
          <w:i/>
          <w:color w:val="000000"/>
          <w:sz w:val="22"/>
        </w:rPr>
        <w:t>Statistical and Market-Related Data</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All statistical, demographic and market-related data included in the Registration Statement, the Time of Sale Prospectus or the Prospectus are based on or derived from sources that the Company believes, after reasonable inquiry, to be reliable and accurate. To the extent required, the Company has obtained the written consent to the use of such data from such sources.</w:t>
      </w:r>
    </w:p>
    <w:p>
      <w:pPr>
        <w:pStyle w:val="TextBody"/>
        <w:bidi w:val="0"/>
        <w:spacing w:lineRule="auto" w:line="288" w:before="0" w:after="240"/>
        <w:ind w:left="0" w:right="0" w:firstLine="720"/>
        <w:jc w:val="left"/>
        <w:rPr/>
      </w:pPr>
      <w:r>
        <w:rPr>
          <w:rFonts w:ascii="Times New Roman;serif" w:hAnsi="Times New Roman;serif"/>
          <w:b/>
          <w:color w:val="000000"/>
          <w:sz w:val="22"/>
        </w:rPr>
        <w:t>(ff)</w:t>
      </w:r>
      <w:r>
        <w:rPr>
          <w:rFonts w:ascii="Times New Roman;serif" w:hAnsi="Times New Roman;serif"/>
          <w:b/>
          <w:i/>
          <w:color w:val="000000"/>
          <w:sz w:val="22"/>
        </w:rPr>
        <w:t>No Unlawful Contributions or Other Payments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Since June 22, 2023 (the “</w:t>
      </w:r>
      <w:r>
        <w:rPr>
          <w:rFonts w:ascii="Times New Roman;serif" w:hAnsi="Times New Roman;serif"/>
          <w:b/>
          <w:color w:val="000000"/>
          <w:sz w:val="22"/>
        </w:rPr>
        <w:t>Merger Date</w:t>
      </w:r>
      <w:r>
        <w:rPr>
          <w:color w:val="000000"/>
        </w:rPr>
        <w:t>”</w:t>
      </w:r>
      <w:r>
        <w:rPr>
          <w:rFonts w:ascii="Times New Roman;serif" w:hAnsi="Times New Roman;serif"/>
          <w:b w:val="false"/>
          <w:color w:val="000000"/>
          <w:sz w:val="22"/>
        </w:rPr>
        <w:t>), and, to the Company’s knowledge, prior to the Merger Date, neither the Company nor any of its Subsidiaries has, and to the best of the Company’s knowledge, no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 Since the Merger Date, and, to the Company’s knowledge, prior to the Merger Date, each of the Company and the Subsidiaries has, and to the Company’s knowledge, each of its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its Subsidiaries.</w:t>
      </w:r>
    </w:p>
    <w:p>
      <w:pPr>
        <w:pStyle w:val="TextBody"/>
        <w:bidi w:val="0"/>
        <w:spacing w:lineRule="auto" w:line="288" w:before="0" w:after="240"/>
        <w:ind w:left="0" w:right="0" w:firstLine="720"/>
        <w:jc w:val="left"/>
        <w:rPr/>
      </w:pPr>
      <w:r>
        <w:rPr>
          <w:rFonts w:ascii="Times New Roman;serif" w:hAnsi="Times New Roman;serif"/>
          <w:b/>
          <w:color w:val="000000"/>
          <w:sz w:val="22"/>
        </w:rPr>
        <w:t>(gg)</w:t>
      </w:r>
      <w:r>
        <w:rPr>
          <w:rFonts w:ascii="Times New Roman;serif" w:hAnsi="Times New Roman;serif"/>
          <w:b/>
          <w:i/>
          <w:color w:val="000000"/>
          <w:sz w:val="22"/>
        </w:rPr>
        <w:t>Anti-Corruption and Anti-Bribery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Since the Merger Date and, to the Company’s knowledge, prior to the Merger Date, neither the Company nor any of its Subsidiaries has, nor, to the Company’s knowledge, has any director, officer, employee, agent, affiliate or other person acting on behalf of the Company or any of its Subsidiaries has, in the course of its actions for, or on behalf of, the Company or any of its Subsidiaries (A) used any corporate funds for any unlawful contribution, gift, entertainment or other unlawful expenses relating to political activity; (B)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(C) violated or is in violation of any provision of the U.S. Foreign Corrupt Practices Act of 1977, as amended (the “</w:t>
      </w:r>
      <w:r>
        <w:rPr>
          <w:rFonts w:ascii="Times New Roman;serif" w:hAnsi="Times New Roman;serif"/>
          <w:b/>
          <w:color w:val="000000"/>
          <w:sz w:val="22"/>
        </w:rPr>
        <w:t>FCPA</w:t>
      </w:r>
      <w:r>
        <w:rPr>
          <w:color w:val="000000"/>
        </w:rPr>
        <w:t>”</w:t>
      </w:r>
      <w:r>
        <w:rPr>
          <w:rFonts w:ascii="Times New Roman;serif" w:hAnsi="Times New Roman;serif"/>
          <w:b w:val="false"/>
          <w:color w:val="000000"/>
          <w:sz w:val="22"/>
        </w:rPr>
        <w:t>), the UK Bribery Act 2010, or any other applicable anti-bribery or anti-corruption law; or (D) made, offered, authorized, requested, or taken an act in furtherance of any unlawful bribe, rebate, payoff, influence payment, kickback or other unlawful payment or benefit. Since the Merger Date and, to the Company’s knowledge, prior to the Merger Date, the Company and its Subsidiaries have,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lineRule="auto" w:line="288" w:before="0" w:after="240"/>
        <w:ind w:left="0" w:right="0" w:firstLine="720"/>
        <w:jc w:val="left"/>
        <w:rPr/>
      </w:pPr>
      <w:r>
        <w:rPr>
          <w:rFonts w:ascii="Times New Roman;serif" w:hAnsi="Times New Roman;serif"/>
          <w:b/>
          <w:color w:val="000000"/>
          <w:sz w:val="22"/>
        </w:rPr>
        <w:t>(hh)</w:t>
      </w:r>
      <w:r>
        <w:rPr>
          <w:rFonts w:ascii="Times New Roman;serif" w:hAnsi="Times New Roman;serif"/>
          <w:b/>
          <w:i/>
          <w:color w:val="000000"/>
          <w:sz w:val="22"/>
        </w:rPr>
        <w:t>Money Laundering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operations of the Company and its Subsidiaries are and have been conducted at all times since the Merger Date, and, to the Company’s knowledge, prior to the Merger Date,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and its Subsidiaries conduct business, the rules and regulations thereunder and any related or similar rules, regulations or guidelines, issued, administered or enforced by any governmental agency (collectively, the “</w:t>
      </w:r>
      <w:r>
        <w:rPr>
          <w:rFonts w:ascii="Times New Roman;serif" w:hAnsi="Times New Roman;serif"/>
          <w:b/>
          <w:color w:val="000000"/>
          <w:sz w:val="22"/>
        </w:rPr>
        <w:t>Anti-Money Laundering Laws</w:t>
      </w:r>
      <w:r>
        <w:rPr>
          <w:color w:val="000000"/>
        </w:rPr>
        <w:t>”</w:t>
      </w:r>
      <w:r>
        <w:rPr>
          <w:rFonts w:ascii="Times New Roman;serif" w:hAnsi="Times New Roman;serif"/>
          <w:b w:val="false"/>
          <w:color w:val="000000"/>
          <w:sz w:val="22"/>
        </w:rPr>
        <w:t xml:space="preserve">), and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lineRule="auto" w:line="288" w:before="0" w:after="240"/>
        <w:ind w:left="0" w:right="0" w:firstLine="720"/>
        <w:jc w:val="left"/>
        <w:rPr/>
      </w:pPr>
      <w:r>
        <w:rPr>
          <w:rFonts w:ascii="Times New Roman;serif" w:hAnsi="Times New Roman;serif"/>
          <w:b/>
          <w:color w:val="000000"/>
          <w:sz w:val="22"/>
        </w:rPr>
        <w:t>(ii)</w:t>
      </w:r>
      <w:r>
        <w:rPr>
          <w:rFonts w:ascii="Times New Roman;serif" w:hAnsi="Times New Roman;serif"/>
          <w:b/>
          <w:i/>
          <w:color w:val="000000"/>
          <w:sz w:val="22"/>
        </w:rPr>
        <w:t>Sanctions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Company nor any of its Subsidiaries, nor to the Company’s knowledge, after due inquiry, any director or officer thereof, nor to the Company’s knowledge, any employee, agent, affiliate, representative, or other person acting on behalf of the Company or any of its Subsidiaries, is an individual or entity (“</w:t>
      </w:r>
      <w:r>
        <w:rPr>
          <w:rFonts w:ascii="Times New Roman;serif" w:hAnsi="Times New Roman;serif"/>
          <w:b/>
          <w:color w:val="000000"/>
          <w:sz w:val="22"/>
        </w:rPr>
        <w:t>Person</w:t>
      </w:r>
      <w:r>
        <w:rPr>
          <w:color w:val="000000"/>
        </w:rPr>
        <w:t>”</w:t>
      </w:r>
      <w:r>
        <w:rPr>
          <w:rFonts w:ascii="Times New Roman;serif" w:hAnsi="Times New Roman;serif"/>
          <w:b w:val="false"/>
          <w:color w:val="000000"/>
          <w:sz w:val="22"/>
        </w:rPr>
        <w:t>) that is, or is owned or controlled by a Person that is: (i) the subject of any economic, financial or trade sanctions administered or enforced by the U.S. Department of Treasury’s Office of Foreign Assets Control (“</w:t>
      </w:r>
      <w:r>
        <w:rPr>
          <w:rFonts w:ascii="Times New Roman;serif" w:hAnsi="Times New Roman;serif"/>
          <w:b/>
          <w:color w:val="000000"/>
          <w:sz w:val="22"/>
        </w:rPr>
        <w:t>OFAC</w:t>
      </w:r>
      <w:r>
        <w:rPr>
          <w:color w:val="000000"/>
        </w:rPr>
        <w:t>”</w:t>
      </w:r>
      <w:r>
        <w:rPr>
          <w:rFonts w:ascii="Times New Roman;serif" w:hAnsi="Times New Roman;serif"/>
          <w:b w:val="false"/>
          <w:color w:val="000000"/>
          <w:sz w:val="22"/>
        </w:rPr>
        <w:t>), the United Nations Security Council, the European Union (“</w:t>
      </w:r>
      <w:r>
        <w:rPr>
          <w:rFonts w:ascii="Times New Roman;serif" w:hAnsi="Times New Roman;serif"/>
          <w:b/>
          <w:color w:val="000000"/>
          <w:sz w:val="22"/>
        </w:rPr>
        <w:t>EU</w:t>
      </w:r>
      <w:r>
        <w:rPr>
          <w:color w:val="000000"/>
        </w:rPr>
        <w:t>”</w:t>
      </w:r>
      <w:r>
        <w:rPr>
          <w:rFonts w:ascii="Times New Roman;serif" w:hAnsi="Times New Roman;serif"/>
          <w:b w:val="false"/>
          <w:color w:val="000000"/>
          <w:sz w:val="22"/>
        </w:rPr>
        <w:t>), His Majesty’s Treasury of the United Kingdom, the Swiss Secretariat of Economic Affairs, or other relevant sanctions authority (collectively, “</w:t>
      </w:r>
      <w:r>
        <w:rPr>
          <w:rFonts w:ascii="Times New Roman;serif" w:hAnsi="Times New Roman;serif"/>
          <w:b/>
          <w:color w:val="000000"/>
          <w:sz w:val="22"/>
        </w:rPr>
        <w:t>Sanctions</w:t>
      </w:r>
      <w:r>
        <w:rPr>
          <w:color w:val="000000"/>
        </w:rPr>
        <w:t>”</w:t>
      </w:r>
      <w:r>
        <w:rPr>
          <w:rFonts w:ascii="Times New Roman;serif" w:hAnsi="Times New Roman;serif"/>
          <w:b w:val="false"/>
          <w:color w:val="000000"/>
          <w:sz w:val="22"/>
        </w:rPr>
        <w:t>), nor (ii) located, organized, or resident in a country or territory that is the subject of Sanctions (including, without limitation, the so-called Donetsk People’s Republic, the so-called Luhansk People’s Republic, the Crimea Region of Ukraine, the non-government controlled areas of the Zaporizhzhia and Kherson Regions, Cuba, Iran and North Korea).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    Since April 24, 2019,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or target of Sanctions.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(ii)    The Company will not, directly or indirectly, use the proceeds of this offering, or lend, contribute or otherwise make available such proceeds to any Subsidiary, joint venture partner or other Person: (i) to finance or facilitate any activities or business of or with any Person that, at the time of such funding or facilitation, is the subject or the target of Sanctions, or in any country or territory that, at the time of such financing or facilitation, is the subject or target of Sanctions; or (ii) in any other manner that will result in a violation of Sanctions by any Person (including any person participating in the transaction whether as underwriter, advisor, investor or otherwise).</w:t>
      </w:r>
    </w:p>
    <w:p>
      <w:pPr>
        <w:pStyle w:val="TextBody"/>
        <w:bidi w:val="0"/>
        <w:spacing w:lineRule="auto" w:line="288" w:before="0" w:after="240"/>
        <w:ind w:left="0" w:right="0" w:firstLine="720"/>
        <w:jc w:val="left"/>
        <w:rPr/>
      </w:pPr>
      <w:r>
        <w:rPr>
          <w:rFonts w:ascii="Times New Roman;serif" w:hAnsi="Times New Roman;serif"/>
          <w:b/>
          <w:color w:val="000000"/>
          <w:sz w:val="22"/>
        </w:rPr>
        <w:t>(jj)</w:t>
      </w:r>
      <w:r>
        <w:rPr>
          <w:rFonts w:ascii="Times New Roman;serif" w:hAnsi="Times New Roman;serif"/>
          <w:b/>
          <w:i/>
          <w:color w:val="000000"/>
          <w:sz w:val="22"/>
        </w:rPr>
        <w:t>Brokers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lineRule="auto" w:line="288" w:before="0" w:after="240"/>
        <w:ind w:left="0" w:right="0" w:firstLine="720"/>
        <w:jc w:val="left"/>
        <w:rPr/>
      </w:pPr>
      <w:r>
        <w:rPr>
          <w:rFonts w:ascii="Times New Roman;serif" w:hAnsi="Times New Roman;serif"/>
          <w:b/>
          <w:color w:val="000000"/>
          <w:sz w:val="22"/>
        </w:rPr>
        <w:t>(kk)</w:t>
      </w:r>
      <w:r>
        <w:rPr>
          <w:rFonts w:ascii="Times New Roman;serif" w:hAnsi="Times New Roman;serif"/>
          <w:b/>
          <w:i/>
          <w:color w:val="000000"/>
          <w:sz w:val="22"/>
        </w:rPr>
        <w:t>Forward-Looking Statements.</w:t>
      </w:r>
      <w:r>
        <w:rPr>
          <w:color w:val="000000"/>
        </w:rPr>
        <w:t xml:space="preserve"> </w:t>
      </w:r>
      <w:r>
        <w:rPr>
          <w:rFonts w:ascii="Times New Roman;serif" w:hAnsi="Times New Roman;serif"/>
          <w:b w:val="false"/>
          <w:color w:val="000000"/>
          <w:sz w:val="22"/>
        </w:rPr>
        <w:t>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(ll)</w:t>
      </w:r>
      <w:r>
        <w:rPr>
          <w:rFonts w:ascii="Times New Roman;serif" w:hAnsi="Times New Roman;serif"/>
          <w:b/>
          <w:i/>
          <w:color w:val="000000"/>
          <w:sz w:val="22"/>
        </w:rPr>
        <w:t>No Outstanding Loans or Other Extensions of Credit</w:t>
      </w:r>
      <w:r>
        <w:rPr>
          <w:rFonts w:ascii="Times New Roman;serif" w:hAnsi="Times New Roman;serif"/>
          <w:b w:val="false"/>
          <w:color w:val="000000"/>
          <w:sz w:val="22"/>
        </w:rPr>
        <w:t>. There are no outstanding loans, advances (except normal advances for business expenses in the ordinary course of business) or guarantees or indebtedness by the Company to or for the benefit of any of the officers or directors of the Company.</w:t>
      </w:r>
    </w:p>
    <w:p>
      <w:pPr>
        <w:pStyle w:val="TextBody"/>
        <w:bidi w:val="0"/>
        <w:spacing w:lineRule="auto" w:line="288" w:before="0" w:after="240"/>
        <w:ind w:left="0" w:right="0" w:firstLine="720"/>
        <w:jc w:val="left"/>
        <w:rPr/>
      </w:pPr>
      <w:r>
        <w:rPr>
          <w:rFonts w:ascii="Times New Roman;serif" w:hAnsi="Times New Roman;serif"/>
          <w:b/>
          <w:color w:val="000000"/>
          <w:sz w:val="22"/>
        </w:rPr>
        <w:t>(mm)</w:t>
      </w:r>
      <w:r>
        <w:rPr>
          <w:rFonts w:ascii="Times New Roman;serif" w:hAnsi="Times New Roman;serif"/>
          <w:b/>
          <w:i/>
          <w:color w:val="000000"/>
          <w:sz w:val="22"/>
        </w:rPr>
        <w:t>Cybersecurity</w:t>
      </w:r>
      <w:r>
        <w:rPr>
          <w:rFonts w:ascii="Times New Roman;serif" w:hAnsi="Times New Roman;serif"/>
          <w:b w:val="false"/>
          <w:color w:val="000000"/>
          <w:sz w:val="22"/>
        </w:rPr>
        <w:t>. (i) (x) To the Company’s knowledge, there has been no material security breach, attack or other compromise of or relating to any of the Company’s and its Subsidiaries’ information technology and computer systems, networks, hardware, software, personal data, or other confidential, regulated, or sensitive data (including the data of their respective customers, employees, suppliers, vendors and any third party data maintained by or on behalf of them), equipment or technology (“</w:t>
      </w:r>
      <w:r>
        <w:rPr>
          <w:rFonts w:ascii="Times New Roman;serif" w:hAnsi="Times New Roman;serif"/>
          <w:b/>
          <w:color w:val="000000"/>
          <w:sz w:val="22"/>
        </w:rPr>
        <w:t>IT Systems and Data</w:t>
      </w:r>
      <w:r>
        <w:rPr>
          <w:color w:val="000000"/>
        </w:rPr>
        <w:t>”</w:t>
      </w:r>
      <w:r>
        <w:rPr>
          <w:rFonts w:ascii="Times New Roman;serif" w:hAnsi="Times New Roman;serif"/>
          <w:b w:val="false"/>
          <w:color w:val="000000"/>
          <w:sz w:val="22"/>
        </w:rPr>
        <w:t>), and (y) since the Merger Date, and, to the Company’s knowledge, prior to the Merger Date, the Company and its Subsidiaries have not been notified of, and have or had no knowledge of, any event or condition that would reasonably be expected to result in any security breach, attack or compromise to their IT Systems and Data, (ii) the Company and each of its Subsidiaries have complied since the Merger Date, and, to the Company’s knowledge, prior to the Merger Date, and are presently in compliance with, all applicable laws, statutes, judgments, orders, rules or regulations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backup and disaster recovery technology consistent with industry standards and practices.</w:t>
      </w:r>
    </w:p>
    <w:p>
      <w:pPr>
        <w:pStyle w:val="TextBody"/>
        <w:bidi w:val="0"/>
        <w:spacing w:lineRule="auto" w:line="288" w:before="0" w:after="240"/>
        <w:ind w:left="0" w:right="0" w:firstLine="720"/>
        <w:jc w:val="left"/>
        <w:rPr/>
      </w:pPr>
      <w:r>
        <w:rPr>
          <w:rFonts w:ascii="Times New Roman;serif" w:hAnsi="Times New Roman;serif"/>
          <w:b/>
          <w:color w:val="000000"/>
          <w:sz w:val="22"/>
        </w:rPr>
        <w:t>(nn)</w:t>
      </w:r>
      <w:r>
        <w:rPr>
          <w:rFonts w:ascii="Times New Roman;serif" w:hAnsi="Times New Roman;serif"/>
          <w:b/>
          <w:i/>
          <w:color w:val="000000"/>
          <w:sz w:val="22"/>
        </w:rPr>
        <w:t>No Reliance</w:t>
      </w:r>
      <w:r>
        <w:rPr>
          <w:rFonts w:ascii="Times New Roman;serif" w:hAnsi="Times New Roman;serif"/>
          <w:b w:val="false"/>
          <w:color w:val="000000"/>
          <w:sz w:val="22"/>
        </w:rPr>
        <w:t>. The Company has not relied upon the Underwriters or legal counsel for the Underwriters for any legal, tax or accounting advice in connection with the offering and sale of the Offered Shares.</w:t>
      </w:r>
    </w:p>
    <w:p>
      <w:pPr>
        <w:pStyle w:val="TextBody"/>
        <w:bidi w:val="0"/>
        <w:spacing w:lineRule="auto" w:line="288" w:before="0" w:after="240"/>
        <w:ind w:left="0" w:right="0" w:firstLine="720"/>
        <w:jc w:val="left"/>
        <w:rPr/>
      </w:pPr>
      <w:r>
        <w:rPr>
          <w:rFonts w:ascii="Times New Roman;serif" w:hAnsi="Times New Roman;serif"/>
          <w:b/>
          <w:color w:val="000000"/>
          <w:sz w:val="22"/>
        </w:rPr>
        <w:t>(oo)</w:t>
      </w:r>
      <w:r>
        <w:rPr>
          <w:rFonts w:ascii="Times New Roman;serif" w:hAnsi="Times New Roman;serif"/>
          <w:b/>
          <w:i/>
          <w:color w:val="000000"/>
          <w:sz w:val="22"/>
        </w:rPr>
        <w:t>Lending Relationship</w:t>
      </w:r>
      <w:r>
        <w:rPr>
          <w:rFonts w:ascii="Times New Roman;serif" w:hAnsi="Times New Roman;serif"/>
          <w:b w:val="false"/>
          <w:color w:val="000000"/>
          <w:sz w:val="22"/>
        </w:rPr>
        <w:t>. The Company does not intend to use any of the proceeds from the sale of the Offered Shares to repay any outstanding debt owed to the Underwriters or any affiliate of the Underwriters.</w:t>
      </w:r>
    </w:p>
    <w:p>
      <w:pPr>
        <w:pStyle w:val="TextBody"/>
        <w:bidi w:val="0"/>
        <w:spacing w:lineRule="auto" w:line="288" w:before="0" w:after="240"/>
        <w:ind w:left="0" w:right="0" w:firstLine="720"/>
        <w:jc w:val="left"/>
        <w:rPr/>
      </w:pPr>
      <w:r>
        <w:rPr>
          <w:rFonts w:ascii="Times New Roman;serif" w:hAnsi="Times New Roman;serif"/>
          <w:b/>
          <w:color w:val="000000"/>
          <w:sz w:val="22"/>
        </w:rPr>
        <w:t>(pp)</w:t>
      </w:r>
      <w:r>
        <w:rPr>
          <w:rFonts w:ascii="Times New Roman;serif" w:hAnsi="Times New Roman;serif"/>
          <w:b/>
          <w:i/>
          <w:color w:val="000000"/>
          <w:sz w:val="22"/>
        </w:rPr>
        <w:t>Compliance with Data Privacy Laws</w:t>
      </w:r>
      <w:r>
        <w:rPr>
          <w:rFonts w:ascii="Times New Roman;serif" w:hAnsi="Times New Roman;serif"/>
          <w:b w:val="false"/>
          <w:color w:val="000000"/>
          <w:sz w:val="22"/>
        </w:rPr>
        <w:t>. To the Company’s knowledge, the Company and each of its Subsidiaries are, and at all prior times have been, in material compliance with all applicable Privacy Laws. “</w:t>
      </w:r>
      <w:r>
        <w:rPr>
          <w:rFonts w:ascii="Times New Roman;serif" w:hAnsi="Times New Roman;serif"/>
          <w:b/>
          <w:color w:val="000000"/>
          <w:sz w:val="22"/>
        </w:rPr>
        <w:t>Privacy Laws</w:t>
      </w:r>
      <w:r>
        <w:rPr>
          <w:color w:val="000000"/>
        </w:rPr>
        <w:t xml:space="preserve">” </w:t>
      </w:r>
      <w:r>
        <w:rPr>
          <w:rFonts w:ascii="Times New Roman;serif" w:hAnsi="Times New Roman;serif"/>
          <w:b w:val="false"/>
          <w:color w:val="000000"/>
          <w:sz w:val="22"/>
        </w:rPr>
        <w:t>means data privacy and security laws and regulations, including, without limitation, the Health Insurance Portability and Accountability Act (“</w:t>
      </w:r>
      <w:r>
        <w:rPr>
          <w:rFonts w:ascii="Times New Roman;serif" w:hAnsi="Times New Roman;serif"/>
          <w:b/>
          <w:color w:val="000000"/>
          <w:sz w:val="22"/>
        </w:rPr>
        <w:t>HIPAA</w:t>
      </w:r>
      <w:r>
        <w:rPr>
          <w:color w:val="000000"/>
        </w:rPr>
        <w:t>”</w:t>
      </w:r>
      <w:r>
        <w:rPr>
          <w:rFonts w:ascii="Times New Roman;serif" w:hAnsi="Times New Roman;serif"/>
          <w:b w:val="false"/>
          <w:color w:val="000000"/>
          <w:sz w:val="22"/>
        </w:rPr>
        <w:t>), as amended by the Health Information Technology for Economic and Clinical Health Act (42 U.S.C. Section 17921 et seq.), and the European Union General Data Protection Regulation (“</w:t>
      </w:r>
      <w:r>
        <w:rPr>
          <w:rFonts w:ascii="Times New Roman;serif" w:hAnsi="Times New Roman;serif"/>
          <w:b/>
          <w:color w:val="000000"/>
          <w:sz w:val="22"/>
        </w:rPr>
        <w:t>GDPR</w:t>
      </w:r>
      <w:r>
        <w:rPr>
          <w:color w:val="000000"/>
        </w:rPr>
        <w:t>”</w:t>
      </w:r>
      <w:r>
        <w:rPr>
          <w:rFonts w:ascii="Times New Roman;serif" w:hAnsi="Times New Roman;serif"/>
          <w:b w:val="false"/>
          <w:color w:val="000000"/>
          <w:sz w:val="22"/>
        </w:rPr>
        <w:t>) (EU 2016/679), in each case, to the extent applicable to the Company, if at all. To ensure compliance with the Privacy Laws, the Company and each of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serif" w:hAnsi="Times New Roman;serif"/>
          <w:b/>
          <w:color w:val="000000"/>
          <w:sz w:val="22"/>
        </w:rPr>
        <w:t>Policies</w:t>
      </w:r>
      <w:r>
        <w:rPr>
          <w:color w:val="000000"/>
        </w:rPr>
        <w:t>”</w:t>
      </w:r>
      <w:r>
        <w:rPr>
          <w:rFonts w:ascii="Times New Roman;serif" w:hAnsi="Times New Roman;serif"/>
          <w:b w:val="false"/>
          <w:color w:val="000000"/>
          <w:sz w:val="22"/>
        </w:rPr>
        <w:t>). The Company provides accurate notice of its Policies to its customers, employees, third party vendors and representatives. The Policies provide accurate and sufficient notice of the Company’s then-current privacy practices relating to its subject matter and such Policies do not contain any material omissions of the Company’s then-current privacy practices. “</w:t>
      </w:r>
      <w:r>
        <w:rPr>
          <w:rFonts w:ascii="Times New Roman;serif" w:hAnsi="Times New Roman;serif"/>
          <w:b/>
          <w:color w:val="000000"/>
          <w:sz w:val="22"/>
        </w:rPr>
        <w:t>Personal Data</w:t>
      </w:r>
      <w:r>
        <w:rPr>
          <w:color w:val="000000"/>
        </w:rPr>
        <w:t xml:space="preserve">” </w:t>
      </w:r>
      <w:r>
        <w:rPr>
          <w:rFonts w:ascii="Times New Roman;serif" w:hAnsi="Times New Roman;serif"/>
          <w:b w:val="false"/>
          <w:color w:val="000000"/>
          <w:sz w:val="22"/>
        </w:rPr>
        <w:t xml:space="preserve">means (i) a natural person’s name, street address, telephone number, email address, social security number, or customer or account number in combination with any required password or log in information that would permit access to the financial account;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household, or permits the collection or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or Policies by the Company. Neither the Company nor any of its Subsidiaries, (i) since the Merger Date, and, to the Company’s knowledge, prior to the Merger Date,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w:t>
      </w:r>
    </w:p>
    <w:p>
      <w:pPr>
        <w:pStyle w:val="TextBody"/>
        <w:bidi w:val="0"/>
        <w:spacing w:lineRule="auto" w:line="288" w:before="0" w:after="240"/>
        <w:ind w:left="0" w:right="0" w:firstLine="720"/>
        <w:jc w:val="left"/>
        <w:rPr/>
      </w:pPr>
      <w:r>
        <w:rPr>
          <w:rFonts w:ascii="Times New Roman;serif" w:hAnsi="Times New Roman;serif"/>
          <w:b/>
          <w:color w:val="000000"/>
          <w:sz w:val="22"/>
        </w:rPr>
        <w:t>(qq)</w:t>
      </w:r>
      <w:r>
        <w:rPr>
          <w:rFonts w:ascii="Times New Roman;serif" w:hAnsi="Times New Roman;serif"/>
          <w:b/>
          <w:i/>
          <w:color w:val="000000"/>
          <w:sz w:val="22"/>
        </w:rPr>
        <w:t>Export and Import Laws</w:t>
      </w:r>
      <w:r>
        <w:rPr>
          <w:rFonts w:ascii="Times New Roman;serif" w:hAnsi="Times New Roman;serif"/>
          <w:b w:val="false"/>
          <w:color w:val="000000"/>
          <w:sz w:val="22"/>
        </w:rPr>
        <w:t>. (i) Since the Merger Date, and, to the Company’s knowledge, prior to the Merger Date, each of the Company and the Subsidiaries has, and (ii)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serif" w:hAnsi="Times New Roman;serif"/>
          <w:b/>
          <w:color w:val="000000"/>
          <w:sz w:val="22"/>
        </w:rPr>
        <w:t>Export and Import Laws</w:t>
      </w:r>
      <w:r>
        <w:rPr>
          <w:color w:val="000000"/>
        </w:rPr>
        <w:t xml:space="preserve">” </w:t>
      </w:r>
      <w:r>
        <w:rPr>
          <w:rFonts w:ascii="Times New Roman;serif" w:hAnsi="Times New Roman;serif"/>
          <w:b w:val="false"/>
          <w:color w:val="000000"/>
          <w:sz w:val="22"/>
        </w:rPr>
        <w:t>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pStyle w:val="TextBody"/>
        <w:bidi w:val="0"/>
        <w:spacing w:lineRule="auto" w:line="288" w:before="0" w:after="240"/>
        <w:ind w:left="0" w:right="0" w:firstLine="720"/>
        <w:jc w:val="left"/>
        <w:rPr/>
      </w:pPr>
      <w:r>
        <w:rPr>
          <w:rFonts w:ascii="Times New Roman;serif" w:hAnsi="Times New Roman;serif"/>
          <w:b/>
          <w:color w:val="000000"/>
          <w:sz w:val="22"/>
        </w:rPr>
        <w:t>(rr)</w:t>
      </w:r>
      <w:r>
        <w:rPr>
          <w:rFonts w:ascii="Times New Roman;serif" w:hAnsi="Times New Roman;serif"/>
          <w:b/>
          <w:i/>
          <w:color w:val="000000"/>
          <w:sz w:val="22"/>
        </w:rPr>
        <w:t>Communications</w:t>
      </w:r>
      <w:r>
        <w:rPr>
          <w:rFonts w:ascii="Times New Roman;serif" w:hAnsi="Times New Roman;serif"/>
          <w:b w:val="false"/>
          <w:color w:val="000000"/>
          <w:sz w:val="22"/>
        </w:rPr>
        <w:t>. The Company (i) has not alone engaged in communications with potential investors in reliance on Section 5(d) of the Securities Act or Rule 163B under the Securities Act other than Permitted Testing-the-Waters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providing Marketing Materials or in making Oral Testing-the-Waters Communications and Written Testing-the-Waters Communications; as of the Applicable Time, each Permitted Testing-the-Waters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Testing-the-Waters Communication, if any, does not, as of the date hereof, conflict with the information contained in the Registration Statement, the Preliminary Prospectus and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(ss)</w:t>
      </w:r>
      <w:r>
        <w:rPr>
          <w:rFonts w:ascii="Times New Roman;serif" w:hAnsi="Times New Roman;serif"/>
          <w:b/>
          <w:i/>
          <w:color w:val="000000"/>
          <w:sz w:val="22"/>
        </w:rPr>
        <w:t>Compliance with Healthcare Laws</w:t>
      </w:r>
      <w:r>
        <w:rPr>
          <w:rFonts w:ascii="Times New Roman;serif" w:hAnsi="Times New Roman;serif"/>
          <w:b w:val="false"/>
          <w:i/>
          <w:color w:val="000000"/>
          <w:sz w:val="22"/>
        </w:rPr>
        <w:t xml:space="preserve">. </w:t>
      </w:r>
      <w:r>
        <w:rPr>
          <w:rFonts w:ascii="Times New Roman;serif" w:hAnsi="Times New Roman;serif"/>
          <w:b w:val="false"/>
          <w:color w:val="000000"/>
          <w:sz w:val="22"/>
        </w:rPr>
        <w:t>The Company and each of its Subsidiaries have operated since the Merger Date, and, to the Company’s knowledge, prior to the Merger Date, and currently are in material compliance with all applicable Health Care Laws. “</w:t>
      </w:r>
      <w:r>
        <w:rPr>
          <w:rFonts w:ascii="Times New Roman;serif" w:hAnsi="Times New Roman;serif"/>
          <w:b/>
          <w:color w:val="000000"/>
          <w:sz w:val="22"/>
        </w:rPr>
        <w:t>Health Care Laws</w:t>
      </w:r>
      <w:r>
        <w:rPr>
          <w:color w:val="000000"/>
        </w:rPr>
        <w:t xml:space="preserve">” </w:t>
      </w:r>
      <w:r>
        <w:rPr>
          <w:rFonts w:ascii="Times New Roman;serif" w:hAnsi="Times New Roman;serif"/>
          <w:b w:val="false"/>
          <w:color w:val="000000"/>
          <w:sz w:val="22"/>
        </w:rPr>
        <w:t>means health care laws, rules, regulations, accreditations and ethical standards, including, without limitation, (i) the Federal, Food, Drug, and Cosmetic Act (21 U.S.C. § 301 et seq.); (ii) the Public Health Service Act (42 U.S.C. § 201 et seq.); (iii) all applicable rules and regulations of the U.S. Food and Drug Administration (“</w:t>
      </w:r>
      <w:r>
        <w:rPr>
          <w:rFonts w:ascii="Times New Roman;serif" w:hAnsi="Times New Roman;serif"/>
          <w:b/>
          <w:color w:val="000000"/>
          <w:sz w:val="22"/>
        </w:rPr>
        <w:t>FDA</w:t>
      </w:r>
      <w:r>
        <w:rPr>
          <w:color w:val="000000"/>
        </w:rPr>
        <w:t>”</w:t>
      </w:r>
      <w:r>
        <w:rPr>
          <w:rFonts w:ascii="Times New Roman;serif" w:hAnsi="Times New Roman;serif"/>
          <w:b w:val="false"/>
          <w:color w:val="000000"/>
          <w:sz w:val="22"/>
        </w:rPr>
        <w:t xml:space="preserve">), including, to the extent applicable, those requirements relating to investigational use, premarket notification and premarket approval, establishment registration, complaint handling,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reporting of corrections and removals, and FDA’s Quality System Regulation at 21 C.F.R. Part 820; (iv) all applicable laws governing licensure, accreditation, certification and operation of clinical laboratories and the performance of laboratory-developed tests, including but not limited to the U.S. Clinical Laboratory Improvement Amendments of 1988, 42 U.S.C. § 263a, and its implemental regulations at 42 C.F.R. Part 493, and state laws governing the operation of clinical laboratories; (v) all applicable federal, state, local and all applicable foreign healthcare related fraud and abuse laws, including, without limitation, the federal Anti-kickback Statute (42 U.S.C. § 1320a-7b(b)), the federal Ethics in Patient Referrals or the “Stark Law” (42 U.S.C. § 1395nn), the U.S. Physician Payments Sunshine Act (42 U.S.C. § 1320a-7h), as well as any corollary state statutes governing disclosure of payments by manufacturers or suppliers to healthcare professionals, the Eliminating Kickbacks in Recovery Act (18 U.S.C. § 220), the civil False Claims Act (31 U.S.C. §§ 3729 et seq.), the Program Fraud Civil Remedies Act of 1986 (31 U.S.C. §§ 3891 et seq.), the criminal False Claims Law (42 U.S.C. § 1320a-7b(a)), all applicable criminal laws relating to healthcare fraud and abuse, including but not limited to 18 U.S.C. Sections 286 and 287, the healthcare fraud criminal provisions under HIPAA, the exclusion laws (42 U.S.C. § 1320a-7), and the civil monetary penalties law (42 U.S.C. § 1320a-7a); (vi) and any other applicable federal or corollary state laws pertaining to the privacy and security of patient information, including laws pertaining to the protection of genetic data or biospecimens; (vii) the Medicare program (Title XVIII of the Social Security Act, including the amendments implemented by the Medicare Prescription Drug, Improvement, and Modernization Act of 2003 and the Medicare Improvements for Patients and Providers Act of 2008), (viii) the Medicaid program (Title XIX of the Social Security Act), (ix) the Patient Protection and Affordable Care Act (Pub. L. 111-148) as amended by the Health Care and Education Reconciliation Act of 2010 (Pub. L. 111-152), (x) laws applicable to clinical research, including but not limited to the federal Policy for Protection of Human Subjects (42 C.F.R. Part 46), the FDCA and its applicable implementing regulations at 21 C.F.R. Parts 50, 54, 56, 58 and 312, the United States Animal Welfare Act, the International Conference on Harmonization’s (ICH) Guideline on Nonclinical Safety Studies for the Conduct of Human Clinical Trials for Pharmaceuticals and the ICH Guideline on Safety Pharmacology Studies for Human Pharmaceuticals, and all equivalent legal requirements in other jurisdictions in which the Company operates; and (xi) all applicable federal or state laws pertaining to genetic counseling and telehealth services (including but not limited to federal and state licensure requirements and informed consent requirements), in each case for clauses (i)-(xi), to the extent applicable to the Company, if at all. Since the Merger Date, and, to the Company’s knowledge, prior to the Merger Date, the Company and each of its Subsidiaries have timely filed all material reports, applications, statements, documents, registrations, filings, corrections, updates, amendments, supplements, and submissions required to be filed by them under applicable Health Care Laws. Since the Merger Date, and, to the Company’s knowledge, prior to the Merger Date, each such filing was true and correct in all material respects as of the date of submission, or was corrected in or supplemented by a subsequent filing, and any material and legally necessary or required updates, changes, corrections, amendments, supplements, or modifications to such filings have been submitted to the applicable governmental or regulatory authorities. The Company maintains an operational healthcare compliance program that governs all employees and contractors and is consistent with guidance by the U.S. Department of Health and Human Services Office of Inspector General for effective compliance programs. The Company and its Subsidiaries further operate in material compliance with such healthcare compliance program. Since the Merger Date, and, to the Company’s knowledge, prior to the Merger Date, the Company and each of its Subsidiaries have not received written notice or other correspondence of any claim, action, suit, audit, or survey finding, proceeding, hearing, enforcement, investigation, arbitration or other action (“</w:t>
      </w:r>
      <w:r>
        <w:rPr>
          <w:rFonts w:ascii="Times New Roman;serif" w:hAnsi="Times New Roman;serif"/>
          <w:b/>
          <w:color w:val="000000"/>
          <w:sz w:val="22"/>
        </w:rPr>
        <w:t>Health Care Action</w:t>
      </w:r>
      <w:r>
        <w:rPr>
          <w:color w:val="000000"/>
        </w:rPr>
        <w:t>”</w:t>
      </w:r>
      <w:r>
        <w:rPr>
          <w:rFonts w:ascii="Times New Roman;serif" w:hAnsi="Times New Roman;serif"/>
          <w:b w:val="false"/>
          <w:color w:val="000000"/>
          <w:sz w:val="22"/>
        </w:rPr>
        <w:t xml:space="preserve">) from any court or arbitrator or governmental or regulatory authority or third party alleging that any of their products, operations or activities is in material violation of any Health Care Laws, and, to the Company’s knowledge, no such Health Care Action is threatened. Neither the Company nor any of its Subsidiaries are a party to or have any ongoing reporting obligations pursuant to any corporate integrity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deferred prosecution agreement, monitoring agreement, consent decree, settlement order, plan of correction or similar agreement imposed by any governmental or regulatory authority. Since the Merger Date, and, to the Company’s knowledge, prior to the Merger Date, neither the Company nor any of its Subsidiaries have received any FDA Form 483, notice of adverse finding, warning letter, untitled letter or other correspondence or notice from the FDA or any other governmental or regulatory authority alleging or asserting any material noncompliance with any Health Care Laws. Additionally, (i) since the Merger Date, and, to the Company’s knowledge, prior to the Merger Date, neither the Company nor any of its Subsidiaries has, and (ii) to the Company’s knowledge, none of its employees, officers or directors has, been excluded, suspended or debarred from participation in any U.S. state or federal health care program or human clinical research. To the Company’s knowledge, none of the Company, any of its Subsidiaries, or any of its employees, officers or directors, is subject to a governmental inquiry, investigation, proceeding, or other similar action that could reasonably be expected to result in debarment, suspension, or exclusion.</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(tt)</w:t>
      </w:r>
      <w:r>
        <w:rPr>
          <w:rFonts w:ascii="Times New Roman;serif" w:hAnsi="Times New Roman;serif"/>
          <w:b/>
          <w:i/>
          <w:color w:val="000000"/>
          <w:sz w:val="22"/>
        </w:rPr>
        <w:t>Studies and Tests</w:t>
      </w:r>
      <w:r>
        <w:rPr>
          <w:rFonts w:ascii="Times New Roman;serif" w:hAnsi="Times New Roman;serif"/>
          <w:b w:val="false"/>
          <w:color w:val="000000"/>
          <w:sz w:val="22"/>
        </w:rPr>
        <w:t>. Since the Merger Date, and, to the Company’s knowledge, prior to the Merger Date, the studies and tests conducted by or, to the Company’s knowledge, on behalf of the Company, were and, if still ongoing, are being conducted in all material respects in accordance with all permits and applicable laws, including, without limitation, the Federal Food, Drug, and Cosmetic Act and the rules and regulations promulgated thereunder; the descriptions, if any, of the results of such studies and tests contained in the Registration Statement, Time of Sale Prospectus and the Prospectus are, to the Company’s knowledge, accurate in all material respects and fairly present, in all material respects, the data derived from such studies and tests; the Company is not aware of any studies or tests, the results of which the Company believes reasonably call into question the study, test, or trial results described or referred to in the Registration Statement, Time of Sale Prospectus and the Prospectus when viewed in the context in which such results are described and the clinical state of development; and the Company has not received any written notices or correspondence from the FDA or any governmental entity requiring the termination or suspension of any studies or tests conducted by or on behalf of the Company, other than ordinary course communications with respect to modifications in connection with the design and implementation of such studies or tests.</w:t>
      </w:r>
    </w:p>
    <w:p>
      <w:pPr>
        <w:pStyle w:val="TextBody"/>
        <w:bidi w:val="0"/>
        <w:spacing w:lineRule="auto" w:line="288" w:before="0" w:after="240"/>
        <w:ind w:left="0" w:right="0" w:firstLine="720"/>
        <w:jc w:val="left"/>
        <w:rPr/>
      </w:pPr>
      <w:r>
        <w:rPr>
          <w:rFonts w:ascii="Times New Roman;serif" w:hAnsi="Times New Roman;serif"/>
          <w:b/>
          <w:color w:val="000000"/>
          <w:sz w:val="22"/>
        </w:rPr>
        <w:t>(uu)</w:t>
      </w:r>
      <w:r>
        <w:rPr>
          <w:rFonts w:ascii="Times New Roman;serif" w:hAnsi="Times New Roman;serif"/>
          <w:b/>
          <w:i/>
          <w:color w:val="000000"/>
          <w:sz w:val="22"/>
        </w:rPr>
        <w:t>Off Balance Sheet Arrangements</w:t>
      </w:r>
      <w:r>
        <w:rPr>
          <w:rFonts w:ascii="Times New Roman;serif" w:hAnsi="Times New Roman;serif"/>
          <w:b w:val="false"/>
          <w:color w:val="000000"/>
          <w:sz w:val="22"/>
        </w:rPr>
        <w:t>. There is no transaction, arrangement, or other relationship between the Company (or any Subsidiary) and an unconsolidated or other off balance sheet entity that is required to be disclosed by the Company in the Company’s reports filed with the Commission and is not so disclosed and would have or reasonably be expected to result in a Material Adverse Change.</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(vv)</w:t>
      </w:r>
      <w:r>
        <w:rPr>
          <w:rFonts w:ascii="Times New Roman;serif" w:hAnsi="Times New Roman;serif"/>
          <w:b/>
          <w:i/>
          <w:color w:val="000000"/>
          <w:sz w:val="22"/>
        </w:rPr>
        <w:t>Actively-Traded Security</w:t>
      </w:r>
      <w:r>
        <w:rPr>
          <w:rFonts w:ascii="Times New Roman;serif" w:hAnsi="Times New Roman;serif"/>
          <w:b w:val="false"/>
          <w:color w:val="000000"/>
          <w:sz w:val="22"/>
        </w:rPr>
        <w:t>. The Common Stock is an “actively-traded security” exempted from the requirements of Rule 101 of Regulation M under the Exchange Act by subsection (c)(1) of such rule.</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2"/>
        </w:rPr>
        <w:t>Section 2.</w:t>
      </w:r>
      <w:r>
        <w:rPr>
          <w:rFonts w:ascii="Times New Roman;serif" w:hAnsi="Times New Roman;serif"/>
          <w:b/>
          <w:color w:val="000000"/>
          <w:sz w:val="22"/>
        </w:rPr>
        <w:t>Purchase, Sale and Delivery of the Offered Shares.</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The Firm Shares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Upon the terms herein set forth, the Company agrees to issue and sell to the several Underwriters an aggregate of 4,117,648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serif" w:hAnsi="Times New Roman;serif"/>
          <w:b w:val="false"/>
          <w:color w:val="000000"/>
          <w:sz w:val="22"/>
          <w:u w:val="single"/>
        </w:rPr>
        <w:t>Schedule A</w:t>
      </w:r>
      <w:r>
        <w:rPr>
          <w:rFonts w:ascii="Times New Roman;serif" w:hAnsi="Times New Roman;serif"/>
          <w:b w:val="false"/>
          <w:color w:val="000000"/>
          <w:sz w:val="22"/>
        </w:rPr>
        <w:t>. The purchase price per Firm Share to be paid by the several Underwriters to the Company shall be $79.90.</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The First Closing Date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Delivery of the Firm Shares to be purchased by the Underwriters and payment therefor shall be made at the offices of Paul Hastings LLP (or such other place as may be agreed to by the Company and the Representatives) at 9:00 a.m. New York City time, on October 7, 2026</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or such other time and date not later than 1:30 p.m. New York City time, on October 7, 2026 as the Representatives shall designate by notice to the Company (the time and date of such closing are called the “</w:t>
      </w:r>
      <w:r>
        <w:rPr>
          <w:rFonts w:ascii="Times New Roman;serif" w:hAnsi="Times New Roman;serif"/>
          <w:b/>
          <w:color w:val="000000"/>
          <w:sz w:val="22"/>
        </w:rPr>
        <w:t>First Closing Date</w:t>
      </w:r>
      <w:r>
        <w:rPr>
          <w:color w:val="000000"/>
        </w:rPr>
        <w:t>”</w:t>
      </w:r>
      <w:r>
        <w:rPr>
          <w:rFonts w:ascii="Times New Roman;serif" w:hAnsi="Times New Roman;serif"/>
          <w:b w:val="false"/>
          <w:color w:val="000000"/>
          <w:sz w:val="22"/>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The Optional Shares; Option Closing Date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617,647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Times New Roman;serif" w:hAnsi="Times New Roman;serif"/>
          <w:b/>
          <w:color w:val="000000"/>
          <w:sz w:val="22"/>
        </w:rPr>
        <w:t>First Closing Date</w:t>
      </w:r>
      <w:r>
        <w:rPr>
          <w:color w:val="000000"/>
        </w:rPr>
        <w:t xml:space="preserve">” </w:t>
      </w:r>
      <w:r>
        <w:rPr>
          <w:rFonts w:ascii="Times New Roman;serif" w:hAnsi="Times New Roman;serif"/>
          <w:b w:val="false"/>
          <w:color w:val="000000"/>
          <w:sz w:val="22"/>
        </w:rPr>
        <w:t>shall refer to the time and date of delivery of the Firm Shares and such Optional Shares). Any such time and date of delivery, if subsequent to the First Closing Date, is called an “</w:t>
      </w:r>
      <w:r>
        <w:rPr>
          <w:rFonts w:ascii="Times New Roman;serif" w:hAnsi="Times New Roman;serif"/>
          <w:b/>
          <w:color w:val="000000"/>
          <w:sz w:val="22"/>
        </w:rPr>
        <w:t>Option Closing Date</w:t>
      </w:r>
      <w:r>
        <w:rPr>
          <w:rFonts w:ascii="Times New Roman;serif" w:hAnsi="Times New Roman;serif"/>
          <w:b w:val="false"/>
          <w:color w:val="000000"/>
          <w:sz w:val="22"/>
        </w:rPr>
        <w:t xml:space="preserve">,” and shall be determined by the Representatives and shall not be earlier than two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opposite the name of such Underwriter bears to the total number of Firm Shares. The Representatives may cancel the option at any time prior to its expiration by giving written notice of such cancellation to the Company.</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Public Offering of the Offered Shares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Payment for the Offered Shares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 Payment for the Offered Shares shall be made at the First Closing Date (and, if applicable, at each Option Closing Date) by wire transfer of immediately available funds to the order of the Company. </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the Representatives,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Delivery of the Offered Shares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deliver, or cause to be delivered, to the Representatives for the accounts of the several Underwriters, the Firm Shares at the First Closing Date against the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The Depository Trust Company’s full fast transfer or DWAC programs. If Jefferies so elects, the certificates for the Offered Shares shall be registered in such names and denominations as the Representatives shall have requested at least one full business day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  </w:t>
      </w:r>
    </w:p>
    <w:p>
      <w:pPr>
        <w:pStyle w:val="TextBody"/>
        <w:bidi w:val="0"/>
        <w:spacing w:lineRule="auto" w:line="288" w:before="0" w:after="240"/>
        <w:ind w:left="0" w:right="0" w:firstLine="1440"/>
        <w:jc w:val="left"/>
        <w:rPr/>
      </w:pPr>
      <w:r>
        <w:rPr>
          <w:rFonts w:ascii="Times New Roman;serif" w:hAnsi="Times New Roman;serif"/>
          <w:b/>
          <w:color w:val="000000"/>
          <w:sz w:val="22"/>
        </w:rPr>
        <w:t>Section 3.</w:t>
      </w:r>
      <w:r>
        <w:rPr>
          <w:rFonts w:ascii="Times New Roman;serif" w:hAnsi="Times New Roman;serif"/>
          <w:b/>
          <w:color w:val="000000"/>
          <w:sz w:val="22"/>
        </w:rPr>
        <w:t>Additional Covenants.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further covenants and agrees with each Underwriter as follows: </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Delivery of Registration Statement, Time of Sale Prospectus and Prospectus.</w:t>
      </w:r>
      <w:r>
        <w:rPr>
          <w:color w:val="000000"/>
        </w:rPr>
        <w:t xml:space="preserve"> </w:t>
      </w:r>
      <w:r>
        <w:rPr>
          <w:rFonts w:ascii="Times New Roman;serif" w:hAnsi="Times New Roman;serif"/>
          <w:b w:val="false"/>
          <w:color w:val="000000"/>
          <w:sz w:val="22"/>
        </w:rPr>
        <w:t>The Company shall furnish to you in New York City, 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Representatives’ Review of Proposed Amendments and Supplements.</w:t>
      </w:r>
      <w:r>
        <w:rPr>
          <w:color w:val="000000"/>
        </w:rPr>
        <w:t xml:space="preserve"> </w:t>
      </w:r>
      <w:r>
        <w:rPr>
          <w:rFonts w:ascii="Times New Roman;serif" w:hAnsi="Times New Roman;serif"/>
          <w:b w:val="false"/>
          <w:color w:val="000000"/>
          <w:sz w:val="22"/>
        </w:rPr>
        <w:t xml:space="preserve">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Act) without the Representatives’ prior written consent (which shall not be unreasonably withheld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be unreasonably withheld or delayed). The Company shall file with the Commission within the applicable period specified in Rule 424(b) under the Securities Act any prospectus required to be filed pursuant to such Rule.</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Free Writing Prospectuses.</w:t>
      </w:r>
      <w:r>
        <w:rPr>
          <w:color w:val="000000"/>
        </w:rPr>
        <w:t xml:space="preserve"> </w:t>
      </w:r>
      <w:r>
        <w:rPr>
          <w:rFonts w:ascii="Times New Roman;serif" w:hAnsi="Times New Roman;serif"/>
          <w:b w:val="false"/>
          <w:color w:val="000000"/>
          <w:sz w:val="22"/>
        </w:rPr>
        <w:t xml:space="preserve">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serif" w:hAnsi="Times New Roman;serif"/>
          <w:b w:val="false"/>
          <w:i/>
          <w:color w:val="000000"/>
          <w:sz w:val="22"/>
        </w:rPr>
        <w:t>provided, however</w:t>
      </w:r>
      <w:r>
        <w:rPr>
          <w:rFonts w:ascii="Times New Roman;serif" w:hAnsi="Times New Roman;serif"/>
          <w:b w:val="false"/>
          <w:color w:val="000000"/>
          <w:sz w:val="22"/>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Filing of Underwriter Free Writing Prospectuses</w:t>
      </w:r>
      <w:r>
        <w:rPr>
          <w:rFonts w:ascii="Times New Roman;serif" w:hAnsi="Times New Roman;serif"/>
          <w:b w:val="false"/>
          <w:color w:val="000000"/>
          <w:sz w:val="22"/>
        </w:rPr>
        <w:t>.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Amendments and Supplements to Time of Sale Prospectus.</w:t>
      </w:r>
      <w:r>
        <w:rPr>
          <w:color w:val="000000"/>
        </w:rPr>
        <w:t xml:space="preserve"> </w:t>
      </w:r>
      <w:r>
        <w:rPr>
          <w:rFonts w:ascii="Times New Roman;serif" w:hAnsi="Times New Roman;serif"/>
          <w:b w:val="false"/>
          <w:color w:val="000000"/>
          <w:sz w:val="22"/>
        </w:rPr>
        <w:t xml:space="preserve">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counsel for the Underwriters, it is necessary to amend or supplement the Time of Sale Prospectus to comply with applicable law, the Company shall (subject to Section 3(b)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Certain Notifications and Required Actions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After the date of this Agreement, the Company shall promptly advise the Representatives in writing of (which may be by email):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any free writing prospectus or the Prospectus or of any order preventing or suspending the use of any preliminary prospectus, the Time of Sale Prospectus or the Prospectus, or of any proceedings to remove, suspend or terminate from listing or quotation the Common Stock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reasonably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w:t>
      </w:r>
    </w:p>
    <w:p>
      <w:pPr>
        <w:pStyle w:val="TextBody"/>
        <w:bidi w:val="0"/>
        <w:spacing w:lineRule="auto" w:line="288" w:before="0" w:after="240"/>
        <w:ind w:left="0" w:right="0" w:firstLine="720"/>
        <w:jc w:val="left"/>
        <w:rPr/>
      </w:pPr>
      <w:r>
        <w:rPr>
          <w:rFonts w:ascii="Times New Roman;serif" w:hAnsi="Times New Roman;serif"/>
          <w:b/>
          <w:color w:val="000000"/>
          <w:sz w:val="22"/>
        </w:rPr>
        <w:t>(g)</w:t>
      </w:r>
      <w:r>
        <w:rPr>
          <w:rFonts w:ascii="Times New Roman;serif" w:hAnsi="Times New Roman;serif"/>
          <w:b/>
          <w:i/>
          <w:color w:val="000000"/>
          <w:sz w:val="22"/>
        </w:rPr>
        <w:t>Amendments and Supplements to the Prospectus and Other Securities Act Matters.</w:t>
      </w:r>
      <w:r>
        <w:rPr>
          <w:color w:val="000000"/>
        </w:rPr>
        <w:t xml:space="preserve"> </w:t>
      </w:r>
      <w:r>
        <w:rPr>
          <w:rFonts w:ascii="Times New Roman;serif" w:hAnsi="Times New Roman;serif"/>
          <w:b w:val="false"/>
          <w:color w:val="000000"/>
          <w:sz w:val="22"/>
        </w:rPr>
        <w:t>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(h)</w:t>
      </w:r>
      <w:r>
        <w:rPr>
          <w:rFonts w:ascii="Times New Roman;serif" w:hAnsi="Times New Roman;serif"/>
          <w:b/>
          <w:i/>
          <w:color w:val="000000"/>
          <w:sz w:val="22"/>
        </w:rPr>
        <w:t>Blue Sky Compliance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cooperate with the Representatives and counsel for the Underwriters to qualify or register the Offered Shares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pStyle w:val="TextBody"/>
        <w:bidi w:val="0"/>
        <w:spacing w:lineRule="auto" w:line="288" w:before="0" w:after="240"/>
        <w:ind w:left="0" w:right="0" w:firstLine="720"/>
        <w:jc w:val="left"/>
        <w:rPr/>
      </w:pPr>
      <w:r>
        <w:rPr>
          <w:rFonts w:ascii="Times New Roman;serif" w:hAnsi="Times New Roman;serif"/>
          <w:b/>
          <w:color w:val="000000"/>
          <w:sz w:val="22"/>
        </w:rPr>
        <w:t>(i)</w:t>
      </w:r>
      <w:r>
        <w:rPr>
          <w:rFonts w:ascii="Times New Roman;serif" w:hAnsi="Times New Roman;serif"/>
          <w:b/>
          <w:i/>
          <w:color w:val="000000"/>
          <w:sz w:val="22"/>
        </w:rPr>
        <w:t>Use of Proceeds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apply the net proceeds from the sale of the Offered Shares sold by it in the manner described under the caption “Use of Proceeds” in the Registration Statement, the Time of Sale Prospectus and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(j)</w:t>
      </w:r>
      <w:r>
        <w:rPr>
          <w:rFonts w:ascii="Times New Roman;serif" w:hAnsi="Times New Roman;serif"/>
          <w:b/>
          <w:i/>
          <w:color w:val="000000"/>
          <w:sz w:val="22"/>
        </w:rPr>
        <w:t>Transfer Agent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engage and maintain, at its expense, a registrar and transfer agent for the Common Stock.</w:t>
      </w:r>
    </w:p>
    <w:p>
      <w:pPr>
        <w:pStyle w:val="TextBody"/>
        <w:bidi w:val="0"/>
        <w:spacing w:lineRule="auto" w:line="288" w:before="0" w:after="240"/>
        <w:ind w:left="0" w:right="0" w:firstLine="720"/>
        <w:jc w:val="left"/>
        <w:rPr/>
      </w:pPr>
      <w:r>
        <w:rPr>
          <w:rFonts w:ascii="Times New Roman;serif" w:hAnsi="Times New Roman;serif"/>
          <w:b/>
          <w:color w:val="000000"/>
          <w:sz w:val="22"/>
        </w:rPr>
        <w:t>(k)</w:t>
      </w:r>
      <w:r>
        <w:rPr>
          <w:rFonts w:ascii="Times New Roman;serif" w:hAnsi="Times New Roman;serif"/>
          <w:b/>
          <w:i/>
          <w:color w:val="000000"/>
          <w:sz w:val="22"/>
        </w:rPr>
        <w:t>Earnings Statement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pStyle w:val="TextBody"/>
        <w:bidi w:val="0"/>
        <w:spacing w:lineRule="auto" w:line="288" w:before="0" w:after="240"/>
        <w:ind w:left="0" w:right="0" w:firstLine="720"/>
        <w:jc w:val="left"/>
        <w:rPr/>
      </w:pPr>
      <w:r>
        <w:rPr>
          <w:rFonts w:ascii="Times New Roman;serif" w:hAnsi="Times New Roman;serif"/>
          <w:b/>
          <w:color w:val="000000"/>
          <w:sz w:val="22"/>
        </w:rPr>
        <w:t>(l)</w:t>
      </w:r>
      <w:r>
        <w:rPr>
          <w:rFonts w:ascii="Times New Roman;serif" w:hAnsi="Times New Roman;serif"/>
          <w:b/>
          <w:i/>
          <w:color w:val="000000"/>
          <w:sz w:val="22"/>
        </w:rPr>
        <w:t>Continued Compliance with Securities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will comply with the Securities Act and the Exchange Act so as to permit the completion of the distribution of the Offered Shares as contemplated by this Agreement,</w:t>
      </w:r>
      <w:r>
        <w:rPr>
          <w:color w:val="000000"/>
        </w:rPr>
        <w:t xml:space="preserve"> </w:t>
      </w:r>
      <w:r>
        <w:rPr>
          <w:rFonts w:ascii="Times New Roman;serif" w:hAnsi="Times New Roman;serif"/>
          <w:b w:val="false"/>
          <w:color w:val="000000"/>
          <w:sz w:val="22"/>
        </w:rPr>
        <w:t xml:space="preserve">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w:t>
      </w:r>
    </w:p>
    <w:p>
      <w:pPr>
        <w:pStyle w:val="TextBody"/>
        <w:bidi w:val="0"/>
        <w:spacing w:lineRule="auto" w:line="288" w:before="0" w:after="240"/>
        <w:ind w:left="0" w:right="0" w:firstLine="720"/>
        <w:jc w:val="left"/>
        <w:rPr/>
      </w:pPr>
      <w:r>
        <w:rPr>
          <w:rFonts w:ascii="Times New Roman;serif" w:hAnsi="Times New Roman;serif"/>
          <w:b/>
          <w:color w:val="000000"/>
          <w:sz w:val="22"/>
        </w:rPr>
        <w:t>(m)</w:t>
      </w:r>
      <w:r>
        <w:rPr>
          <w:rFonts w:ascii="Times New Roman;serif" w:hAnsi="Times New Roman;serif"/>
          <w:b/>
          <w:i/>
          <w:color w:val="000000"/>
          <w:sz w:val="22"/>
        </w:rPr>
        <w:t>Listing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will use its best efforts to list, subject to notice of issuance, the Offered Shares on the Nasdaq.</w:t>
      </w:r>
    </w:p>
    <w:p>
      <w:pPr>
        <w:pStyle w:val="TextBody"/>
        <w:bidi w:val="0"/>
        <w:spacing w:lineRule="auto" w:line="288" w:before="0" w:after="240"/>
        <w:ind w:left="0" w:right="0" w:firstLine="720"/>
        <w:jc w:val="left"/>
        <w:rPr/>
      </w:pPr>
      <w:r>
        <w:rPr>
          <w:rFonts w:ascii="Times New Roman;serif" w:hAnsi="Times New Roman;serif"/>
          <w:b/>
          <w:color w:val="000000"/>
          <w:sz w:val="22"/>
        </w:rPr>
        <w:t>(n)</w:t>
      </w:r>
      <w:r>
        <w:rPr>
          <w:rFonts w:ascii="Times New Roman;serif" w:hAnsi="Times New Roman;serif"/>
          <w:b/>
          <w:i/>
          <w:color w:val="000000"/>
          <w:sz w:val="22"/>
        </w:rPr>
        <w:t>Company to Provide Copy of the Prospectus in Form That May be Downloaded from the Internet.</w:t>
      </w:r>
      <w:r>
        <w:rPr>
          <w:color w:val="000000"/>
        </w:rPr>
        <w:t xml:space="preserve"> </w:t>
      </w:r>
      <w:r>
        <w:rPr>
          <w:rFonts w:ascii="Times New Roman;serif" w:hAnsi="Times New Roman;serif"/>
          <w:b w:val="false"/>
          <w:color w:val="000000"/>
          <w:sz w:val="22"/>
        </w:rPr>
        <w:t>If requested by the Representatives, the Company shall cause to be prepared and delivered, at its expense, within one business day from the effective date of this Agreement, to the Representatives an “electronic Prospectus” to be used by the Underwriters in connection with the offering and sale of the Offered Shares. As used herein, the term “</w:t>
      </w:r>
      <w:r>
        <w:rPr>
          <w:rFonts w:ascii="Times New Roman;serif" w:hAnsi="Times New Roman;serif"/>
          <w:b/>
          <w:color w:val="000000"/>
          <w:sz w:val="22"/>
        </w:rPr>
        <w:t>electronic Prospectus</w:t>
      </w:r>
      <w:r>
        <w:rPr>
          <w:color w:val="000000"/>
        </w:rPr>
        <w:t xml:space="preserve">” </w:t>
      </w:r>
      <w:r>
        <w:rPr>
          <w:rFonts w:ascii="Times New Roman;serif" w:hAnsi="Times New Roman;serif"/>
          <w:b w:val="false"/>
          <w:color w:val="000000"/>
          <w:sz w:val="22"/>
        </w:rPr>
        <w:t xml:space="preserve">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(o)</w:t>
      </w:r>
      <w:r>
        <w:rPr>
          <w:rFonts w:ascii="Times New Roman;serif" w:hAnsi="Times New Roman;serif"/>
          <w:b/>
          <w:i/>
          <w:color w:val="000000"/>
          <w:sz w:val="22"/>
        </w:rPr>
        <w:t>Agreement Not to Offer or Sell Additional Shares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During the period commencing on and including the date hereof and continuing through and including the 60th day following the date of the Prospectus (such period being referred to herein as the “</w:t>
      </w:r>
      <w:r>
        <w:rPr>
          <w:rFonts w:ascii="Times New Roman;serif" w:hAnsi="Times New Roman;serif"/>
          <w:b/>
          <w:color w:val="000000"/>
          <w:sz w:val="22"/>
        </w:rPr>
        <w:t>Lock-up Period</w:t>
      </w:r>
      <w:r>
        <w:rPr>
          <w:color w:val="000000"/>
        </w:rPr>
        <w:t>”</w:t>
      </w:r>
      <w:r>
        <w:rPr>
          <w:rFonts w:ascii="Times New Roman;serif" w:hAnsi="Times New Roman;serif"/>
          <w:b w:val="false"/>
          <w:color w:val="000000"/>
          <w:sz w:val="22"/>
        </w:rPr>
        <w:t>), the Company will not, without the prior written consent of the Representatives (which consent may be withheld in their sole discretion), directly or indirectly: (i) sell, offer to sell, contract to sell or lend any Common Stock or Related Securities (as defined below); (ii) effect any short sale, or establish or increase any “put equivalent position” (as defined in Rule 16a-1(h) under the Exchange Act) or liquidate or decrease any “call equivalent position” (as defined in Rule 16a-1(b) under the Exchange Act) of any Common Stock or Related Securities; (iii) pledge, hypothecate or grant any security interest in any Common Stock or Related Securities; (iv) in any other way transfer or dispose of any Common Stock or Related Securities; (v) enter into any swap, hedge or similar arrangement or agreement that transfers, in whole or in part, the economic risk of ownership of any Common Stock or Related Securities, regardless of whether any such transaction is to be settled in securities, in cash or otherwise; (vi) announce the offering of any Common Stock or Related Securities; (vii) submit or file any registration statement under the Securities Act in respect of any Common Stock or Related Securities (other than as contemplated by this Agreement with respect to the Offered Shares); (viii) effect a reverse stock split, recapitalization, share consolidation, reclassification or similar transaction affecting the outstanding Common Stock;</w:t>
      </w:r>
      <w:r>
        <w:rPr>
          <w:color w:val="1F497D"/>
        </w:rPr>
        <w:t xml:space="preserve"> </w:t>
      </w:r>
      <w:r>
        <w:rPr>
          <w:rFonts w:ascii="Times New Roman;serif" w:hAnsi="Times New Roman;serif"/>
          <w:b w:val="false"/>
          <w:color w:val="000000"/>
          <w:sz w:val="22"/>
        </w:rPr>
        <w:t xml:space="preserve">or (ix) publicly announce the intention to do any of the foregoing;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Company may (A) effect the transactions contemplated hereby, (B) issue and sell, from time to time, its Common Stock pursuant to that certain sales agreement, dated June 26, 2026, by and between the Company and TD Securities (USA) LLC (the “</w:t>
      </w:r>
      <w:r>
        <w:rPr>
          <w:rFonts w:ascii="Times New Roman;serif" w:hAnsi="Times New Roman;serif"/>
          <w:b/>
          <w:color w:val="000000"/>
          <w:sz w:val="22"/>
        </w:rPr>
        <w:t>Sale Agreement</w:t>
      </w:r>
      <w:r>
        <w:rPr>
          <w:color w:val="000000"/>
        </w:rPr>
        <w:t>”</w:t>
      </w:r>
      <w:r>
        <w:rPr>
          <w:rFonts w:ascii="Times New Roman;serif" w:hAnsi="Times New Roman;serif"/>
          <w:b w:val="false"/>
          <w:color w:val="000000"/>
          <w:sz w:val="22"/>
        </w:rPr>
        <w:t>), provided that no sales shall be made under the Sale Agreement until the earlier of (x) the exercise in full by the Underwriters of their option to purchase the Optional Shares and (y) the 30th day following the date of the Prospectus, and (C) issue Common Stock or options to purchase Common Stock, or issue Common Stock upon exercise of options, pursuant to any stock option, stock bonus or other stock plan or arrangement described in the Registration Statement, the Time of Sale Prospectus and the Prospectus, provided that each holder of such Common Stock or options who is a director or officer of the Company agrees in writing with the Underwriters not to sell, offer, dispose of or otherwise transfer any such Common Stock or options during such Lock-up Period without the prior written consent of the Representatives (which consent may be withheld in their sole discretion). For purposes of the foregoing, “</w:t>
      </w:r>
      <w:r>
        <w:rPr>
          <w:rFonts w:ascii="Times New Roman;serif" w:hAnsi="Times New Roman;serif"/>
          <w:b/>
          <w:color w:val="000000"/>
          <w:sz w:val="22"/>
        </w:rPr>
        <w:t>Related Securities</w:t>
      </w:r>
      <w:r>
        <w:rPr>
          <w:color w:val="000000"/>
        </w:rPr>
        <w:t xml:space="preserve">” </w:t>
      </w:r>
      <w:r>
        <w:rPr>
          <w:rFonts w:ascii="Times New Roman;serif" w:hAnsi="Times New Roman;serif"/>
          <w:b w:val="false"/>
          <w:color w:val="000000"/>
          <w:sz w:val="22"/>
        </w:rPr>
        <w:t xml:space="preserve">shall mean any options or warrants or other rights to acquire Common Stock or any securities exchangeable or exercisable for or convertible into Common Stock, or to acquire other securities or rights ultimately exchangeable or exercisable for, or convertible into, Common Stock. </w:t>
      </w:r>
    </w:p>
    <w:p>
      <w:pPr>
        <w:pStyle w:val="TextBody"/>
        <w:bidi w:val="0"/>
        <w:spacing w:lineRule="auto" w:line="288" w:before="0" w:after="240"/>
        <w:ind w:left="0" w:right="0" w:firstLine="720"/>
        <w:jc w:val="left"/>
        <w:rPr/>
      </w:pPr>
      <w:r>
        <w:rPr>
          <w:rFonts w:ascii="Times New Roman;serif" w:hAnsi="Times New Roman;serif"/>
          <w:b/>
          <w:color w:val="000000"/>
          <w:sz w:val="22"/>
        </w:rPr>
        <w:t>(p)</w:t>
      </w:r>
      <w:r>
        <w:rPr>
          <w:rFonts w:ascii="Times New Roman;serif" w:hAnsi="Times New Roman;serif"/>
          <w:b/>
          <w:i/>
          <w:color w:val="000000"/>
          <w:sz w:val="22"/>
        </w:rPr>
        <w:t>Future Reports to the Representatives.</w:t>
      </w:r>
      <w:r>
        <w:rPr>
          <w:color w:val="000000"/>
        </w:rPr>
        <w:t xml:space="preserve"> </w:t>
      </w:r>
      <w:r>
        <w:rPr>
          <w:rFonts w:ascii="Times New Roman;serif" w:hAnsi="Times New Roman;serif"/>
          <w:b w:val="false"/>
          <w:color w:val="000000"/>
          <w:sz w:val="22"/>
        </w:rPr>
        <w:t xml:space="preserve">During the period of five years hereafter, the Company will furnish to the Representatives, c/o Jefferies LLC, at 520 Madison Avenue, New York, New York 10022, Attention: Global Head of Syndicate; c/o TD Securities (USA) LLC, 1 Vanderbilt Avenue, New York, New York 10017, Attention: Head of Equity Capital Markets, with a copy to CIBLegal@tdsecurities.com; c/o Leerink Partners LLC, 1301 Avenue of the Americas, 5th Floor, New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York, New York 10019, Attention: Stuart R. Nayman, and c/o Stifel, Nicolaus &amp; Company, Incorporated, 787 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Avenue, 11</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New York, New York 10019, Attention: Equity Capital Markets: (i) as soon as practicable after the end of each fiscal year, copies of the Annual Report of the Company containing the balance sheet of the Company as of the close of such fiscal year and statements of income, stockholders’</w:t>
      </w:r>
      <w:r>
        <w:rPr>
          <w:color w:val="000000"/>
        </w:rPr>
        <w:t xml:space="preserve"> </w:t>
      </w:r>
      <w:r>
        <w:rPr>
          <w:rFonts w:ascii="Times New Roman;serif" w:hAnsi="Times New Roman;serif"/>
          <w:b w:val="false"/>
          <w:color w:val="000000"/>
          <w:sz w:val="22"/>
        </w:rPr>
        <w:t xml:space="preserve">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the requirements of this Section 3(p) shall be satisfied to the extent that such reports, statement, communications, financial statements or other documents are available on EDGAR.</w:t>
      </w:r>
    </w:p>
    <w:p>
      <w:pPr>
        <w:pStyle w:val="TextBody"/>
        <w:bidi w:val="0"/>
        <w:spacing w:lineRule="auto" w:line="288" w:before="0" w:after="240"/>
        <w:ind w:left="0" w:right="0" w:firstLine="720"/>
        <w:jc w:val="left"/>
        <w:rPr/>
      </w:pPr>
      <w:r>
        <w:rPr>
          <w:rFonts w:ascii="Times New Roman;serif" w:hAnsi="Times New Roman;serif"/>
          <w:b/>
          <w:color w:val="000000"/>
          <w:sz w:val="22"/>
        </w:rPr>
        <w:t>(q)</w:t>
      </w:r>
      <w:r>
        <w:rPr>
          <w:rFonts w:ascii="Times New Roman;serif" w:hAnsi="Times New Roman;serif"/>
          <w:b/>
          <w:i/>
          <w:color w:val="000000"/>
          <w:sz w:val="22"/>
        </w:rPr>
        <w:t>Investment Limitation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not invest or otherwise use the proceeds received by the Company from its sale of the Offered Shares in such a manner as would require the Company or any of its Subsidiaries to register as an investment company under the Investment Company Act.</w:t>
      </w:r>
    </w:p>
    <w:p>
      <w:pPr>
        <w:pStyle w:val="TextBody"/>
        <w:bidi w:val="0"/>
        <w:spacing w:lineRule="auto" w:line="288" w:before="0" w:after="240"/>
        <w:ind w:left="0" w:right="0" w:firstLine="720"/>
        <w:jc w:val="left"/>
        <w:rPr/>
      </w:pPr>
      <w:r>
        <w:rPr>
          <w:rFonts w:ascii="Times New Roman;serif" w:hAnsi="Times New Roman;serif"/>
          <w:b/>
          <w:color w:val="000000"/>
          <w:sz w:val="22"/>
        </w:rPr>
        <w:t>(r)</w:t>
      </w:r>
      <w:r>
        <w:rPr>
          <w:rFonts w:ascii="Times New Roman;serif" w:hAnsi="Times New Roman;serif"/>
          <w:b/>
          <w:i/>
          <w:color w:val="000000"/>
          <w:sz w:val="22"/>
        </w:rPr>
        <w:t>No Stabilization or Manipulation; Compliance with Regulation M</w:t>
      </w:r>
      <w:r>
        <w:rPr>
          <w:rFonts w:ascii="Times New Roman;serif" w:hAnsi="Times New Roman;serif"/>
          <w:b/>
          <w:color w:val="000000"/>
          <w:sz w:val="22"/>
        </w:rPr>
        <w:t xml:space="preserve">. </w:t>
      </w:r>
      <w:r>
        <w:rPr>
          <w:rFonts w:ascii="Times New Roman;serif" w:hAnsi="Times New Roman;serif"/>
          <w:b w:val="false"/>
          <w:color w:val="000000"/>
          <w:sz w:val="22"/>
        </w:rPr>
        <w:t xml:space="preserve">The Company will not take, and will ensure that no affiliate of the Company will take, directly or indirectly, any action designed to or that might cause or result in stabilization or manipulation of the price of the Common Stock or any reference security with respect to the Common Stock, whether to facilitate the sale or resale of the Offered Shares or otherwise, and the Company will, and shall cause each of its affiliates to, comply with all applicable provisions of Regulation M. </w:t>
      </w:r>
    </w:p>
    <w:p>
      <w:pPr>
        <w:pStyle w:val="TextBody"/>
        <w:bidi w:val="0"/>
        <w:spacing w:lineRule="auto" w:line="288" w:before="0" w:after="240"/>
        <w:ind w:left="0" w:right="0" w:firstLine="720"/>
        <w:jc w:val="left"/>
        <w:rPr/>
      </w:pPr>
      <w:r>
        <w:rPr>
          <w:rFonts w:ascii="Times New Roman;serif" w:hAnsi="Times New Roman;serif"/>
          <w:b/>
          <w:color w:val="000000"/>
          <w:sz w:val="22"/>
        </w:rPr>
        <w:t>(s)</w:t>
      </w:r>
      <w:r>
        <w:rPr>
          <w:rFonts w:ascii="Times New Roman;serif" w:hAnsi="Times New Roman;serif"/>
          <w:b/>
          <w:i/>
          <w:color w:val="000000"/>
          <w:sz w:val="22"/>
        </w:rPr>
        <w:t>Enforce Lock-Up Agreements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During the Lock-up Period, the Company will enforce all agreements between the Company and any of its directors, officers or securityholders that restrict or prohibit, expressly or in operation, the offer, sale or transfer of Common Stock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securityholders pursuant to Section 6(i) hereof.</w:t>
      </w:r>
    </w:p>
    <w:p>
      <w:pPr>
        <w:pStyle w:val="TextBody"/>
        <w:bidi w:val="0"/>
        <w:spacing w:lineRule="auto" w:line="288" w:before="0" w:after="240"/>
        <w:ind w:left="0" w:right="0" w:firstLine="720"/>
        <w:jc w:val="left"/>
        <w:rPr/>
      </w:pPr>
      <w:r>
        <w:rPr>
          <w:rFonts w:ascii="Times New Roman;serif" w:hAnsi="Times New Roman;serif"/>
          <w:b/>
          <w:color w:val="000000"/>
          <w:sz w:val="22"/>
        </w:rPr>
        <w:t>(t)</w:t>
      </w:r>
      <w:r>
        <w:rPr>
          <w:rFonts w:ascii="Times New Roman;serif" w:hAnsi="Times New Roman;serif"/>
          <w:b/>
          <w:i/>
          <w:color w:val="000000"/>
          <w:sz w:val="22"/>
        </w:rPr>
        <w:t>Company to Provide Interim Financial Statements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Prior to the First Closing Date and each applicable Option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(u)</w:t>
      </w:r>
      <w:r>
        <w:rPr>
          <w:rFonts w:ascii="Times New Roman;serif" w:hAnsi="Times New Roman;serif"/>
          <w:b/>
          <w:i/>
          <w:color w:val="000000"/>
          <w:sz w:val="22"/>
        </w:rPr>
        <w:t>Amendments and Supplements to Permitted Testing-the-Waters Communications</w:t>
      </w:r>
      <w:r>
        <w:rPr>
          <w:rFonts w:ascii="Times New Roman;serif" w:hAnsi="Times New Roman;serif"/>
          <w:b w:val="false"/>
          <w:color w:val="000000"/>
          <w:sz w:val="22"/>
        </w:rPr>
        <w:t>. If at any time following the distribution of any Permitted Testing-the-Waters Communication, there occurred or occurs an event or development as a result of which such Permitted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Testing-the-Waters Communication to eliminate or correct such untrue statement or omission.</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Representatives, on behalf of the several Underwriters, may, in their sole discretion, waive in writing the performance by the Company of any one or more of the foregoing covenants or extend the time for their performance.</w:t>
      </w:r>
    </w:p>
    <w:p>
      <w:pPr>
        <w:pStyle w:val="TextBody"/>
        <w:bidi w:val="0"/>
        <w:spacing w:lineRule="auto" w:line="288" w:before="0" w:after="240"/>
        <w:ind w:left="0" w:right="0" w:firstLine="1440"/>
        <w:jc w:val="left"/>
        <w:rPr/>
      </w:pPr>
      <w:r>
        <w:rPr>
          <w:rFonts w:ascii="Times New Roman;serif" w:hAnsi="Times New Roman;serif"/>
          <w:b/>
          <w:color w:val="000000"/>
          <w:sz w:val="22"/>
        </w:rPr>
        <w:t>Section 4.</w:t>
      </w:r>
      <w:r>
        <w:rPr>
          <w:rFonts w:ascii="Times New Roman;serif" w:hAnsi="Times New Roman;serif"/>
          <w:b/>
          <w:color w:val="000000"/>
          <w:sz w:val="22"/>
        </w:rPr>
        <w:t>Payment of Expenses.</w:t>
      </w:r>
      <w:r>
        <w:rPr>
          <w:color w:val="000000"/>
        </w:rPr>
        <w:t xml:space="preserve"> </w:t>
      </w:r>
      <w:r>
        <w:rPr>
          <w:rFonts w:ascii="Times New Roman;serif" w:hAnsi="Times New Roman;serif"/>
          <w:b w:val="false"/>
          <w:color w:val="000000"/>
          <w:sz w:val="22"/>
        </w:rPr>
        <w:t>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Common Stock,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and each preliminary prospectus, each Permitted Testing-the-Waters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if necessary, and, if requested by the Representatives, preparing and printing a “Blue Sky Survey” or memorandum and a “Canadian wrapper”, and any supplements thereto, advising the Underwriters of such qualifications, registrations and exemptions (including fees and disbursements of counsel to the Underwriters up to $10,000),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(including fees and disbursements of counsel to the Underwriters up to $15,000), (viii) the costs and expenses of the Company relating to investor presentations on any “road show”, any Permitted Testing-the-Waters Communication or any Oral Testing-the-Waters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(ix) the fees and expenses associated with listing the Offered Shares on the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w:t>
      </w:r>
    </w:p>
    <w:p>
      <w:pPr>
        <w:pStyle w:val="TextBody"/>
        <w:bidi w:val="0"/>
        <w:spacing w:lineRule="auto" w:line="288" w:before="0" w:after="240"/>
        <w:ind w:left="0" w:right="0" w:firstLine="1440"/>
        <w:jc w:val="left"/>
        <w:rPr/>
      </w:pPr>
      <w:r>
        <w:rPr>
          <w:rFonts w:ascii="Times New Roman;serif" w:hAnsi="Times New Roman;serif"/>
          <w:b/>
          <w:color w:val="000000"/>
          <w:sz w:val="22"/>
        </w:rPr>
        <w:t>Section 5.</w:t>
      </w:r>
      <w:r>
        <w:rPr>
          <w:rFonts w:ascii="Times New Roman;serif" w:hAnsi="Times New Roman;serif"/>
          <w:b/>
          <w:color w:val="000000"/>
          <w:sz w:val="22"/>
        </w:rPr>
        <w:t>Covenant of the Underwriters.</w:t>
      </w:r>
      <w:r>
        <w:rPr>
          <w:color w:val="000000"/>
        </w:rPr>
        <w:t xml:space="preserve"> </w:t>
      </w:r>
      <w:r>
        <w:rPr>
          <w:rFonts w:ascii="Times New Roman;serif" w:hAnsi="Times New Roman;serif"/>
          <w:b w:val="false"/>
          <w:color w:val="000000"/>
          <w:sz w:val="22"/>
        </w:rPr>
        <w:t>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w:t>
      </w:r>
    </w:p>
    <w:p>
      <w:pPr>
        <w:pStyle w:val="TextBody"/>
        <w:bidi w:val="0"/>
        <w:spacing w:lineRule="auto" w:line="288" w:before="0" w:after="240"/>
        <w:ind w:left="0" w:right="0" w:firstLine="1440"/>
        <w:jc w:val="left"/>
        <w:rPr/>
      </w:pPr>
      <w:r>
        <w:rPr>
          <w:rFonts w:ascii="Times New Roman;serif" w:hAnsi="Times New Roman;serif"/>
          <w:b/>
          <w:color w:val="000000"/>
          <w:sz w:val="22"/>
        </w:rPr>
        <w:t>Section 6.</w:t>
      </w:r>
      <w:r>
        <w:rPr>
          <w:rFonts w:ascii="Times New Roman;serif" w:hAnsi="Times New Roman;serif"/>
          <w:b/>
          <w:color w:val="000000"/>
          <w:sz w:val="22"/>
        </w:rPr>
        <w:t>Conditions of the Obligations of the Underwriters.</w:t>
      </w:r>
      <w:r>
        <w:rPr>
          <w:color w:val="000000"/>
        </w:rPr>
        <w:t xml:space="preserve"> </w:t>
      </w:r>
      <w:r>
        <w:rPr>
          <w:rFonts w:ascii="Times New Roman;serif" w:hAnsi="Times New Roman;serif"/>
          <w:b w:val="false"/>
          <w:color w:val="000000"/>
          <w:sz w:val="22"/>
        </w:rPr>
        <w:t xml:space="preserve">The respective obligations of the several Underwriters hereunder to purchase and pay for the Firm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respect to the Optional Shares, as of each Option Closing Date as though then made, to the timely performance by the Company of its covenants and other obligations hereunder, and to each of the following additional conditions:</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Comfort Letters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On the date hereof, the Representatives shall have received from KPMG LLP, the current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and the Time of Sale Prospectus. </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 xml:space="preserve">Compliance with Registration Requirements; No Stop Order; No Objection from FINRA. </w:t>
      </w:r>
      <w:r>
        <w:rPr>
          <w:rFonts w:ascii="Times New Roman;serif" w:hAnsi="Times New Roman;serif"/>
          <w:b w:val="false"/>
          <w:color w:val="000000"/>
          <w:sz w:val="22"/>
        </w:rPr>
        <w:t>For the period from and after the date of this Agreement and through and including the First Closing Date and, with respect to any Optional Shares purchased after the First Closing Date, each Option Closing Date: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rPr>
        <w:t>If a filing has been made with FINRA, FINRA shall have raised no objection to the fairness and reasonableness of the underwriting terms and arrangements.</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No Material Adverse Change or Ratings Agency Change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For the period from and after the date of this Agreement and through and including the First Closing Date and, with respect to any Optional Shares purchased after the First Closing Date, each Option Closing Date: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in the judgment of the Representatives there shall not have occurred any Material Adverse Change;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Opinion of Counsel for the Company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On each of the First Closing Date and each Option Closing Date the Representatives shall have received the opinion and negative assurance letter of Ropes &amp; Gray LLP, counsel for the Company, dated as of such date, in form and substance satisfactory to the Representatives.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Opinion of IP Counsel for the Company.</w:t>
      </w:r>
      <w:r>
        <w:rPr>
          <w:color w:val="000000"/>
        </w:rPr>
        <w:t xml:space="preserve"> </w:t>
      </w:r>
      <w:r>
        <w:rPr>
          <w:rFonts w:ascii="Times New Roman;serif" w:hAnsi="Times New Roman;serif"/>
          <w:b w:val="false"/>
          <w:color w:val="000000"/>
          <w:sz w:val="22"/>
        </w:rPr>
        <w:t>On each of the First Closing Date and each Option Closing Date, the Representatives shall have received the opinion of Greenberg Traurig, LLP, counsel for the Company with respect to intellectual property matters, dated as of such date, in form and substance satisfactory to the Representatives.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Opinion of Counsel for the Underwriters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On each of the First Closing Date and each Option Closing Date the Representatives shall have received the opinion and negative assurance letter of Paul Hastings LLP, counsel for the Underwriters in connection with the offer and sale of the Offered Shares, in form and substance satisfactory to the Underwriters, dated as of such date. </w:t>
      </w:r>
    </w:p>
    <w:p>
      <w:pPr>
        <w:pStyle w:val="TextBody"/>
        <w:bidi w:val="0"/>
        <w:spacing w:lineRule="auto" w:line="288" w:before="0" w:after="240"/>
        <w:ind w:left="0" w:right="0" w:firstLine="720"/>
        <w:jc w:val="left"/>
        <w:rPr/>
      </w:pPr>
      <w:r>
        <w:rPr>
          <w:rFonts w:ascii="Times New Roman;serif" w:hAnsi="Times New Roman;serif"/>
          <w:b/>
          <w:color w:val="000000"/>
          <w:sz w:val="22"/>
        </w:rPr>
        <w:t>(g)</w:t>
      </w:r>
      <w:r>
        <w:rPr>
          <w:rFonts w:ascii="Times New Roman;serif" w:hAnsi="Times New Roman;serif"/>
          <w:b/>
          <w:i/>
          <w:color w:val="000000"/>
          <w:sz w:val="22"/>
        </w:rPr>
        <w:t>Officers’ Certificate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On each of the First Closing Date and each Option Closing Date, the Representatives shall have received a certificate executed by the Chief Executive Officer or President of the Company and the Chief Financial Officer of the Company, dated as of such date, to the effect set forth in Section 6(b)(ii) and further to the effect that:</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for the period from and including the date of this Agreement through and including such date, there has not occurred any Material Adverse Change;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the representations, warranties and covenants of the Company set forth in Section 1 of this Agreement are true and correct with the same force and effect as though expressly made on and as of such date;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rPr>
        <w:t>the Company has complied with all the agreements hereunder and satisfied all the conditions on its part to be performed or satisfied hereunder at or prior to such date.</w:t>
      </w:r>
    </w:p>
    <w:p>
      <w:pPr>
        <w:pStyle w:val="TextBody"/>
        <w:bidi w:val="0"/>
        <w:spacing w:lineRule="auto" w:line="288" w:before="0" w:after="240"/>
        <w:ind w:left="0" w:right="0" w:firstLine="720"/>
        <w:jc w:val="left"/>
        <w:rPr/>
      </w:pPr>
      <w:r>
        <w:rPr>
          <w:rFonts w:ascii="Times New Roman;serif" w:hAnsi="Times New Roman;serif"/>
          <w:b/>
          <w:color w:val="000000"/>
          <w:sz w:val="22"/>
        </w:rPr>
        <w:t>(h)</w:t>
      </w:r>
      <w:r>
        <w:rPr>
          <w:rFonts w:ascii="Times New Roman;serif" w:hAnsi="Times New Roman;serif"/>
          <w:b/>
          <w:i/>
          <w:color w:val="000000"/>
          <w:sz w:val="22"/>
        </w:rPr>
        <w:t>Bring-down Comfort Letters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On each of the First Closing Date and each Option Closing Date the Representatives shall have received from KPMG LLP, the current independent registered public accountants for the Company, a letter dated such date, in form and substance satisfactory to the Representatives, which letters shall: (i) reaffirm the statements made in the letters furnished by it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 </w:t>
      </w:r>
    </w:p>
    <w:p>
      <w:pPr>
        <w:pStyle w:val="TextBody"/>
        <w:bidi w:val="0"/>
        <w:spacing w:lineRule="auto" w:line="288" w:before="0" w:after="240"/>
        <w:ind w:left="0" w:right="0" w:firstLine="720"/>
        <w:jc w:val="left"/>
        <w:rPr/>
      </w:pPr>
      <w:r>
        <w:rPr>
          <w:rFonts w:ascii="Times New Roman;serif" w:hAnsi="Times New Roman;serif"/>
          <w:b/>
          <w:color w:val="000000"/>
          <w:sz w:val="22"/>
        </w:rPr>
        <w:t>(i)</w:t>
      </w:r>
      <w:r>
        <w:rPr>
          <w:rFonts w:ascii="Times New Roman;serif" w:hAnsi="Times New Roman;serif"/>
          <w:b/>
          <w:i/>
          <w:color w:val="000000"/>
          <w:sz w:val="22"/>
        </w:rPr>
        <w:t>Lock-Up Agreements.</w:t>
      </w:r>
      <w:r>
        <w:rPr>
          <w:color w:val="000000"/>
        </w:rPr>
        <w:t xml:space="preserve"> </w:t>
      </w:r>
      <w:r>
        <w:rPr>
          <w:rFonts w:ascii="Times New Roman;serif" w:hAnsi="Times New Roman;serif"/>
          <w:b w:val="false"/>
          <w:color w:val="000000"/>
          <w:sz w:val="22"/>
        </w:rPr>
        <w:t xml:space="preserve">On or prior to the date hereof, the Company shall have furnished to the Representatives an agreement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from each of the persons listed on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hereto, and each such agreement shall be in full force and effect on each of the First Closing Date and each Option Closing Date.</w:t>
      </w:r>
    </w:p>
    <w:p>
      <w:pPr>
        <w:pStyle w:val="TextBody"/>
        <w:bidi w:val="0"/>
        <w:spacing w:lineRule="auto" w:line="288" w:before="0" w:after="240"/>
        <w:ind w:left="0" w:right="0" w:firstLine="720"/>
        <w:jc w:val="left"/>
        <w:rPr/>
      </w:pPr>
      <w:r>
        <w:rPr>
          <w:rFonts w:ascii="Times New Roman;serif" w:hAnsi="Times New Roman;serif"/>
          <w:b/>
          <w:color w:val="000000"/>
          <w:sz w:val="22"/>
        </w:rPr>
        <w:t>(j)</w:t>
      </w:r>
      <w:r>
        <w:rPr>
          <w:rFonts w:ascii="Times New Roman;serif" w:hAnsi="Times New Roman;serif"/>
          <w:b w:val="false"/>
          <w:color w:val="000000"/>
          <w:sz w:val="22"/>
        </w:rPr>
        <w:t>[Reserved].</w:t>
      </w:r>
    </w:p>
    <w:p>
      <w:pPr>
        <w:pStyle w:val="TextBody"/>
        <w:bidi w:val="0"/>
        <w:spacing w:lineRule="auto" w:line="288" w:before="0" w:after="240"/>
        <w:ind w:left="0" w:right="0" w:firstLine="720"/>
        <w:jc w:val="left"/>
        <w:rPr/>
      </w:pPr>
      <w:r>
        <w:rPr>
          <w:rFonts w:ascii="Times New Roman;serif" w:hAnsi="Times New Roman;serif"/>
          <w:b/>
          <w:color w:val="000000"/>
          <w:sz w:val="22"/>
        </w:rPr>
        <w:t>(k)</w:t>
      </w:r>
      <w:r>
        <w:rPr>
          <w:rFonts w:ascii="Times New Roman;serif" w:hAnsi="Times New Roman;serif"/>
          <w:b w:val="false"/>
          <w:color w:val="000000"/>
          <w:sz w:val="22"/>
        </w:rPr>
        <w:t>[Reserved].</w:t>
      </w:r>
    </w:p>
    <w:p>
      <w:pPr>
        <w:pStyle w:val="TextBody"/>
        <w:bidi w:val="0"/>
        <w:spacing w:lineRule="auto" w:line="288" w:before="0" w:after="240"/>
        <w:ind w:left="0" w:right="0" w:firstLine="720"/>
        <w:jc w:val="left"/>
        <w:rPr/>
      </w:pPr>
      <w:r>
        <w:rPr>
          <w:rFonts w:ascii="Times New Roman;serif" w:hAnsi="Times New Roman;serif"/>
          <w:b/>
          <w:color w:val="000000"/>
          <w:sz w:val="22"/>
        </w:rPr>
        <w:t>(l)</w:t>
      </w:r>
      <w:r>
        <w:rPr>
          <w:rFonts w:ascii="Times New Roman;serif" w:hAnsi="Times New Roman;serif"/>
          <w:b/>
          <w:i/>
          <w:color w:val="000000"/>
          <w:sz w:val="22"/>
        </w:rPr>
        <w:t>Additional Documents</w:t>
      </w:r>
      <w:r>
        <w:rPr>
          <w:rFonts w:ascii="Times New Roman;serif" w:hAnsi="Times New Roman;serif"/>
          <w:b w:val="false"/>
          <w:color w:val="000000"/>
          <w:sz w:val="22"/>
        </w:rPr>
        <w:t xml:space="preserve">.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Agreement shall be satisfactory in form and substance to the Representatives and counsel for the Underwriters.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any condition specified in this Section 6 is not satisfied when and as required to be satisfied, this Agreement may be terminated by the Representatives by notice from Jefferies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 </w:t>
      </w:r>
    </w:p>
    <w:p>
      <w:pPr>
        <w:pStyle w:val="TextBody"/>
        <w:bidi w:val="0"/>
        <w:spacing w:lineRule="auto" w:line="288" w:before="0" w:after="240"/>
        <w:ind w:left="0" w:right="0" w:firstLine="1440"/>
        <w:jc w:val="left"/>
        <w:rPr/>
      </w:pPr>
      <w:r>
        <w:rPr>
          <w:rFonts w:ascii="Times New Roman;serif" w:hAnsi="Times New Roman;serif"/>
          <w:b/>
          <w:color w:val="000000"/>
          <w:sz w:val="22"/>
        </w:rPr>
        <w:t>Section 7.</w:t>
      </w:r>
      <w:r>
        <w:rPr>
          <w:rFonts w:ascii="Times New Roman;serif" w:hAnsi="Times New Roman;serif"/>
          <w:b/>
          <w:color w:val="000000"/>
          <w:sz w:val="22"/>
        </w:rPr>
        <w:t>Reimbursement of Underwriters’ Expenses</w:t>
      </w:r>
      <w:r>
        <w:rPr>
          <w:rFonts w:ascii="Times New Roman;serif" w:hAnsi="Times New Roman;serif"/>
          <w:b w:val="false"/>
          <w:color w:val="000000"/>
          <w:sz w:val="22"/>
        </w:rPr>
        <w:t xml:space="preserve">. If this Agreement is terminated by the Representatives pursuant to Section 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reasonable fees and disbursements of counsel, printing expenses, travel expenses, postage, facsimile and telephone charges. </w:t>
      </w:r>
    </w:p>
    <w:p>
      <w:pPr>
        <w:pStyle w:val="TextBody"/>
        <w:bidi w:val="0"/>
        <w:spacing w:lineRule="auto" w:line="288" w:before="0" w:after="240"/>
        <w:ind w:left="0" w:right="0" w:firstLine="1440"/>
        <w:jc w:val="left"/>
        <w:rPr/>
      </w:pPr>
      <w:r>
        <w:rPr>
          <w:rFonts w:ascii="Times New Roman;serif" w:hAnsi="Times New Roman;serif"/>
          <w:b/>
          <w:color w:val="000000"/>
          <w:sz w:val="22"/>
        </w:rPr>
        <w:t>Section 8.</w:t>
      </w:r>
      <w:r>
        <w:rPr>
          <w:rFonts w:ascii="Times New Roman;serif" w:hAnsi="Times New Roman;serif"/>
          <w:b/>
          <w:color w:val="000000"/>
          <w:sz w:val="22"/>
        </w:rPr>
        <w:t>Effectiveness of this Agreement</w:t>
      </w:r>
      <w:r>
        <w:rPr>
          <w:rFonts w:ascii="Times New Roman;serif" w:hAnsi="Times New Roman;serif"/>
          <w:b w:val="false"/>
          <w:color w:val="000000"/>
          <w:sz w:val="22"/>
        </w:rPr>
        <w:t xml:space="preserve">. This Agreement shall become effective upon the execution and delivery hereof by the parties hereto. </w:t>
      </w:r>
    </w:p>
    <w:p>
      <w:pPr>
        <w:pStyle w:val="TextBody"/>
        <w:bidi w:val="0"/>
        <w:spacing w:lineRule="auto" w:line="288" w:before="0" w:after="240"/>
        <w:ind w:left="0" w:right="0" w:firstLine="1440"/>
        <w:jc w:val="left"/>
        <w:rPr/>
      </w:pPr>
      <w:r>
        <w:rPr>
          <w:rFonts w:ascii="Times New Roman;serif" w:hAnsi="Times New Roman;serif"/>
          <w:b/>
          <w:color w:val="000000"/>
          <w:sz w:val="22"/>
        </w:rPr>
        <w:t>Section 9.</w:t>
      </w:r>
      <w:r>
        <w:rPr>
          <w:rFonts w:ascii="Times New Roman;serif" w:hAnsi="Times New Roman;serif"/>
          <w:b/>
          <w:color w:val="000000"/>
          <w:sz w:val="22"/>
        </w:rPr>
        <w:t>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Indemnification of the Underwriters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Written Testing-the-Waters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Offered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reasonable fees and disbursements of counsel) as such expenses are reasonably incurred by such Underwriter or such affiliate, director, officer,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employee, agent or controlling person in connection with investigating, defending, settling, compromising or paying any such loss, claim, damage, liability, expense or action;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Marketing Material, any Written Testing-the-Waters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Indemnification of the Company, its Directors and Officers</w:t>
      </w:r>
      <w:r>
        <w:rPr>
          <w:rFonts w:ascii="Times New Roman;serif" w:hAnsi="Times New Roman;serif"/>
          <w:b w:val="false"/>
          <w:color w:val="000000"/>
          <w:sz w:val="22"/>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Written Testing-the-Waters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Written Testing-the-Waters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reasonable fees and disbursements of counsel) as such expenses are reasonably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Written Testing-the-Waters Communication or the Prospectus (or any amendment or supplement to the foregoing) are the statements set forth in</w:t>
      </w:r>
      <w:r>
        <w:rPr>
          <w:color w:val="000000"/>
        </w:rPr>
        <w:t xml:space="preserve"> </w:t>
      </w:r>
      <w:r>
        <w:rPr>
          <w:rFonts w:ascii="Times New Roman;serif" w:hAnsi="Times New Roman;serif"/>
          <w:b w:val="false"/>
          <w:color w:val="000000"/>
          <w:sz w:val="22"/>
        </w:rPr>
        <w:t>the first sentence of the fourth paragraph under the caption “Underwriting”, the first two sentences of the first paragraph under the caption “Commissions and Expenses” in the Underwriting section and the first sentence of the first paragraph under the caption “Stabilization” in the Underwriting section in the Preliminary Prospectus Supplement and the Final Prospectus Supplement. The indemnity agreement set forth in this Section 9(b) shall be in addition to any liabilities that each Underwriter may otherwise have.</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Notifications and Other Indemnification Procedures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Promptly after receipt by an indemnified party under this Section 9 of notice of the commencement of any action, such indemnified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serif" w:hAnsi="Times New Roman;serif"/>
          <w:b w:val="false"/>
          <w:i/>
          <w:color w:val="000000"/>
          <w:sz w:val="22"/>
        </w:rPr>
        <w:t>provided, however</w:t>
      </w:r>
      <w:r>
        <w:rPr>
          <w:rFonts w:ascii="Times New Roman;serif" w:hAnsi="Times New Roman;serif"/>
          <w:b w:val="false"/>
          <w:color w:val="000000"/>
          <w:sz w:val="22"/>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Settlements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matter of such action, suit or proceeding and does not include an admission of fault or culpability or a failure to act by or on behalf of such indemnified party.</w:t>
      </w:r>
    </w:p>
    <w:p>
      <w:pPr>
        <w:pStyle w:val="TextBody"/>
        <w:bidi w:val="0"/>
        <w:spacing w:lineRule="auto" w:line="288" w:before="0" w:after="240"/>
        <w:ind w:left="0" w:right="0" w:firstLine="1440"/>
        <w:jc w:val="left"/>
        <w:rPr/>
      </w:pPr>
      <w:r>
        <w:rPr>
          <w:rFonts w:ascii="Times New Roman;serif" w:hAnsi="Times New Roman;serif"/>
          <w:b/>
          <w:color w:val="000000"/>
          <w:sz w:val="22"/>
        </w:rPr>
        <w:t>Section 10.</w:t>
      </w:r>
      <w:r>
        <w:rPr>
          <w:rFonts w:ascii="Times New Roman;serif" w:hAnsi="Times New Roman;serif"/>
          <w:b/>
          <w:color w:val="000000"/>
          <w:sz w:val="22"/>
        </w:rPr>
        <w:t>Contribution</w:t>
      </w:r>
      <w:r>
        <w:rPr>
          <w:rFonts w:ascii="Times New Roman;serif" w:hAnsi="Times New Roman;serif"/>
          <w:b w:val="false"/>
          <w:color w:val="000000"/>
          <w:sz w:val="22"/>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(a) in such proportion as is appropriate to reflect the relative benefits received by the Company, on the one hand, and the Underwriters, on the other hand, from the offering of the Offered Shares pursuant to this Agreement or (b) if the allocation provided by clause (a) above is not permitted by applicable law, in such proportion as is appropriate to reflect not only the relative benefits referred to in clause (a)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no additional notice shall be required with respect to any action for which notice has been given under Section 9(c) for purposes of indemnification.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serif" w:hAnsi="Times New Roman;serif"/>
          <w:b w:val="false"/>
          <w:color w:val="000000"/>
          <w:sz w:val="22"/>
          <w:u w:val="single"/>
        </w:rPr>
        <w:t>Schedule A</w:t>
      </w:r>
      <w:r>
        <w:rPr>
          <w:rFonts w:ascii="Times New Roman;serif" w:hAnsi="Times New Roman;serif"/>
          <w:b w:val="false"/>
          <w:color w:val="000000"/>
          <w:sz w:val="22"/>
        </w:rPr>
        <w:t xml:space="preserve">. For purposes of this Section 10, each affiliate, director, officer, employee and agent of an Underwriter and each person, if any, who controls an Underwriter within the meaning of the Securities Act or the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lineRule="auto" w:line="288" w:before="0" w:after="240"/>
        <w:ind w:left="0" w:right="0" w:firstLine="1440"/>
        <w:jc w:val="left"/>
        <w:rPr/>
      </w:pPr>
      <w:r>
        <w:rPr>
          <w:rFonts w:ascii="Times New Roman;serif" w:hAnsi="Times New Roman;serif"/>
          <w:b/>
          <w:color w:val="000000"/>
          <w:sz w:val="22"/>
        </w:rPr>
        <w:t>Section 11.</w:t>
      </w:r>
      <w:r>
        <w:rPr>
          <w:rFonts w:ascii="Times New Roman;serif" w:hAnsi="Times New Roman;serif"/>
          <w:b/>
          <w:color w:val="000000"/>
          <w:sz w:val="22"/>
        </w:rPr>
        <w:t>Default of One or More of the Several Underwriters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As used in this Agreement, the term “</w:t>
      </w:r>
      <w:r>
        <w:rPr>
          <w:rFonts w:ascii="Times New Roman;serif" w:hAnsi="Times New Roman;serif"/>
          <w:b/>
          <w:color w:val="000000"/>
          <w:sz w:val="22"/>
        </w:rPr>
        <w:t>Underwriter</w:t>
      </w:r>
      <w:r>
        <w:rPr>
          <w:color w:val="000000"/>
        </w:rPr>
        <w:t xml:space="preserve">” </w:t>
      </w:r>
      <w:r>
        <w:rPr>
          <w:rFonts w:ascii="Times New Roman;serif" w:hAnsi="Times New Roman;serif"/>
          <w:b w:val="false"/>
          <w:color w:val="000000"/>
          <w:sz w:val="22"/>
        </w:rPr>
        <w:t>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lineRule="auto" w:line="288" w:before="0" w:after="240"/>
        <w:ind w:left="0" w:right="0" w:firstLine="1440"/>
        <w:jc w:val="left"/>
        <w:rPr/>
      </w:pPr>
      <w:r>
        <w:rPr>
          <w:rFonts w:ascii="Times New Roman;serif" w:hAnsi="Times New Roman;serif"/>
          <w:b/>
          <w:color w:val="000000"/>
          <w:sz w:val="22"/>
        </w:rPr>
        <w:t>Section 12.</w:t>
      </w:r>
      <w:r>
        <w:rPr>
          <w:rFonts w:ascii="Times New Roman;serif" w:hAnsi="Times New Roman;serif"/>
          <w:b/>
          <w:color w:val="000000"/>
          <w:sz w:val="22"/>
        </w:rPr>
        <w:t>Termination of this Agreement</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Prior to the purchase of the Firm Shares on the First Closing Date, this Agreement may be terminated by the Representatives by notice given to the Company if at any time: (a)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(b) a general banking moratorium shall have been declared by any of federal, New York or Massachusetts authorities; (c)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(d) in the judgment of the Representatives there shall have occurred any Material Adverse Change; or (e) the Company shall have sustained a loss by strike, fire, flood, earthquake, accident or other calamity of such character as in the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judgment of the Representatives may interfere materially with the conduct of the business and operations of the Company regardless of whether or not such loss shall have been insured. Any termination pursuant to this Section 12 shall be without liability on the part of (i) the Company to any Underwriter, except that the Company shall be obligated to reimburse the expenses of the Representatives and the Underwriters pursuant to Section 4 or Section 7 hereof or (ii) any Underwriter to the Company;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the provisions of Section 9 and Section 10 shall at all times be effective and shall survive such termination.</w:t>
      </w:r>
    </w:p>
    <w:p>
      <w:pPr>
        <w:pStyle w:val="TextBody"/>
        <w:bidi w:val="0"/>
        <w:spacing w:lineRule="auto" w:line="288" w:before="0" w:after="240"/>
        <w:ind w:left="0" w:right="0" w:firstLine="1440"/>
        <w:jc w:val="left"/>
        <w:rPr/>
      </w:pPr>
      <w:r>
        <w:rPr>
          <w:rFonts w:ascii="Times New Roman;serif" w:hAnsi="Times New Roman;serif"/>
          <w:b/>
          <w:color w:val="000000"/>
          <w:sz w:val="22"/>
        </w:rPr>
        <w:t>Section 13.</w:t>
      </w:r>
      <w:r>
        <w:rPr>
          <w:rFonts w:ascii="Times New Roman;serif" w:hAnsi="Times New Roman;serif"/>
          <w:b/>
          <w:color w:val="000000"/>
          <w:sz w:val="22"/>
        </w:rPr>
        <w:t xml:space="preserve">No Advisory or Fiduciary Relationship. </w:t>
      </w:r>
      <w:r>
        <w:rPr>
          <w:rFonts w:ascii="Times New Roman;serif" w:hAnsi="Times New Roman;serif"/>
          <w:b w:val="false"/>
          <w:color w:val="000000"/>
          <w:sz w:val="22"/>
        </w:rPr>
        <w:t>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lineRule="auto" w:line="288" w:before="0" w:after="240"/>
        <w:ind w:left="0" w:right="0" w:firstLine="1440"/>
        <w:jc w:val="left"/>
        <w:rPr/>
      </w:pPr>
      <w:r>
        <w:rPr>
          <w:rFonts w:ascii="Times New Roman;serif" w:hAnsi="Times New Roman;serif"/>
          <w:b/>
          <w:color w:val="000000"/>
          <w:sz w:val="22"/>
        </w:rPr>
        <w:t>Section 14.</w:t>
      </w:r>
      <w:r>
        <w:rPr>
          <w:rFonts w:ascii="Times New Roman;serif" w:hAnsi="Times New Roman;serif"/>
          <w:b/>
          <w:color w:val="000000"/>
          <w:sz w:val="22"/>
        </w:rPr>
        <w:t>Representations and Indemnities to Survive Delivery</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2"/>
        </w:rPr>
        <w:t>Section 15.</w:t>
      </w:r>
      <w:r>
        <w:rPr>
          <w:rFonts w:ascii="Times New Roman;serif" w:hAnsi="Times New Roman;serif"/>
          <w:b/>
          <w:color w:val="000000"/>
          <w:sz w:val="22"/>
        </w:rPr>
        <w:t>Notices</w:t>
      </w:r>
      <w:r>
        <w:rPr>
          <w:rFonts w:ascii="Times New Roman;serif" w:hAnsi="Times New Roman;serif"/>
          <w:b w:val="false"/>
          <w:color w:val="000000"/>
          <w:sz w:val="22"/>
        </w:rPr>
        <w:t>. All communications hereunder shall be in writing and shall be mailed, hand delivered, telecopied or emailed and confirmed to the parties hereto as follows:</w:t>
      </w:r>
    </w:p>
    <w:tbl>
      <w:tblPr>
        <w:tblW w:w="8050" w:type="dxa"/>
        <w:jc w:val="left"/>
        <w:tblInd w:w="0" w:type="dxa"/>
        <w:tblLayout w:type="fixed"/>
        <w:tblCellMar>
          <w:top w:w="28" w:type="dxa"/>
          <w:left w:w="28" w:type="dxa"/>
          <w:bottom w:w="28" w:type="dxa"/>
          <w:right w:w="28" w:type="dxa"/>
        </w:tblCellMar>
      </w:tblPr>
      <w:tblGrid>
        <w:gridCol w:w="124"/>
        <w:gridCol w:w="109"/>
        <w:gridCol w:w="109"/>
        <w:gridCol w:w="809"/>
        <w:gridCol w:w="809"/>
        <w:gridCol w:w="811"/>
        <w:gridCol w:w="1542"/>
        <w:gridCol w:w="1542"/>
        <w:gridCol w:w="21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to the Representatives:</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Jefferies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520 Madison Avenue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Facsimile: (646) 619-4437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TD Securities (USA)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 Vanderbilt Avenue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Attention: Head of Equity Capital Markets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a copy to CIBLegal@tdsecurities.com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Leerink Partners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1301 Avenue of the Americas, 5th Floor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Stuart R. Nayman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Stifel, Nicolaus &amp; Company,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787 7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Avenue, 11</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Equity Capital Markets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a copy to:</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Paul Hastings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MetLife Building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 Park Avenue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10166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Siavosh Salimi and William A. Magioncalda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to the Company: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Spyre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221 Crescent Street, Building 23, Suite 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Waltham, Massachusetts 02453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Scott Burrows,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Email: </w:t>
            </w:r>
            <w:r>
              <w:rPr>
                <w:rFonts w:ascii="Times New Roman;serif" w:hAnsi="Times New Roman;serif"/>
                <w:b w:val="false"/>
                <w:i/>
                <w:color w:val="000000"/>
                <w:sz w:val="22"/>
              </w:rPr>
              <w:t>[Redacted]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a copy to:</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Ropes &amp; Gray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Prudential Tower, 800 Boylston Street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Boston, Massachusetts 02199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Thomas J. Danielski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Email: </w:t>
            </w:r>
            <w:r>
              <w:rPr>
                <w:rFonts w:ascii="Times New Roman;serif" w:hAnsi="Times New Roman;serif"/>
                <w:b w:val="false"/>
                <w:i/>
                <w:color w:val="000000"/>
                <w:sz w:val="22"/>
              </w:rPr>
              <w:t>[Redacted]</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Any party hereto may change the address for receipt of communications by giving written notice to the others.</w:t>
      </w:r>
    </w:p>
    <w:p>
      <w:pPr>
        <w:pStyle w:val="TextBody"/>
        <w:bidi w:val="0"/>
        <w:spacing w:lineRule="auto" w:line="288" w:before="0" w:after="240"/>
        <w:ind w:left="0" w:right="0" w:firstLine="1440"/>
        <w:jc w:val="left"/>
        <w:rPr/>
      </w:pPr>
      <w:r>
        <w:rPr>
          <w:rFonts w:ascii="Times New Roman;serif" w:hAnsi="Times New Roman;serif"/>
          <w:b/>
          <w:color w:val="000000"/>
          <w:sz w:val="22"/>
        </w:rPr>
        <w:t>Section 16.</w:t>
      </w:r>
      <w:r>
        <w:rPr>
          <w:rFonts w:ascii="Times New Roman;serif" w:hAnsi="Times New Roman;serif"/>
          <w:b/>
          <w:color w:val="000000"/>
          <w:sz w:val="22"/>
        </w:rPr>
        <w:t>Successors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personal representatives, and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no other person will have any right or obligation hereunder. The term “</w:t>
      </w:r>
      <w:r>
        <w:rPr>
          <w:rFonts w:ascii="Times New Roman;serif" w:hAnsi="Times New Roman;serif"/>
          <w:b/>
          <w:color w:val="000000"/>
          <w:sz w:val="22"/>
        </w:rPr>
        <w:t>successors</w:t>
      </w:r>
      <w:r>
        <w:rPr>
          <w:color w:val="000000"/>
        </w:rPr>
        <w:t xml:space="preserve">” </w:t>
      </w:r>
      <w:r>
        <w:rPr>
          <w:rFonts w:ascii="Times New Roman;serif" w:hAnsi="Times New Roman;serif"/>
          <w:b w:val="false"/>
          <w:color w:val="000000"/>
          <w:sz w:val="22"/>
        </w:rPr>
        <w:t>shall not include any purchaser of the Offered Shares as such from any of the Underwriters merely by reason of such purchase.</w:t>
      </w:r>
    </w:p>
    <w:p>
      <w:pPr>
        <w:pStyle w:val="TextBody"/>
        <w:bidi w:val="0"/>
        <w:spacing w:lineRule="auto" w:line="288" w:before="0" w:after="240"/>
        <w:ind w:left="0" w:right="0" w:firstLine="1440"/>
        <w:jc w:val="left"/>
        <w:rPr/>
      </w:pPr>
      <w:r>
        <w:rPr>
          <w:rFonts w:ascii="Times New Roman;serif" w:hAnsi="Times New Roman;serif"/>
          <w:b/>
          <w:color w:val="000000"/>
          <w:sz w:val="22"/>
        </w:rPr>
        <w:t>Section 17.</w:t>
      </w:r>
      <w:r>
        <w:rPr>
          <w:rFonts w:ascii="Times New Roman;serif" w:hAnsi="Times New Roman;serif"/>
          <w:b/>
          <w:color w:val="000000"/>
          <w:sz w:val="22"/>
        </w:rPr>
        <w:t>Partial Unenforceability</w:t>
      </w:r>
      <w:r>
        <w:rPr>
          <w:rFonts w:ascii="Times New Roman;serif" w:hAnsi="Times New Roman;serif"/>
          <w:b w:val="false"/>
          <w:color w:val="000000"/>
          <w:sz w:val="22"/>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lineRule="auto" w:line="288" w:before="0" w:after="240"/>
        <w:ind w:left="0" w:right="0" w:firstLine="1440"/>
        <w:jc w:val="left"/>
        <w:rPr/>
      </w:pPr>
      <w:r>
        <w:rPr>
          <w:rFonts w:ascii="Times New Roman;serif" w:hAnsi="Times New Roman;serif"/>
          <w:b/>
          <w:color w:val="000000"/>
          <w:sz w:val="22"/>
        </w:rPr>
        <w:t>Section 18.</w:t>
      </w:r>
      <w:r>
        <w:rPr>
          <w:rFonts w:ascii="Times New Roman;serif" w:hAnsi="Times New Roman;serif"/>
          <w:b/>
          <w:color w:val="000000"/>
          <w:sz w:val="22"/>
        </w:rPr>
        <w:t>Recognition of the U.S. Special Resolution Regimes.</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val="false"/>
          <w:color w:val="000000"/>
          <w:sz w:val="22"/>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val="false"/>
          <w:color w:val="000000"/>
          <w:sz w:val="22"/>
        </w:rPr>
        <w:t xml:space="preserve">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lineRule="auto" w:line="288" w:before="0" w:after="240"/>
        <w:jc w:val="left"/>
        <w:rPr/>
      </w:pPr>
      <w:r>
        <w:rPr>
          <w:rFonts w:ascii="Times New Roman;serif" w:hAnsi="Times New Roman;serif"/>
          <w:b w:val="false"/>
          <w:color w:val="000000"/>
          <w:sz w:val="22"/>
        </w:rPr>
        <w:t>For purposes of this Agreement, (A) “</w:t>
      </w:r>
      <w:r>
        <w:rPr>
          <w:rFonts w:ascii="Times New Roman;serif" w:hAnsi="Times New Roman;serif"/>
          <w:b/>
          <w:color w:val="000000"/>
          <w:sz w:val="22"/>
        </w:rPr>
        <w:t>BHC Act Affiliate</w:t>
      </w:r>
      <w:r>
        <w:rPr>
          <w:color w:val="000000"/>
        </w:rPr>
        <w:t xml:space="preserve">” </w:t>
      </w:r>
      <w:r>
        <w:rPr>
          <w:rFonts w:ascii="Times New Roman;serif" w:hAnsi="Times New Roman;serif"/>
          <w:b w:val="false"/>
          <w:color w:val="000000"/>
          <w:sz w:val="22"/>
        </w:rPr>
        <w:t>has the meaning assigned to the term “affiliate” in, and shall be interpreted in accordance with, 12 U.S.C. § 1841(k); (B) “</w:t>
      </w:r>
      <w:r>
        <w:rPr>
          <w:rFonts w:ascii="Times New Roman;serif" w:hAnsi="Times New Roman;serif"/>
          <w:b/>
          <w:color w:val="000000"/>
          <w:sz w:val="22"/>
        </w:rPr>
        <w:t>Covered Entity</w:t>
      </w:r>
      <w:r>
        <w:rPr>
          <w:color w:val="000000"/>
        </w:rPr>
        <w:t xml:space="preserve">” </w:t>
      </w:r>
      <w:r>
        <w:rPr>
          <w:rFonts w:ascii="Times New Roman;serif" w:hAnsi="Times New Roman;serif"/>
          <w:b w:val="false"/>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serif" w:hAnsi="Times New Roman;serif"/>
          <w:b/>
          <w:color w:val="000000"/>
          <w:sz w:val="22"/>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 and (D) “</w:t>
      </w:r>
      <w:r>
        <w:rPr>
          <w:rFonts w:ascii="Times New Roman;serif" w:hAnsi="Times New Roman;serif"/>
          <w:b/>
          <w:color w:val="000000"/>
          <w:sz w:val="22"/>
        </w:rPr>
        <w:t>U.S. Special Resolution Regime</w:t>
      </w:r>
      <w:r>
        <w:rPr>
          <w:color w:val="000000"/>
        </w:rPr>
        <w:t xml:space="preserve">” </w:t>
      </w:r>
      <w:r>
        <w:rPr>
          <w:rFonts w:ascii="Times New Roman;serif" w:hAnsi="Times New Roman;serif"/>
          <w:b w:val="false"/>
          <w:color w:val="000000"/>
          <w:sz w:val="22"/>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before="0" w:after="240"/>
        <w:ind w:left="0" w:right="0" w:firstLine="1440"/>
        <w:jc w:val="left"/>
        <w:rPr/>
      </w:pPr>
      <w:r>
        <w:rPr>
          <w:rFonts w:ascii="Times New Roman;serif" w:hAnsi="Times New Roman;serif"/>
          <w:b/>
          <w:color w:val="000000"/>
          <w:sz w:val="22"/>
        </w:rPr>
        <w:t>Section 19.</w:t>
      </w:r>
      <w:r>
        <w:rPr>
          <w:rFonts w:ascii="Times New Roman;serif" w:hAnsi="Times New Roman;serif"/>
          <w:b/>
          <w:color w:val="000000"/>
          <w:sz w:val="22"/>
        </w:rPr>
        <w:t>Governing Law Provisions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serif" w:hAnsi="Times New Roman;serif"/>
          <w:b/>
          <w:color w:val="000000"/>
          <w:sz w:val="22"/>
        </w:rPr>
        <w:t>Related Proceedings</w:t>
      </w:r>
      <w:r>
        <w:rPr>
          <w:color w:val="000000"/>
        </w:rPr>
        <w:t>”</w:t>
      </w:r>
      <w:r>
        <w:rPr>
          <w:rFonts w:ascii="Times New Roman;serif" w:hAnsi="Times New Roman;serif"/>
          <w:b w:val="false"/>
          <w:color w:val="000000"/>
          <w:sz w:val="22"/>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serif" w:hAnsi="Times New Roman;serif"/>
          <w:b/>
          <w:color w:val="000000"/>
          <w:sz w:val="22"/>
        </w:rPr>
        <w:t>Specified Courts</w:t>
      </w:r>
      <w:r>
        <w:rPr>
          <w:color w:val="000000"/>
        </w:rPr>
        <w:t>”</w:t>
      </w:r>
      <w:r>
        <w:rPr>
          <w:rFonts w:ascii="Times New Roman;serif" w:hAnsi="Times New Roman;serif"/>
          <w:b w:val="false"/>
          <w:color w:val="000000"/>
          <w:sz w:val="22"/>
        </w:rPr>
        <w:t>), and each party irrevocably submits to the exclusive jurisdiction (except for proceedings instituted in regard to the enforcement of a judgment of any such court (a “</w:t>
      </w:r>
      <w:r>
        <w:rPr>
          <w:rFonts w:ascii="Times New Roman;serif" w:hAnsi="Times New Roman;serif"/>
          <w:b/>
          <w:color w:val="000000"/>
          <w:sz w:val="22"/>
        </w:rPr>
        <w:t>Related Judgment</w:t>
      </w:r>
      <w:r>
        <w:rPr>
          <w:color w:val="000000"/>
        </w:rPr>
        <w:t>”</w:t>
      </w:r>
      <w:r>
        <w:rPr>
          <w:rFonts w:ascii="Times New Roman;serif" w:hAnsi="Times New Roman;serif"/>
          <w:b w:val="false"/>
          <w:color w:val="000000"/>
          <w:sz w:val="22"/>
        </w:rPr>
        <w:t xml:space="preserve">),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unconditionally waive and agree not to plead or claim in any such court that any such suit, action or other proceeding brought in any such court has been brought in an inconvenient forum. </w:t>
      </w:r>
    </w:p>
    <w:p>
      <w:pPr>
        <w:pStyle w:val="TextBody"/>
        <w:bidi w:val="0"/>
        <w:spacing w:lineRule="auto" w:line="288" w:before="0" w:after="240"/>
        <w:ind w:left="0" w:right="0" w:firstLine="1440"/>
        <w:jc w:val="left"/>
        <w:rPr/>
      </w:pPr>
      <w:r>
        <w:rPr>
          <w:rFonts w:ascii="Times New Roman;serif" w:hAnsi="Times New Roman;serif"/>
          <w:b/>
          <w:color w:val="000000"/>
          <w:sz w:val="22"/>
        </w:rPr>
        <w:t>Section 20.</w:t>
      </w:r>
      <w:r>
        <w:rPr>
          <w:rFonts w:ascii="Times New Roman;serif" w:hAnsi="Times New Roman;serif"/>
          <w:b/>
          <w:color w:val="000000"/>
          <w:sz w:val="22"/>
        </w:rPr>
        <w:t>General Provisions.</w:t>
      </w:r>
      <w:r>
        <w:rPr>
          <w:color w:val="000000"/>
        </w:rPr>
        <w:t xml:space="preserve"> </w:t>
      </w:r>
      <w:r>
        <w:rPr>
          <w:rFonts w:ascii="Times New Roman;serif" w:hAnsi="Times New Roman;serif"/>
          <w:b w:val="false"/>
          <w:color w:val="000000"/>
          <w:sz w:val="22"/>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tbl>
      <w:tblPr>
        <w:tblW w:w="5145" w:type="dxa"/>
        <w:jc w:val="left"/>
        <w:tblInd w:w="0" w:type="dxa"/>
        <w:tblLayout w:type="fixed"/>
        <w:tblCellMar>
          <w:top w:w="28" w:type="dxa"/>
          <w:left w:w="28" w:type="dxa"/>
          <w:bottom w:w="28" w:type="dxa"/>
          <w:right w:w="28" w:type="dxa"/>
        </w:tblCellMar>
      </w:tblPr>
      <w:tblGrid>
        <w:gridCol w:w="124"/>
        <w:gridCol w:w="109"/>
        <w:gridCol w:w="109"/>
        <w:gridCol w:w="547"/>
        <w:gridCol w:w="547"/>
        <w:gridCol w:w="547"/>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SPYRE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Scott Burrows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Scott Burrows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Underwriting Agreement]</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foregoing Underwriting Agreement is hereby confirmed and accepted by the Representatives in New York, New York as of the date first above written.</w:t>
      </w:r>
    </w:p>
    <w:tbl>
      <w:tblPr>
        <w:tblW w:w="7031" w:type="dxa"/>
        <w:jc w:val="left"/>
        <w:tblInd w:w="0" w:type="dxa"/>
        <w:tblLayout w:type="fixed"/>
        <w:tblCellMar>
          <w:top w:w="28" w:type="dxa"/>
          <w:left w:w="28" w:type="dxa"/>
          <w:bottom w:w="28" w:type="dxa"/>
          <w:right w:w="28" w:type="dxa"/>
        </w:tblCellMar>
      </w:tblPr>
      <w:tblGrid>
        <w:gridCol w:w="684"/>
        <w:gridCol w:w="600"/>
        <w:gridCol w:w="600"/>
        <w:gridCol w:w="1025"/>
        <w:gridCol w:w="1025"/>
        <w:gridCol w:w="1025"/>
        <w:gridCol w:w="600"/>
        <w:gridCol w:w="600"/>
        <w:gridCol w:w="87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JEFFERIES LLC</w:t>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TD SECURITIES (USA) LLC</w:t>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LEERINK PARTNERS LLC</w:t>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STIFEL, NICOLAUS &amp; COMPANY, INCORPORATED</w:t>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Acting individually and as Representatives </w:t>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 the several Underwriters named in</w:t>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the attached </w:t>
            </w:r>
            <w:r>
              <w:rPr>
                <w:rFonts w:ascii="Times New Roman;serif" w:hAnsi="Times New Roman;serif"/>
                <w:b w:val="false"/>
                <w:color w:val="000000"/>
                <w:sz w:val="22"/>
                <w:u w:val="single"/>
              </w:rPr>
              <w:t>Schedule A</w:t>
            </w:r>
            <w:r>
              <w:rPr>
                <w:rFonts w:ascii="Times New Roman;serif" w:hAnsi="Times New Roman;serif"/>
                <w:b w:val="false"/>
                <w:color w:val="000000"/>
                <w:sz w:val="22"/>
              </w:rPr>
              <w:t>.</w:t>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JEFFERIES LLC</w:t>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Matthew Kim</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Matthew Kim</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TD SECURITIES (USA) LLC</w:t>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Mariel Healy</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Mariel Healy</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LEERINK PARTNERS LLC</w:t>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Rahul Chaudhary</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Rahul Chaudhary</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Senior Managing Director</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STIFEL, NICOLAUS &amp; COMPANY, INCORPORATED</w:t>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Ken Clausman</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Ken Clausman</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Underwriting Agreement]</w:t>
                      </w:r>
                    </w:p>
                  </w:txbxContent>
                </v:textbox>
                <w10:wrap type="none"/>
              </v:rect>
            </w:pict>
          </mc:Fallback>
        </mc:AlternateContent>
      </w:r>
    </w:p>
    <w:p>
      <w:pPr>
        <w:pStyle w:val="TextBody"/>
        <w:bidi w:val="0"/>
        <w:spacing w:lineRule="auto" w:line="288" w:before="0" w:after="220"/>
        <w:jc w:val="right"/>
        <w:rPr>
          <w:rFonts w:ascii="Times New Roman;serif" w:hAnsi="Times New Roman;serif"/>
          <w:b/>
          <w:color w:val="000000"/>
          <w:sz w:val="22"/>
        </w:rPr>
      </w:pPr>
      <w:r>
        <w:rPr>
          <w:rFonts w:ascii="Times New Roman;serif" w:hAnsi="Times New Roman;serif"/>
          <w:b/>
          <w:color w:val="000000"/>
          <w:sz w:val="22"/>
        </w:rPr>
        <w:t>Schedule A</w:t>
      </w:r>
    </w:p>
    <w:tbl>
      <w:tblPr>
        <w:tblW w:w="6770"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09"/>
        <w:gridCol w:w="554"/>
        <w:gridCol w:w="554"/>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0" w:after="54"/>
              <w:jc w:val="left"/>
              <w:rPr>
                <w:rFonts w:ascii="Times New Roman;serif" w:hAnsi="Times New Roman;serif"/>
                <w:b/>
                <w:color w:val="000000"/>
                <w:sz w:val="22"/>
              </w:rPr>
            </w:pPr>
            <w:r>
              <w:rPr>
                <w:rFonts w:ascii="Times New Roman;serif" w:hAnsi="Times New Roman;serif"/>
                <w:b/>
                <w:color w:val="000000"/>
                <w:sz w:val="22"/>
              </w:rPr>
              <w:t>Underwriters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Number of</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Firm Shares</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be Purchased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Jefferies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1,317,648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TD Securities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988,236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Leerink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988,236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Stifel, Nicolaus &amp; Company,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576,470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LifeSci Capital,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247,058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4,117,648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Schedule B</w:t>
      </w:r>
    </w:p>
    <w:p>
      <w:pPr>
        <w:pStyle w:val="TextBody"/>
        <w:bidi w:val="0"/>
        <w:spacing w:lineRule="auto" w:line="288" w:before="0" w:after="700"/>
        <w:jc w:val="center"/>
        <w:rPr>
          <w:rFonts w:ascii="Times New Roman;serif" w:hAnsi="Times New Roman;serif"/>
          <w:b/>
          <w:color w:val="000000"/>
          <w:sz w:val="22"/>
          <w:u w:val="single"/>
        </w:rPr>
      </w:pPr>
      <w:r>
        <w:rPr>
          <w:rFonts w:ascii="Times New Roman;serif" w:hAnsi="Times New Roman;serif"/>
          <w:b/>
          <w:color w:val="000000"/>
          <w:sz w:val="22"/>
          <w:u w:val="single"/>
        </w:rPr>
        <w:t>Permitted Testing-the-Waters Communications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Schedule C</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Free Writing Prospectuses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jc w:val="center"/>
        <w:rPr>
          <w:rFonts w:ascii="Times New Roman;serif" w:hAnsi="Times New Roman;serif"/>
          <w:b/>
          <w:color w:val="000000"/>
          <w:sz w:val="22"/>
          <w:u w:val="single"/>
        </w:rPr>
      </w:pPr>
      <w:r>
        <w:rPr>
          <w:rFonts w:ascii="Times New Roman;serif" w:hAnsi="Times New Roman;serif"/>
          <w:b/>
          <w:color w:val="000000"/>
          <w:sz w:val="22"/>
          <w:u w:val="single"/>
        </w:rPr>
        <w:t>Form of Lock-up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u w:val="single"/>
        </w:rPr>
      </w:pPr>
      <w:r>
        <w:rPr>
          <w:rFonts w:ascii="Times New Roman;serif" w:hAnsi="Times New Roman;serif"/>
          <w:b/>
          <w:color w:val="000000"/>
          <w:sz w:val="22"/>
          <w:u w:val="single"/>
        </w:rPr>
        <w:t>Lock-up Agreement</w:t>
      </w:r>
    </w:p>
    <w:tbl>
      <w:tblPr>
        <w:tblW w:w="6531" w:type="dxa"/>
        <w:jc w:val="left"/>
        <w:tblInd w:w="0" w:type="dxa"/>
        <w:tblLayout w:type="fixed"/>
        <w:tblCellMar>
          <w:top w:w="28" w:type="dxa"/>
          <w:left w:w="28" w:type="dxa"/>
          <w:bottom w:w="28" w:type="dxa"/>
          <w:right w:w="28" w:type="dxa"/>
        </w:tblCellMar>
      </w:tblPr>
      <w:tblGrid>
        <w:gridCol w:w="714"/>
        <w:gridCol w:w="629"/>
        <w:gridCol w:w="629"/>
        <w:gridCol w:w="1333"/>
        <w:gridCol w:w="1333"/>
        <w:gridCol w:w="1893"/>
      </w:tblGrid>
      <w:tr>
        <w:trPr/>
        <w:tc>
          <w:tcPr>
            <w:tcW w:w="71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October    , 2026</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Jefferies LLC</w:t>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TD Securities (USA) LLC</w:t>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Leerink Partners LLC </w:t>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Stifel, Nicolaus &amp; Company, Incorporated</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Representatives of the Several Underwriters</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 Jefferies LLC</w:t>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520 Madison Avenue</w:t>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10022</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 TD Securities (USA) LLC</w:t>
            </w:r>
          </w:p>
        </w:tc>
      </w:tr>
      <w:tr>
        <w:trPr/>
        <w:tc>
          <w:tcPr>
            <w:tcW w:w="65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 Vanderbilt Avenue</w:t>
            </w:r>
          </w:p>
        </w:tc>
      </w:tr>
      <w:tr>
        <w:trPr/>
        <w:tc>
          <w:tcPr>
            <w:tcW w:w="65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10017</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 Leerink Partners LLC</w:t>
            </w:r>
          </w:p>
        </w:tc>
      </w:tr>
      <w:tr>
        <w:trPr/>
        <w:tc>
          <w:tcPr>
            <w:tcW w:w="65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1301 Avenue of the Americas, 5th Floor</w:t>
            </w:r>
          </w:p>
        </w:tc>
      </w:tr>
      <w:tr>
        <w:trPr/>
        <w:tc>
          <w:tcPr>
            <w:tcW w:w="65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10019</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 Stifel, Nicolaus &amp; Company, Incorporated</w:t>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787 7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Avenue, 11</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tc>
      </w:tr>
      <w:tr>
        <w:trPr/>
        <w:tc>
          <w:tcPr>
            <w:tcW w:w="653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New York, New York 10019</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w:t>
            </w:r>
          </w:p>
        </w:tc>
        <w:tc>
          <w:tcPr>
            <w:tcW w:w="45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Spyre Therapeutics,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&amp; Gentlemen:</w:t>
      </w:r>
    </w:p>
    <w:p>
      <w:pPr>
        <w:pStyle w:val="TextBody"/>
        <w:bidi w:val="0"/>
        <w:spacing w:lineRule="auto" w:line="288" w:before="0" w:after="240"/>
        <w:jc w:val="left"/>
        <w:rPr/>
      </w:pPr>
      <w:r>
        <w:rPr>
          <w:rFonts w:ascii="Times New Roman;serif" w:hAnsi="Times New Roman;serif"/>
          <w:b w:val="false"/>
          <w:color w:val="000000"/>
          <w:sz w:val="22"/>
        </w:rPr>
        <w:t>The undersigned is an owner of shares of common stock, par value $0.0001 per share, of the Company (“</w:t>
      </w:r>
      <w:r>
        <w:rPr>
          <w:rFonts w:ascii="Times New Roman;serif" w:hAnsi="Times New Roman;serif"/>
          <w:b/>
          <w:color w:val="000000"/>
          <w:sz w:val="22"/>
        </w:rPr>
        <w:t>Shares</w:t>
      </w:r>
      <w:r>
        <w:rPr>
          <w:color w:val="000000"/>
        </w:rPr>
        <w:t>”</w:t>
      </w:r>
      <w:r>
        <w:rPr>
          <w:rFonts w:ascii="Times New Roman;serif" w:hAnsi="Times New Roman;serif"/>
          <w:b w:val="false"/>
          <w:color w:val="000000"/>
          <w:sz w:val="22"/>
        </w:rPr>
        <w:t>) or of securities convertible into or exchangeable or exercisable for Shares. The Company proposes to conduct a public offering of securities (the “</w:t>
      </w:r>
      <w:r>
        <w:rPr>
          <w:rFonts w:ascii="Times New Roman;serif" w:hAnsi="Times New Roman;serif"/>
          <w:b/>
          <w:color w:val="000000"/>
          <w:sz w:val="22"/>
        </w:rPr>
        <w:t>Securities</w:t>
      </w:r>
      <w:r>
        <w:rPr>
          <w:color w:val="000000"/>
        </w:rPr>
        <w:t>”</w:t>
      </w:r>
      <w:r>
        <w:rPr>
          <w:rFonts w:ascii="Times New Roman;serif" w:hAnsi="Times New Roman;serif"/>
          <w:b w:val="false"/>
          <w:color w:val="000000"/>
          <w:sz w:val="22"/>
        </w:rPr>
        <w:t>) of the Company (the “</w:t>
      </w:r>
      <w:r>
        <w:rPr>
          <w:rFonts w:ascii="Times New Roman;serif" w:hAnsi="Times New Roman;serif"/>
          <w:b/>
          <w:color w:val="000000"/>
          <w:sz w:val="22"/>
        </w:rPr>
        <w:t>Offering</w:t>
      </w:r>
      <w:r>
        <w:rPr>
          <w:color w:val="000000"/>
        </w:rPr>
        <w:t>”</w:t>
      </w:r>
      <w:r>
        <w:rPr>
          <w:rFonts w:ascii="Times New Roman;serif" w:hAnsi="Times New Roman;serif"/>
          <w:b w:val="false"/>
          <w:color w:val="000000"/>
          <w:sz w:val="22"/>
        </w:rPr>
        <w:t>) for which Jefferies LLC, TD Securities (USA) LLC, Leerink Partners LLC and Stifel, Nicolaus &amp; Company, Incorporated will act as the representatives (the “</w:t>
      </w:r>
      <w:r>
        <w:rPr>
          <w:rFonts w:ascii="Times New Roman;serif" w:hAnsi="Times New Roman;serif"/>
          <w:b/>
          <w:color w:val="000000"/>
          <w:sz w:val="22"/>
        </w:rPr>
        <w:t>Representatives</w:t>
      </w:r>
      <w:r>
        <w:rPr>
          <w:color w:val="000000"/>
        </w:rPr>
        <w:t>”</w:t>
      </w:r>
      <w:r>
        <w:rPr>
          <w:rFonts w:ascii="Times New Roman;serif" w:hAnsi="Times New Roman;serif"/>
          <w:b w:val="false"/>
          <w:color w:val="000000"/>
          <w:sz w:val="22"/>
        </w:rPr>
        <w:t>)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serif" w:hAnsi="Times New Roman;serif"/>
          <w:b/>
          <w:color w:val="000000"/>
          <w:sz w:val="22"/>
        </w:rPr>
        <w:t>Underwriting Agreement</w:t>
      </w:r>
      <w:r>
        <w:rPr>
          <w:color w:val="000000"/>
        </w:rPr>
        <w:t>”</w:t>
      </w:r>
      <w:r>
        <w:rPr>
          <w:rFonts w:ascii="Times New Roman;serif" w:hAnsi="Times New Roman;serif"/>
          <w:b w:val="false"/>
          <w:color w:val="000000"/>
          <w:sz w:val="22"/>
        </w:rPr>
        <w:t>) and other underwriting arrangements with the Company with respect to the Offering.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Annex A sets forth definitions for capitalized terms used in this letter agreement that are not defined in the body of this agreement. Those definitions are a part of this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consideration of the foregoing, and for other good and valuable consideration, the receipt and sufficiency of which are hereby acknowledged, the undersigned hereby agrees that, during the Lock-up </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Period, the undersigned will not (and will cause any Family Member not to), without the prior written consent of the Representatives, which may withhold their consent in their sole discretion: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Sell or Offer to Sell any Shares or Related Securities currently or hereafter owned either of record or beneficially (as defined in Rule 13d-3 under the Exchange Act) by the undersigned or such Family Member,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enter into any Swap,</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publicly announce any intention to do any of the foregoing.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foregoing will not apply to the registration of the offer and sale of the Securities and any Shares underlying such Securities, and the sale of the Securities to the underwriters, in each case as contemplated by the Underwriting Agreement. The foregoing will not apply to: (A) the establishment of a new trading plan pursuant to Rule 10b5-1 under the Exchange Act providing for dispositions or sales of Shares, provided that (x) such plan does not permit dispositions or sales of Shares or any Related Securities during the Lock-up Period and (y) no public announcement or filing regarding such plan is voluntarily made, during the Lock-up Period by or on behalf of the Company or the undersigned, and any required filing states that no dispositions or sales shall be made during the Lock-Up Period; (B) sales or transfers of Shares made pursuant to a trading plan pursuant to Rule 10b5-1 under the Exchange Act that has been entered into by the undersigned prior to the date of this letter agreement, provided, that no public announcement or filing under the Exchange Act is voluntarily made by or on behalf of the undersigned or the Company and, provided further, that to the extent a public announcement or filing under the Exchange Act, if any, is required by or on behalf of the undersigned or the Company regarding any such sales or transfers, such announcement or filing shall include a statement to the effect that the sale or transfer was made pursuant to a trading plan pursuant to Rule 10b5-1; (C) the exercise of options to purchase Shares granted under any stock incentive plan or stock purchase plan of the Company, provided that the underlying Shares shall continue to be subject to the restrictions on transfer set forth in this letter agreement and provided further that any filing under Section 16(a) of the Exchange Act with regard to this clause (C) shall clearly indicate in the footnotes thereto that the filing relates to the circumstances described in this clause (C), and no other public announcement shall be required or shall be made voluntarily in connection with such exercise); (D) the transfer of Shares (or any Related Security) to the Company or sold in connection with a vesting event of the Company’s securities or upon the exercise of options to purchase the Company’s securities, on a “cashless” or “net exercise” basis or to cover tax withholding obligations of the undersigned in connection with such vesting or exercise provided that any filing under Section 16(a) of the Exchange Act with regard to this clause (D) shall clearly indicate in the footnotes thereto that the filing relates to the circumstances described in this clause (D), and no other public announcement shall be required or shall be made voluntarily in connection with such exercise; (E) the transfer or disposition of the undersigned’s Shares (or any Related Securities) that occurs by operation of law, such as pursuant to a qualified domestic order or in connection with a divorce settlement provided that each transferee shall sign and deliver a lock-up agreement substantially in the form of this agreement; (F) the transfer of Shares (or any Related Securities) pursuant to a bona fide third party tender offer, merger, consolidation or other similar transaction made to all holders of the Shares involving a change of control of the Company provided that in the event that the tender offer, merger, consolidation or other such transaction is not completed, the Shares owned by the undersigned shall remain subject to the restrictions contained in this letter agreement; or (G) by bona fide gift, provided that each donee executes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and delivers to the Representatives an agreement in form and substance satisfactory to the Representatives stating that such transferee is receiving and holding such Shares and/or Related Securities subject to the provisions of this agreement and agrees not to Sell or Offer to Sell such Shares and/or Related Securities, engage in any Swap or engage in any other activities restricted under this agreement except in accordance with letter agreement (as if such transferee had been an original signatory hereto); provided, further, that, if required, any filing under Section 16(a) of the Exchange Act with regard to this clause (G) shall clearly indicate in the footnotes thereto that the filing relates to the circumstances described in this clause (G), and no other public announcement shall be required or shall be made voluntarily in connection with such exercise. In addition, the foregoing restrictions shall not apply to the transfer of Shares or Related Securities by (i) will or intestate succession to a legal representative, heir, beneficiary or Family Member, (ii) to a trust whose beneficiaries consist exclusively of one or more of the undersigned and/or a Family Member, (iii) to any corporation, partnership, limited liability company, investment fund or other entity controlled or managed, or under common control or management by the undersigned or a Family Member, or (iv) as distributions to partners, members or stockholders of the undersigned; </w:t>
      </w:r>
      <w:r>
        <w:rPr>
          <w:rFonts w:ascii="Times New Roman;serif" w:hAnsi="Times New Roman;serif"/>
          <w:b w:val="false"/>
          <w:i/>
          <w:color w:val="000000"/>
          <w:sz w:val="22"/>
        </w:rPr>
        <w:t>provided, however</w:t>
      </w:r>
      <w:r>
        <w:rPr>
          <w:rFonts w:ascii="Times New Roman;serif" w:hAnsi="Times New Roman;serif"/>
          <w:b w:val="false"/>
          <w:color w:val="000000"/>
          <w:sz w:val="22"/>
        </w:rPr>
        <w:t>, that in any such case, it shall be a condition to such transfer that: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each transferee executes and delivers to the Representatives an agreement in form and substance satisfactory to the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pStyle w:val="TextBody"/>
        <w:bidi w:val="0"/>
        <w:spacing w:lineRule="auto" w:line="288" w:before="0" w:after="360"/>
        <w:ind w:left="0" w:right="0" w:hanging="360"/>
        <w:jc w:val="left"/>
        <w:rPr/>
      </w:pPr>
      <w:r>
        <w:rPr>
          <w:color w:val="000000"/>
        </w:rPr>
        <w:t>•</w:t>
      </w:r>
      <w:r>
        <w:rPr>
          <w:rFonts w:ascii="Times New Roman;serif" w:hAnsi="Times New Roman;serif"/>
          <w:b w:val="false"/>
          <w:color w:val="000000"/>
          <w:sz w:val="22"/>
        </w:rPr>
        <w:t>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acknowledges and agrees that written notice by the Representatives to the Company of any extension of the 60-day initial Lock-up Period will be deemed to have been given to, and received by, the undersigned.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respect to the Offering only, from the date hereof until the expiration of the Lock-up Period,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letter agreement and related restrictions shall automatically terminate upon the earliest to occur, if any, of (a) the Representatives, on the one hand, or the Company, on the other hand, advising the other in writing that it has determined not to proceed with the Offering, (b) the termination of the Underwriting Agreement before the sale of any Securities to the underwriters or (c) October 31, 2026, if the Offering has not closed by such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letter agreement shall be governed by, and construed in accordance with, the laws of the State of New York.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20" w:type="dxa"/>
        <w:jc w:val="left"/>
        <w:tblInd w:w="0" w:type="dxa"/>
        <w:tblLayout w:type="fixed"/>
        <w:tblCellMar>
          <w:top w:w="28" w:type="dxa"/>
          <w:left w:w="28" w:type="dxa"/>
          <w:bottom w:w="28" w:type="dxa"/>
          <w:right w:w="28" w:type="dxa"/>
        </w:tblCellMar>
      </w:tblPr>
      <w:tblGrid>
        <w:gridCol w:w="1425"/>
        <w:gridCol w:w="1252"/>
        <w:gridCol w:w="1260"/>
        <w:gridCol w:w="137"/>
        <w:gridCol w:w="137"/>
        <w:gridCol w:w="137"/>
        <w:gridCol w:w="109"/>
        <w:gridCol w:w="109"/>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Printed Name of Person Signing</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(Indicate capacity of person signing if </w:t>
            </w:r>
          </w:p>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signing as custodian or trustee, or on behalf </w:t>
            </w:r>
          </w:p>
          <w:p>
            <w:pPr>
              <w:pStyle w:val="TableContents"/>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of an entity)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Certain Defined Terms</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Used in Lock-up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purposes of the letter agreement to which this Annex A is attached and of which it is made a part: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Call Equivalent Position</w:t>
      </w:r>
      <w:r>
        <w:rPr>
          <w:color w:val="000000"/>
        </w:rPr>
        <w:t xml:space="preserve">” </w:t>
      </w:r>
      <w:r>
        <w:rPr>
          <w:rFonts w:ascii="Times New Roman;serif" w:hAnsi="Times New Roman;serif"/>
          <w:b w:val="false"/>
          <w:color w:val="000000"/>
          <w:sz w:val="22"/>
        </w:rPr>
        <w:t>shall have the meaning set forth in Rule 16a-1(b) under the Exchange Act.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shall mean the Securities Exchange Act of 1934, as amended.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Family Member</w:t>
      </w:r>
      <w:r>
        <w:rPr>
          <w:color w:val="000000"/>
        </w:rPr>
        <w:t xml:space="preserve">” </w:t>
      </w:r>
      <w:r>
        <w:rPr>
          <w:rFonts w:ascii="Times New Roman;serif" w:hAnsi="Times New Roman;serif"/>
          <w:b w:val="false"/>
          <w:color w:val="000000"/>
          <w:sz w:val="22"/>
        </w:rPr>
        <w:t>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serif" w:hAnsi="Times New Roman;serif"/>
          <w:b/>
          <w:color w:val="000000"/>
          <w:sz w:val="22"/>
        </w:rPr>
        <w:t>Immediate family member</w:t>
      </w:r>
      <w:r>
        <w:rPr>
          <w:color w:val="000000"/>
        </w:rPr>
        <w:t xml:space="preserve">” </w:t>
      </w:r>
      <w:r>
        <w:rPr>
          <w:rFonts w:ascii="Times New Roman;serif" w:hAnsi="Times New Roman;serif"/>
          <w:b w:val="false"/>
          <w:color w:val="000000"/>
          <w:sz w:val="22"/>
        </w:rPr>
        <w:t>as used above shall have the meaning set forth in Rule 16a-1(e) under the Exchange Act.</w:t>
      </w:r>
    </w:p>
    <w:p>
      <w:pPr>
        <w:pStyle w:val="TextBody"/>
        <w:bidi w:val="0"/>
        <w:spacing w:lineRule="auto" w:line="288" w:before="0" w:after="220"/>
        <w:ind w:left="0" w:right="0" w:hanging="360"/>
        <w:jc w:val="left"/>
        <w:rPr/>
      </w:pPr>
      <w:r>
        <w:rPr>
          <w:color w:val="000000"/>
        </w:rPr>
        <w:t>•“</w:t>
      </w:r>
      <w:r>
        <w:rPr>
          <w:rFonts w:ascii="Times New Roman;serif" w:hAnsi="Times New Roman;serif"/>
          <w:b/>
          <w:color w:val="000000"/>
          <w:sz w:val="22"/>
        </w:rPr>
        <w:t>Lock-up Period</w:t>
      </w:r>
      <w:r>
        <w:rPr>
          <w:color w:val="000000"/>
        </w:rPr>
        <w:t xml:space="preserve">” </w:t>
      </w:r>
      <w:r>
        <w:rPr>
          <w:rFonts w:ascii="Times New Roman;serif" w:hAnsi="Times New Roman;serif"/>
          <w:b w:val="false"/>
          <w:color w:val="000000"/>
          <w:sz w:val="22"/>
        </w:rPr>
        <w:t>shall mean the period beginning on the date hereof and continuing through the close of trading on the date that is 60 days after the date of the Prospectus (as defined in the Underwriting Agreement).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Put Equivalent Position</w:t>
      </w:r>
      <w:r>
        <w:rPr>
          <w:color w:val="000000"/>
        </w:rPr>
        <w:t xml:space="preserve">” </w:t>
      </w:r>
      <w:r>
        <w:rPr>
          <w:rFonts w:ascii="Times New Roman;serif" w:hAnsi="Times New Roman;serif"/>
          <w:b w:val="false"/>
          <w:color w:val="000000"/>
          <w:sz w:val="22"/>
        </w:rPr>
        <w:t>shall have the meaning set forth in Rule 16a-1(h) under the Exchange Act.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Related Securities</w:t>
      </w:r>
      <w:r>
        <w:rPr>
          <w:color w:val="000000"/>
        </w:rPr>
        <w:t xml:space="preserve">” </w:t>
      </w:r>
      <w:r>
        <w:rPr>
          <w:rFonts w:ascii="Times New Roman;serif" w:hAnsi="Times New Roman;serif"/>
          <w:b w:val="false"/>
          <w:color w:val="000000"/>
          <w:sz w:val="22"/>
        </w:rPr>
        <w:t>shall mean any options or warrants or other rights to acquire Shares or any securities exchangeable or exercisable for or convertible into Shares, or to acquire other securities or rights ultimately exchangeable or exercisable for or convertible into Shares.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shall mean the Securities Act of 1933, as amended.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Sell or Offer to Sell</w:t>
      </w:r>
      <w:r>
        <w:rPr>
          <w:color w:val="000000"/>
        </w:rPr>
        <w:t xml:space="preserve">” </w:t>
      </w:r>
      <w:r>
        <w:rPr>
          <w:rFonts w:ascii="Times New Roman;serif" w:hAnsi="Times New Roman;serif"/>
          <w:b w:val="false"/>
          <w:color w:val="000000"/>
          <w:sz w:val="22"/>
        </w:rPr>
        <w:t xml:space="preserve">shall mean to: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sell, offer to sell, contract to sell or lend,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effect any short sale or establish or increase a Put Equivalent Position or liquidate or decrease any Call Equivalent Position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pledge, hypothecate or grant any security interest in,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in any other way transfer or dispose of,</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in each case whether effected directly or indirectly.</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Swap</w:t>
      </w:r>
      <w:r>
        <w:rPr>
          <w:color w:val="000000"/>
        </w:rPr>
        <w:t xml:space="preserve">” </w:t>
      </w:r>
      <w:r>
        <w:rPr>
          <w:rFonts w:ascii="Times New Roman;serif" w:hAnsi="Times New Roman;serif"/>
          <w:b w:val="false"/>
          <w:color w:val="000000"/>
          <w:sz w:val="22"/>
        </w:rPr>
        <w:t>shall mean any swap, hedge or similar arrangement or agreement that transfers, in whole or in part, the economic risk of ownership of Shares or Related Securities, regardless of whether any such transaction is to be settled in securities, in cash or otherwise.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Capitalized terms not defined in this Annex A shall have the meanings given to them in the body of this lock-up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Directors, Officers and Others</w:t>
      </w:r>
    </w:p>
    <w:p>
      <w:pPr>
        <w:pStyle w:val="TextBody"/>
        <w:bidi w:val="0"/>
        <w:spacing w:lineRule="auto" w:line="288" w:before="0" w:after="720"/>
        <w:jc w:val="center"/>
        <w:rPr>
          <w:rFonts w:ascii="Times New Roman;serif" w:hAnsi="Times New Roman;serif"/>
          <w:b/>
          <w:color w:val="000000"/>
          <w:sz w:val="22"/>
          <w:u w:val="single"/>
        </w:rPr>
      </w:pPr>
      <w:r>
        <w:rPr>
          <w:rFonts w:ascii="Times New Roman;serif" w:hAnsi="Times New Roman;serif"/>
          <w:b/>
          <w:color w:val="000000"/>
          <w:sz w:val="22"/>
          <w:u w:val="single"/>
        </w:rPr>
        <w:t>Signing Lock-up Agreement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Directors: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Jeffrey W. Albers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Michael Henderson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Tomas Kiselak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Mark McKenna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Sandra Milligan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Laurie Stelzer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Officers: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Cameron Turtle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Scott Burrows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Heidy King-Jones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Sheldon Sloan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5.1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17" w:type="dxa"/>
        <w:jc w:val="left"/>
        <w:tblInd w:w="0" w:type="dxa"/>
        <w:tblLayout w:type="fixed"/>
        <w:tblCellMar>
          <w:top w:w="28" w:type="dxa"/>
          <w:left w:w="28" w:type="dxa"/>
          <w:bottom w:w="28" w:type="dxa"/>
          <w:right w:w="28" w:type="dxa"/>
        </w:tblCellMar>
      </w:tblPr>
      <w:tblGrid>
        <w:gridCol w:w="379"/>
        <w:gridCol w:w="333"/>
        <w:gridCol w:w="334"/>
        <w:gridCol w:w="694"/>
        <w:gridCol w:w="694"/>
        <w:gridCol w:w="983"/>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00075" cy="762000"/>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2"/>
                          <a:stretch>
                            <a:fillRect/>
                          </a:stretch>
                        </pic:blipFill>
                        <pic:spPr bwMode="auto">
                          <a:xfrm>
                            <a:off x="0" y="0"/>
                            <a:ext cx="600075" cy="762000"/>
                          </a:xfrm>
                          <a:prstGeom prst="rect">
                            <a:avLst/>
                          </a:prstGeom>
                        </pic:spPr>
                      </pic:pic>
                    </a:graphicData>
                  </a:graphic>
                </wp:inline>
              </w:drawing>
            </w:r>
          </w:p>
        </w:tc>
        <w:tc>
          <w:tcPr>
            <w:tcW w:w="23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ROPES &amp; GRAY LLP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PRUDENTIAL TOWER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800 BOYLSTON STREET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 02199-3600</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WWW.ROPESGRAY.COM</w:t>
            </w:r>
          </w:p>
        </w:tc>
      </w:tr>
    </w:tbl>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October 7, 2026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Spyre Therapeutics, Inc.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221 Crescent Street, Building 23, Suite 105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Waltham, MA 02453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 Registration Statement on Form S-3 (File No. 333-297063)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Ladies and Gentlemen: </w:t>
      </w:r>
    </w:p>
    <w:p>
      <w:pPr>
        <w:pStyle w:val="TextBody"/>
        <w:bidi w:val="0"/>
        <w:spacing w:lineRule="auto" w:line="288" w:before="0" w:after="180"/>
        <w:ind w:left="0" w:right="0" w:firstLine="490"/>
        <w:jc w:val="left"/>
        <w:rPr>
          <w:shd w:fill="FFFFFF" w:val="clear"/>
        </w:rPr>
      </w:pPr>
      <w:r>
        <w:rPr>
          <w:rFonts w:ascii="Times New Roman;serif" w:hAnsi="Times New Roman;serif"/>
          <w:b w:val="false"/>
          <w:color w:val="000000"/>
          <w:sz w:val="20"/>
          <w:shd w:fill="FFFFFF" w:val="clear"/>
        </w:rPr>
        <w:t>We have acted as counsel to Spyre Therapeutics, Inc., a Delaware corporation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in connection with issuance and sale of up to 4,735,295 shares of the common stock, $0.0001 par value (the “</w:t>
      </w:r>
      <w:r>
        <w:rPr>
          <w:rFonts w:ascii="Times New Roman;serif" w:hAnsi="Times New Roman;serif"/>
          <w:b w:val="false"/>
          <w:color w:val="000000"/>
          <w:sz w:val="20"/>
          <w:u w:val="single"/>
          <w:shd w:fill="FFFFFF" w:val="clear"/>
        </w:rPr>
        <w:t>Shares</w:t>
      </w:r>
      <w:r>
        <w:rPr>
          <w:color w:val="000000"/>
          <w:shd w:fill="FFFFFF" w:val="clear"/>
        </w:rPr>
        <w:t>”</w:t>
      </w:r>
      <w:r>
        <w:rPr>
          <w:rFonts w:ascii="Times New Roman;serif" w:hAnsi="Times New Roman;serif"/>
          <w:b w:val="false"/>
          <w:color w:val="000000"/>
          <w:sz w:val="20"/>
          <w:shd w:fill="FFFFFF" w:val="clear"/>
        </w:rPr>
        <w:t>), of the Company pursuant to the above-referenced registration statement (the “</w:t>
      </w:r>
      <w:r>
        <w:rPr>
          <w:rFonts w:ascii="Times New Roman;serif" w:hAnsi="Times New Roman;serif"/>
          <w:b w:val="false"/>
          <w:color w:val="000000"/>
          <w:sz w:val="20"/>
          <w:u w:val="single"/>
          <w:shd w:fill="FFFFFF" w:val="clear"/>
        </w:rPr>
        <w:t>Registration Statement</w:t>
      </w:r>
      <w:r>
        <w:rPr>
          <w:color w:val="000000"/>
          <w:shd w:fill="FFFFFF" w:val="clear"/>
        </w:rPr>
        <w:t>”</w:t>
      </w:r>
      <w:r>
        <w:rPr>
          <w:rFonts w:ascii="Times New Roman;serif" w:hAnsi="Times New Roman;serif"/>
          <w:b w:val="false"/>
          <w:color w:val="000000"/>
          <w:sz w:val="20"/>
          <w:shd w:fill="FFFFFF" w:val="clear"/>
        </w:rPr>
        <w:t>), filed by the Company with the Securities and Exchange Commission (the “</w:t>
      </w:r>
      <w:r>
        <w:rPr>
          <w:rFonts w:ascii="Times New Roman;serif" w:hAnsi="Times New Roman;serif"/>
          <w:b w:val="false"/>
          <w:color w:val="000000"/>
          <w:sz w:val="20"/>
          <w:u w:val="single"/>
          <w:shd w:fill="FFFFFF" w:val="clear"/>
        </w:rPr>
        <w:t>Commission</w:t>
      </w:r>
      <w:r>
        <w:rPr>
          <w:color w:val="000000"/>
          <w:shd w:fill="FFFFFF" w:val="clear"/>
        </w:rPr>
        <w:t>”</w:t>
      </w:r>
      <w:r>
        <w:rPr>
          <w:rFonts w:ascii="Times New Roman;serif" w:hAnsi="Times New Roman;serif"/>
          <w:b w:val="false"/>
          <w:color w:val="000000"/>
          <w:sz w:val="20"/>
          <w:shd w:fill="FFFFFF" w:val="clear"/>
        </w:rPr>
        <w:t>) under the Securities Act of 1933 (the “</w:t>
      </w:r>
      <w:r>
        <w:rPr>
          <w:rFonts w:ascii="Times New Roman;serif" w:hAnsi="Times New Roman;serif"/>
          <w:b w:val="false"/>
          <w:color w:val="000000"/>
          <w:sz w:val="20"/>
          <w:u w:val="single"/>
          <w:shd w:fill="FFFFFF" w:val="clear"/>
        </w:rPr>
        <w:t>Securities Act</w:t>
      </w:r>
      <w:r>
        <w:rPr>
          <w:color w:val="000000"/>
          <w:shd w:fill="FFFFFF" w:val="clear"/>
        </w:rPr>
        <w:t>”</w:t>
      </w:r>
      <w:r>
        <w:rPr>
          <w:rFonts w:ascii="Times New Roman;serif" w:hAnsi="Times New Roman;serif"/>
          <w:b w:val="false"/>
          <w:color w:val="000000"/>
          <w:sz w:val="20"/>
          <w:shd w:fill="FFFFFF" w:val="clear"/>
        </w:rPr>
        <w:t>). The Shares are being sold pursuant to an underwriting agreement, dated as of October 5, 2026 (the “</w:t>
      </w:r>
      <w:r>
        <w:rPr>
          <w:rFonts w:ascii="Times New Roman;serif" w:hAnsi="Times New Roman;serif"/>
          <w:b w:val="false"/>
          <w:color w:val="000000"/>
          <w:sz w:val="20"/>
          <w:u w:val="single"/>
          <w:shd w:fill="FFFFFF" w:val="clear"/>
        </w:rPr>
        <w:t>Underwriting Agreement</w:t>
      </w:r>
      <w:r>
        <w:rPr>
          <w:color w:val="000000"/>
          <w:shd w:fill="FFFFFF" w:val="clear"/>
        </w:rPr>
        <w:t>”</w:t>
      </w:r>
      <w:r>
        <w:rPr>
          <w:rFonts w:ascii="Times New Roman;serif" w:hAnsi="Times New Roman;serif"/>
          <w:b w:val="false"/>
          <w:color w:val="000000"/>
          <w:sz w:val="20"/>
          <w:shd w:fill="FFFFFF" w:val="clear"/>
        </w:rPr>
        <w:t xml:space="preserve">), among the Company and the underwriters named therein. </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 </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opinions expressed below are limited to the Delaware General Corporation Law. Based upon and subject to the foregoing, we are of the opinion that the Shares have been duly authorized and, when issued and delivered pursuant to the Underwriting Agreement against payment of the consideration set forth therein, will be validly issued, fully paid and non-assessable. </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 </w:t>
      </w:r>
    </w:p>
    <w:tbl>
      <w:tblPr>
        <w:tblW w:w="1935" w:type="dxa"/>
        <w:jc w:val="left"/>
        <w:tblInd w:w="0" w:type="dxa"/>
        <w:tblLayout w:type="fixed"/>
        <w:tblCellMar>
          <w:top w:w="28" w:type="dxa"/>
          <w:left w:w="28" w:type="dxa"/>
          <w:bottom w:w="28" w:type="dxa"/>
          <w:right w:w="28" w:type="dxa"/>
        </w:tblCellMar>
      </w:tblPr>
      <w:tblGrid>
        <w:gridCol w:w="619"/>
        <w:gridCol w:w="543"/>
        <w:gridCol w:w="77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Ropes &amp; Gray LLP</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Ropes &amp; Gray LLP</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27080</Words>
  <Characters>145183</Characters>
  <CharactersWithSpaces>171876</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