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0001802528</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Spyre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001-37722</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221 Crescent Street</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Building 23</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02453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617-651-5940</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Fairmount Healthcare Fund 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600" w:type="dxa"/>
            <w:vAlign w:val="bottom"/>
          </w:tcPr>
          <w:p>
            <w:pPr>
              <w:jc w:val="center"/>
              <w:ind w:left="125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600" w:type="dxa"/>
            <w:vAlign w:val="bottom"/>
            <w:vMerge w:val="restart"/>
          </w:tcPr>
          <w:p>
            <w:pPr>
              <w:jc w:val="right"/>
              <w:ind w:right="72"/>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2"/>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600" w:type="dxa"/>
            <w:vAlign w:val="bottom"/>
            <w:vMerge w:val="restart"/>
          </w:tcPr>
          <w:p>
            <w:pPr>
              <w:jc w:val="center"/>
              <w:ind w:left="127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4684781</w:t>
            </w:r>
          </w:p>
        </w:tc>
        <w:tc>
          <w:tcPr>
            <w:tcW w:w="26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399658667.00 86841253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7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in</w:t>
            </w:r>
          </w:p>
        </w:tc>
        <w:tc>
          <w:tcPr>
            <w:tcW w:w="1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Acquired in</w:t>
            </w: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6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rPr>
              <w:t>06/22/2023 reverse merger</w:t>
            </w:r>
          </w:p>
        </w:tc>
        <w:tc>
          <w:tcPr>
            <w:tcW w:w="13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20"/>
              <w:spacing w:after="0" w:line="243" w:lineRule="exact"/>
              <w:rPr>
                <w:sz w:val="20"/>
                <w:szCs w:val="20"/>
                <w:color w:val="auto"/>
              </w:rPr>
            </w:pPr>
            <w:r>
              <w:rPr>
                <w:rFonts w:ascii="Times New Roman" w:cs="Times New Roman" w:eastAsia="Times New Roman" w:hAnsi="Times New Roman"/>
                <w:sz w:val="22"/>
                <w:szCs w:val="22"/>
                <w:color w:val="auto"/>
              </w:rPr>
              <w:t>378421</w:t>
            </w:r>
          </w:p>
        </w:tc>
        <w:tc>
          <w:tcPr>
            <w:tcW w:w="28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06/22/2023 reverse merger</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transaction</w:t>
            </w:r>
          </w:p>
        </w:tc>
        <w:tc>
          <w:tcPr>
            <w:tcW w:w="1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transaction</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Exchange of</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Exchange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Series A Non-</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04/25/2024</w:t>
            </w: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Series A Non-</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3639680</w:t>
            </w: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7"/>
              </w:rPr>
              <w:t>04/25/2024</w:t>
            </w: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4"/>
              </w:rPr>
              <w:t>Voting Convertible</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7"/>
              </w:rPr>
              <w:t>Voting Convertible</w:t>
            </w:r>
          </w:p>
        </w:tc>
        <w:tc>
          <w:tcPr>
            <w:tcW w:w="134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Preferred Stock</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into Common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Series B Non-</w:t>
            </w: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06/23/2026</w:t>
            </w: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Series B Non-</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666680</w:t>
            </w: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7"/>
              </w:rPr>
              <w:t>06/23/2026</w:t>
            </w: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4"/>
              </w:rPr>
              <w:t>Voting Convertible</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360" w:type="dxa"/>
            <w:vAlign w:val="bottom"/>
            <w:vMerge w:val="continue"/>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7"/>
              </w:rPr>
              <w:t>Voting Convertible</w:t>
            </w:r>
          </w:p>
        </w:tc>
        <w:tc>
          <w:tcPr>
            <w:tcW w:w="134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Preferred Stock</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Preferred Stock</w:t>
            </w:r>
          </w:p>
        </w:tc>
        <w:tc>
          <w:tcPr>
            <w:tcW w:w="13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into Common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-2226945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-1498600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-538480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42"/>
          <w:szCs w:val="42"/>
          <w:color w:val="auto"/>
          <w:vertAlign w:val="subscript"/>
        </w:rPr>
        <w:t>Remarks</w:t>
      </w:r>
      <w:r>
        <w:rPr>
          <w:rFonts w:ascii="Times New Roman" w:cs="Times New Roman" w:eastAsia="Times New Roman" w:hAnsi="Times New Roman"/>
          <w:sz w:val="21"/>
          <w:szCs w:val="21"/>
          <w:color w:val="auto"/>
        </w:rPr>
        <w:t xml:space="preserve"> Fairmount Funds Management LLC ("Fairmount") is the investment manager for Fairmount Healthcare Fund II L.P.</w:t>
      </w:r>
    </w:p>
    <w:p>
      <w:pPr>
        <w:ind w:left="940"/>
        <w:spacing w:after="0"/>
        <w:rPr>
          <w:sz w:val="20"/>
          <w:szCs w:val="20"/>
          <w:color w:val="auto"/>
        </w:rPr>
      </w:pPr>
      <w:r>
        <w:rPr>
          <w:rFonts w:ascii="Times New Roman" w:cs="Times New Roman" w:eastAsia="Times New Roman" w:hAnsi="Times New Roman"/>
          <w:sz w:val="22"/>
          <w:szCs w:val="22"/>
          <w:color w:val="auto"/>
        </w:rPr>
        <w:t>The managers of Fairmount are Peter Harwin and Tomas Kiselak. Tomas Kiselak is also a director of the Issuer.</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06/23/2026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Tomas Kiselak for Fairmount Funds Management LLC</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2026-06-23T20:58:59Z</dcterms:created>
  <dcterms:modified xsi:type="dcterms:W3CDTF">2026-06-23T20:58:59Z</dcterms:modified>
</cp:coreProperties>
</file>