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91012.xml.htm"/>
      <w:bookmarkStart w:id="1" w:name="kswkform4_17909910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King-Jones Heidy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Spyre Therapeutics, Inc.</w:t>
              </w:r>
            </w:hyperlink>
            <w:r>
              <w:rPr/>
              <w:t xml:space="preserve"> [ </w:t>
            </w:r>
            <w:r>
              <w:rPr>
                <w:rFonts w:ascii="Times;serif" w:hAnsi="Times;serif"/>
                <w:color w:val="0000FF"/>
                <w:sz w:val="24"/>
                <w:shd w:fill="FFFFFF" w:val="clear"/>
              </w:rPr>
              <w:t>SYRE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28,933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31,778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89.24</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31,378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16,605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90.35</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14,773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91.35</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92.7</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93.46</w:t>
            </w:r>
            <w:r>
              <w:rPr>
                <w:rFonts w:ascii="Times;serif" w:hAnsi="Times;serif"/>
                <w:color w:val="008000"/>
                <w:position w:val="7"/>
                <w:sz w:val="16"/>
                <w:sz w:val="20"/>
                <w:shd w:fill="FFFFFF" w:val="clear"/>
              </w:rPr>
              <w:t>(6)</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28,933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482,478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April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$88.63 to $89.53,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$89.96 to $90.95,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$91.10 to $92.09,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above is a weighted average price. The shares were sold in multiple transactions at prices ranging from $92.12 to $93.09,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above is a weighted average price. The shares were sold in multiple transactions at prices ranging from $93.17 to $93.75,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option represents the right to purchase 539,810 shares of the Issuer's common stock (which have been adjusted to reflect the Issuer's 1-for-25 reverse stock split on September 8, 2023), one quarter of which vested and became exercisable on September 1, 2024, with the remaining three quarters vesting in monthly installments over the following three years, subject to the Reporting Person's continued employment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Officer and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94898" TargetMode="External"/><Relationship Id="rId5" Type="http://schemas.openxmlformats.org/officeDocument/2006/relationships/hyperlink" Target="http://www.sec.gov/cgi-bin/browse-edgar?action=getcompany&amp;CIK=00016362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5515</Characters>
  <CharactersWithSpaces>6423</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