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As filed with the Securities and Exchange Commission on November 15, 2023</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333-273769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Aeglea BioTherapeutics, Inc.</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tbl>
      <w:tblPr>
        <w:tblLayout w:type="fixed"/>
        <w:tblInd w:w="1960" w:type="dxa"/>
        <w:tblCellMar>
          <w:top w:w="0" w:type="dxa"/>
          <w:left w:w="0" w:type="dxa"/>
          <w:bottom w:w="0" w:type="dxa"/>
          <w:right w:w="0" w:type="dxa"/>
        </w:tblCellMar>
      </w:tblPr>
      <w:tr>
        <w:trPr>
          <w:trHeight w:val="172"/>
        </w:trPr>
        <w:tc>
          <w:tcPr>
            <w:tcW w:w="3900" w:type="dxa"/>
            <w:vAlign w:val="bottom"/>
          </w:tcPr>
          <w:p>
            <w:pPr>
              <w:jc w:val="center"/>
              <w:ind w:right="1967"/>
              <w:spacing w:after="0"/>
              <w:rPr>
                <w:sz w:val="20"/>
                <w:szCs w:val="20"/>
                <w:color w:val="auto"/>
              </w:rPr>
            </w:pPr>
            <w:r>
              <w:rPr>
                <w:rFonts w:ascii="Arial" w:cs="Arial" w:eastAsia="Arial" w:hAnsi="Arial"/>
                <w:sz w:val="15"/>
                <w:szCs w:val="15"/>
                <w:b w:val="1"/>
                <w:bCs w:val="1"/>
                <w:color w:val="auto"/>
                <w:w w:val="94"/>
              </w:rPr>
              <w:t>Delaware</w:t>
            </w:r>
          </w:p>
        </w:tc>
        <w:tc>
          <w:tcPr>
            <w:tcW w:w="3160" w:type="dxa"/>
            <w:vAlign w:val="bottom"/>
          </w:tcPr>
          <w:p>
            <w:pPr>
              <w:jc w:val="center"/>
              <w:ind w:left="1947"/>
              <w:spacing w:after="0"/>
              <w:rPr>
                <w:sz w:val="20"/>
                <w:szCs w:val="20"/>
                <w:color w:val="auto"/>
              </w:rPr>
            </w:pPr>
            <w:r>
              <w:rPr>
                <w:rFonts w:ascii="Arial" w:cs="Arial" w:eastAsia="Arial" w:hAnsi="Arial"/>
                <w:sz w:val="15"/>
                <w:szCs w:val="15"/>
                <w:b w:val="1"/>
                <w:bCs w:val="1"/>
                <w:color w:val="auto"/>
                <w:w w:val="92"/>
              </w:rPr>
              <w:t>46-4312787</w:t>
            </w:r>
          </w:p>
        </w:tc>
      </w:tr>
      <w:tr>
        <w:trPr>
          <w:trHeight w:val="148"/>
        </w:trPr>
        <w:tc>
          <w:tcPr>
            <w:tcW w:w="3900" w:type="dxa"/>
            <w:vAlign w:val="bottom"/>
          </w:tcPr>
          <w:p>
            <w:pPr>
              <w:jc w:val="center"/>
              <w:ind w:right="194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7"/>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7"/>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221 Crescent Street</w:t>
      </w:r>
    </w:p>
    <w:p>
      <w:pPr>
        <w:jc w:val="center"/>
        <w:ind w:right="-119"/>
        <w:spacing w:after="0" w:line="233" w:lineRule="auto"/>
        <w:rPr>
          <w:sz w:val="20"/>
          <w:szCs w:val="20"/>
          <w:color w:val="auto"/>
        </w:rPr>
      </w:pPr>
      <w:r>
        <w:rPr>
          <w:rFonts w:ascii="Arial" w:cs="Arial" w:eastAsia="Arial" w:hAnsi="Arial"/>
          <w:sz w:val="15"/>
          <w:szCs w:val="15"/>
          <w:b w:val="1"/>
          <w:bCs w:val="1"/>
          <w:color w:val="auto"/>
        </w:rPr>
        <w:t>Building 23, Suite 105</w:t>
      </w:r>
    </w:p>
    <w:p>
      <w:pPr>
        <w:jc w:val="center"/>
        <w:ind w:right="-119"/>
        <w:spacing w:after="0" w:line="225" w:lineRule="auto"/>
        <w:rPr>
          <w:sz w:val="20"/>
          <w:szCs w:val="20"/>
          <w:color w:val="auto"/>
        </w:rPr>
      </w:pPr>
      <w:r>
        <w:rPr>
          <w:rFonts w:ascii="Arial" w:cs="Arial" w:eastAsia="Arial" w:hAnsi="Arial"/>
          <w:sz w:val="15"/>
          <w:szCs w:val="15"/>
          <w:b w:val="1"/>
          <w:bCs w:val="1"/>
          <w:color w:val="auto"/>
        </w:rPr>
        <w:t>Waltham, MA 02453</w:t>
      </w:r>
    </w:p>
    <w:p>
      <w:pPr>
        <w:jc w:val="center"/>
        <w:ind w:right="-119"/>
        <w:spacing w:after="0" w:line="218" w:lineRule="auto"/>
        <w:rPr>
          <w:sz w:val="20"/>
          <w:szCs w:val="20"/>
          <w:color w:val="auto"/>
        </w:rPr>
      </w:pPr>
      <w:r>
        <w:rPr>
          <w:rFonts w:ascii="Arial" w:cs="Arial" w:eastAsia="Arial" w:hAnsi="Arial"/>
          <w:sz w:val="15"/>
          <w:szCs w:val="15"/>
          <w:b w:val="1"/>
          <w:bCs w:val="1"/>
          <w:color w:val="auto"/>
        </w:rPr>
        <w:t>(617) 651-5940</w:t>
      </w: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7"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Heidy King-Jones</w:t>
      </w:r>
    </w:p>
    <w:p>
      <w:pPr>
        <w:jc w:val="center"/>
        <w:ind w:right="-119"/>
        <w:spacing w:after="0" w:line="233" w:lineRule="auto"/>
        <w:rPr>
          <w:sz w:val="20"/>
          <w:szCs w:val="20"/>
          <w:color w:val="auto"/>
        </w:rPr>
      </w:pPr>
      <w:r>
        <w:rPr>
          <w:rFonts w:ascii="Arial" w:cs="Arial" w:eastAsia="Arial" w:hAnsi="Arial"/>
          <w:sz w:val="15"/>
          <w:szCs w:val="15"/>
          <w:b w:val="1"/>
          <w:bCs w:val="1"/>
          <w:color w:val="auto"/>
        </w:rPr>
        <w:t>Chief Legal Officer and Corporate Secretary</w:t>
      </w:r>
    </w:p>
    <w:p>
      <w:pPr>
        <w:jc w:val="center"/>
        <w:ind w:right="-119"/>
        <w:spacing w:after="0" w:line="225" w:lineRule="auto"/>
        <w:rPr>
          <w:sz w:val="20"/>
          <w:szCs w:val="20"/>
          <w:color w:val="auto"/>
        </w:rPr>
      </w:pPr>
      <w:r>
        <w:rPr>
          <w:rFonts w:ascii="Arial" w:cs="Arial" w:eastAsia="Arial" w:hAnsi="Arial"/>
          <w:sz w:val="15"/>
          <w:szCs w:val="15"/>
          <w:b w:val="1"/>
          <w:bCs w:val="1"/>
          <w:color w:val="auto"/>
        </w:rPr>
        <w:t>Aeglea BioTherapeutics, Inc.</w:t>
      </w:r>
    </w:p>
    <w:p>
      <w:pPr>
        <w:jc w:val="center"/>
        <w:ind w:right="-119"/>
        <w:spacing w:after="0" w:line="225" w:lineRule="auto"/>
        <w:rPr>
          <w:sz w:val="20"/>
          <w:szCs w:val="20"/>
          <w:color w:val="auto"/>
        </w:rPr>
      </w:pPr>
      <w:r>
        <w:rPr>
          <w:rFonts w:ascii="Arial" w:cs="Arial" w:eastAsia="Arial" w:hAnsi="Arial"/>
          <w:sz w:val="15"/>
          <w:szCs w:val="15"/>
          <w:b w:val="1"/>
          <w:bCs w:val="1"/>
          <w:color w:val="auto"/>
        </w:rPr>
        <w:t>221 Crescent Street</w:t>
      </w:r>
    </w:p>
    <w:p>
      <w:pPr>
        <w:jc w:val="center"/>
        <w:ind w:right="-119"/>
        <w:spacing w:after="0" w:line="226" w:lineRule="auto"/>
        <w:rPr>
          <w:sz w:val="20"/>
          <w:szCs w:val="20"/>
          <w:color w:val="auto"/>
        </w:rPr>
      </w:pPr>
      <w:r>
        <w:rPr>
          <w:rFonts w:ascii="Arial" w:cs="Arial" w:eastAsia="Arial" w:hAnsi="Arial"/>
          <w:sz w:val="15"/>
          <w:szCs w:val="15"/>
          <w:b w:val="1"/>
          <w:bCs w:val="1"/>
          <w:color w:val="auto"/>
        </w:rPr>
        <w:t>Building 23, Suite 105</w:t>
      </w:r>
    </w:p>
    <w:p>
      <w:pPr>
        <w:jc w:val="center"/>
        <w:ind w:right="-119"/>
        <w:spacing w:after="0" w:line="225" w:lineRule="auto"/>
        <w:rPr>
          <w:sz w:val="20"/>
          <w:szCs w:val="20"/>
          <w:color w:val="auto"/>
        </w:rPr>
      </w:pPr>
      <w:r>
        <w:rPr>
          <w:rFonts w:ascii="Arial" w:cs="Arial" w:eastAsia="Arial" w:hAnsi="Arial"/>
          <w:sz w:val="15"/>
          <w:szCs w:val="15"/>
          <w:b w:val="1"/>
          <w:bCs w:val="1"/>
          <w:color w:val="auto"/>
        </w:rPr>
        <w:t>Waltham, MA 02453</w:t>
      </w:r>
    </w:p>
    <w:p>
      <w:pPr>
        <w:jc w:val="center"/>
        <w:ind w:right="-119"/>
        <w:spacing w:after="0" w:line="218" w:lineRule="auto"/>
        <w:rPr>
          <w:sz w:val="20"/>
          <w:szCs w:val="20"/>
          <w:color w:val="auto"/>
        </w:rPr>
      </w:pPr>
      <w:r>
        <w:rPr>
          <w:rFonts w:ascii="Arial" w:cs="Arial" w:eastAsia="Arial" w:hAnsi="Arial"/>
          <w:sz w:val="15"/>
          <w:szCs w:val="15"/>
          <w:b w:val="1"/>
          <w:bCs w:val="1"/>
          <w:color w:val="auto"/>
        </w:rPr>
        <w:t>(617) 651-5940</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Copies to:</w:t>
      </w:r>
    </w:p>
    <w:p>
      <w:pPr>
        <w:spacing w:after="0" w:line="92"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Ryan A. Murr</w:t>
      </w:r>
    </w:p>
    <w:p>
      <w:pPr>
        <w:jc w:val="center"/>
        <w:ind w:right="-119"/>
        <w:spacing w:after="0" w:line="233" w:lineRule="auto"/>
        <w:rPr>
          <w:sz w:val="20"/>
          <w:szCs w:val="20"/>
          <w:color w:val="auto"/>
        </w:rPr>
      </w:pPr>
      <w:r>
        <w:rPr>
          <w:rFonts w:ascii="Arial" w:cs="Arial" w:eastAsia="Arial" w:hAnsi="Arial"/>
          <w:sz w:val="15"/>
          <w:szCs w:val="15"/>
          <w:b w:val="1"/>
          <w:bCs w:val="1"/>
          <w:color w:val="auto"/>
        </w:rPr>
        <w:t>Branden C. Berns</w:t>
      </w:r>
    </w:p>
    <w:p>
      <w:pPr>
        <w:jc w:val="center"/>
        <w:ind w:right="-119"/>
        <w:spacing w:after="0" w:line="225" w:lineRule="auto"/>
        <w:rPr>
          <w:sz w:val="20"/>
          <w:szCs w:val="20"/>
          <w:color w:val="auto"/>
        </w:rPr>
      </w:pPr>
      <w:r>
        <w:rPr>
          <w:rFonts w:ascii="Arial" w:cs="Arial" w:eastAsia="Arial" w:hAnsi="Arial"/>
          <w:sz w:val="15"/>
          <w:szCs w:val="15"/>
          <w:b w:val="1"/>
          <w:bCs w:val="1"/>
          <w:color w:val="auto"/>
        </w:rPr>
        <w:t>Gibson, Dunn &amp; Crutcher LLP</w:t>
      </w:r>
    </w:p>
    <w:p>
      <w:pPr>
        <w:jc w:val="center"/>
        <w:ind w:right="-119"/>
        <w:spacing w:after="0" w:line="225" w:lineRule="auto"/>
        <w:rPr>
          <w:sz w:val="20"/>
          <w:szCs w:val="20"/>
          <w:color w:val="auto"/>
        </w:rPr>
      </w:pPr>
      <w:r>
        <w:rPr>
          <w:rFonts w:ascii="Arial" w:cs="Arial" w:eastAsia="Arial" w:hAnsi="Arial"/>
          <w:sz w:val="15"/>
          <w:szCs w:val="15"/>
          <w:b w:val="1"/>
          <w:bCs w:val="1"/>
          <w:color w:val="auto"/>
        </w:rPr>
        <w:t>555 Mission Street, Suite 3000</w:t>
      </w:r>
    </w:p>
    <w:p>
      <w:pPr>
        <w:jc w:val="center"/>
        <w:ind w:right="-119"/>
        <w:spacing w:after="0" w:line="226" w:lineRule="auto"/>
        <w:rPr>
          <w:sz w:val="20"/>
          <w:szCs w:val="20"/>
          <w:color w:val="auto"/>
        </w:rPr>
      </w:pPr>
      <w:r>
        <w:rPr>
          <w:rFonts w:ascii="Arial" w:cs="Arial" w:eastAsia="Arial" w:hAnsi="Arial"/>
          <w:sz w:val="15"/>
          <w:szCs w:val="15"/>
          <w:b w:val="1"/>
          <w:bCs w:val="1"/>
          <w:color w:val="auto"/>
        </w:rPr>
        <w:t>San Francisco, California 94105</w:t>
      </w:r>
    </w:p>
    <w:p>
      <w:pPr>
        <w:jc w:val="center"/>
        <w:ind w:right="-119"/>
        <w:spacing w:after="0"/>
        <w:rPr>
          <w:sz w:val="20"/>
          <w:szCs w:val="20"/>
          <w:color w:val="auto"/>
        </w:rPr>
      </w:pPr>
      <w:r>
        <w:rPr>
          <w:rFonts w:ascii="Arial" w:cs="Arial" w:eastAsia="Arial" w:hAnsi="Arial"/>
          <w:sz w:val="15"/>
          <w:szCs w:val="15"/>
          <w:b w:val="1"/>
          <w:bCs w:val="1"/>
          <w:color w:val="auto"/>
        </w:rPr>
        <w:t>(415) 393-8373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131445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4"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Approximate date of commencement of proposed sale to the public</w:t>
      </w:r>
      <w:r>
        <w:rPr>
          <w:rFonts w:ascii="Arial" w:cs="Arial" w:eastAsia="Arial" w:hAnsi="Arial"/>
          <w:sz w:val="15"/>
          <w:szCs w:val="15"/>
          <w:color w:val="auto"/>
        </w:rPr>
        <w:t>: From time to time after the effective date of this Registration Statement.</w:t>
      </w:r>
    </w:p>
    <w:p>
      <w:pPr>
        <w:spacing w:after="0" w:line="88" w:lineRule="exact"/>
        <w:rPr>
          <w:sz w:val="24"/>
          <w:szCs w:val="24"/>
          <w:color w:val="auto"/>
        </w:rPr>
      </w:pPr>
    </w:p>
    <w:p>
      <w:pPr>
        <w:ind w:left="120" w:right="160"/>
        <w:spacing w:after="0" w:line="197"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53" w:lineRule="exact"/>
        <w:rPr>
          <w:sz w:val="24"/>
          <w:szCs w:val="24"/>
          <w:color w:val="auto"/>
        </w:rPr>
      </w:pPr>
    </w:p>
    <w:p>
      <w:pPr>
        <w:ind w:left="120" w:right="120"/>
        <w:spacing w:after="0" w:line="197"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0" w:lineRule="exact"/>
        <w:rPr>
          <w:sz w:val="24"/>
          <w:szCs w:val="24"/>
          <w:color w:val="auto"/>
        </w:rPr>
      </w:pPr>
    </w:p>
    <w:p>
      <w:pPr>
        <w:ind w:left="120" w:right="100"/>
        <w:spacing w:after="0" w:line="197"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3" w:lineRule="exact"/>
        <w:rPr>
          <w:sz w:val="24"/>
          <w:szCs w:val="24"/>
          <w:color w:val="auto"/>
        </w:rPr>
      </w:pPr>
    </w:p>
    <w:p>
      <w:pPr>
        <w:ind w:left="120" w:right="100"/>
        <w:spacing w:after="0" w:line="197"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3"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8" w:lineRule="exact"/>
        <w:rPr>
          <w:sz w:val="24"/>
          <w:szCs w:val="24"/>
          <w:color w:val="auto"/>
        </w:rPr>
      </w:pPr>
    </w:p>
    <w:p>
      <w:pPr>
        <w:ind w:left="120" w:right="40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4"/>
          <w:szCs w:val="24"/>
          <w:color w:val="auto"/>
        </w:rPr>
      </w:pPr>
    </w:p>
    <w:p>
      <w:pPr>
        <w:ind w:left="120" w:right="320"/>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This Amendment No. 1 to Form S-1 (this “Amendment”) amends the registration statement of Aeglea BioTherapeutics, Inc. (“Aeglea,” the “Company,” “we” or “our”) on Form S-3 as originally filed with the Securities and Exchange Commission (the “SEC”) on August 7, 2023 (Registration No. 333-273769) (the “Registration Statement”), and as amended by the Pre-Effective Amendment No. 1 to Form S-3 on Form S-1 to convert the Registration Statement into a registration statement on Form S-1 (the “Original Form S-1”) filed on October 6, 2023.</w:t>
      </w:r>
    </w:p>
    <w:p>
      <w:pPr>
        <w:spacing w:after="0" w:line="17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This Amendment is being filed to, among other reasons: (i) remove all incorporation by reference from the Original Form S-1 and file a complete prospectus, (ii) remove as selling stockholders all former affiliates of Spyre Therapeutics, Inc., and (iii) update the Original Form S-1 with information in our latest Quarterly Report on Form 10-Q for the quarter ended September 30, 2023 filed with the SEC on November 9, 2023.</w:t>
      </w:r>
    </w:p>
    <w:p>
      <w:pPr>
        <w:spacing w:after="0" w:line="16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This Amendment should be read in conjunction with the Original Form S-1 and our other filings made with the SEC subsequent to filing of the Original Form S-1.</w:t>
      </w:r>
    </w:p>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The selling stockholders named in this prospectus may not sell these securities until the registration statement filed with the Securities and Exchange Commission (the “SEC”) is effective. This prospectus is not an offer to sell these securities, and it is not soliciting an offer to buy these securities, in any jurisdiction where the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NOVEMBER 15,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94615</wp:posOffset>
            </wp:positionV>
            <wp:extent cx="2048510"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85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40"/>
          <w:szCs w:val="40"/>
          <w:b w:val="1"/>
          <w:bCs w:val="1"/>
          <w:color w:val="auto"/>
        </w:rPr>
        <w:t>Aeglea BioTherapeutics, Inc.</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18,809,064 Shares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prospectus relates to the proposed resale or other disposition by the selling stockholders identified herein (the “Selling Stockholders”) of up to (i) 8,864 shares (the “Merger Common Shares”) of our common stock, par value $0.0001 per share (“Common Stock”), (ii) 248,560 shares of Common Stock (the “Merger Conversion Shares”) issuable upon the conversion of 6,214 shares (“Merger Preferred Shares”) of our Series A Preferred Stock, par value $0.0001 per share (the “Series A Preferred Stock”), and (iii) 18,551,640 shares of Common Stock (the “Private Placement Conversion Shares”) issuable upon the conversion of 463,791 shares (the “Private Placement Preferred Shares”) of Series A Preferred Stock. Subject to receiving the requisite stockholder approval and certain beneficial ownership limitations set by each preferred stockholder, each share of Series A Preferred Stock will automatically convert upon the requisite stockholder approval into an aggregate of approximately 40 shares of Common Stock. The shares of Common Stock registered by this prospectus are referred to herein as the “Resale Shares.”</w:t>
      </w:r>
    </w:p>
    <w:p>
      <w:pPr>
        <w:spacing w:after="0" w:line="70"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The Merger Common Shares and Merger Preferred Shares were issued and sold to former stockholders of Spyre Therapeutics, Inc., a Delaware corporation (“Spyre”), in connection with our acquisition (the “Asset Acquisition”) of Spyre, which closed on June 22, 2023. The Private Placement Preferred Shares were issued and sold to accredited investors in a private placement (the “PIPE” and, together with the Asset Acquisition, the “Transactions”), which closed on June 26, 2023. We are not selling any Resale Shares under this prospectus and will not receive any of the proceeds from the sale or other disposition of Resale Shares by the Selling Stockholders.</w:t>
      </w:r>
    </w:p>
    <w:p>
      <w:pPr>
        <w:spacing w:after="0" w:line="6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53"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should carefully read this prospectus and any applicable prospectus supplement before you invest in any of the securities being offered.</w:t>
      </w:r>
    </w:p>
    <w:p>
      <w:pPr>
        <w:spacing w:after="0" w:line="12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Common Stock is traded on The Nasdaq Capital Market under the symbol “AGLE.” On November 14, 2023, the last reported sale price for our Common Stock was $10.40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2" w:lineRule="exact"/>
        <w:rPr>
          <w:sz w:val="20"/>
          <w:szCs w:val="20"/>
          <w:color w:val="auto"/>
        </w:rPr>
      </w:pPr>
    </w:p>
    <w:p>
      <w:pPr>
        <w:ind w:left="120" w:right="120"/>
        <w:spacing w:after="0" w:line="331" w:lineRule="auto"/>
        <w:rPr>
          <w:sz w:val="20"/>
          <w:szCs w:val="20"/>
          <w:color w:val="auto"/>
        </w:rPr>
      </w:pPr>
      <w:r>
        <w:rPr>
          <w:rFonts w:ascii="Arial" w:cs="Arial" w:eastAsia="Arial" w:hAnsi="Arial"/>
          <w:sz w:val="19"/>
          <w:szCs w:val="19"/>
          <w:b w:val="1"/>
          <w:bCs w:val="1"/>
          <w:color w:val="auto"/>
        </w:rPr>
        <w:t>An investment in our securities involves a high degree of risk. You should carefully consider the information under the heading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beginning on page 9 of this prospectus and any applicable prospectus supplement.</w:t>
      </w:r>
    </w:p>
    <w:p>
      <w:pPr>
        <w:ind w:left="120" w:right="380"/>
        <w:spacing w:after="0" w:line="282" w:lineRule="auto"/>
        <w:rPr>
          <w:sz w:val="20"/>
          <w:szCs w:val="20"/>
          <w:color w:val="auto"/>
        </w:rPr>
      </w:pPr>
      <w:r>
        <w:rPr>
          <w:rFonts w:ascii="Arial" w:cs="Arial" w:eastAsia="Arial" w:hAnsi="Arial"/>
          <w:sz w:val="18"/>
          <w:szCs w:val="18"/>
          <w:b w:val="1"/>
          <w:bCs w:val="1"/>
          <w:color w:val="auto"/>
        </w:rPr>
        <w:t>We are a “smaller reporting company” as defined by Rule 12b-2 of the Exchange Act and are subject to reduced public company reporting requirements.</w:t>
      </w:r>
    </w:p>
    <w:p>
      <w:pPr>
        <w:spacing w:after="0" w:line="54"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97" w:lineRule="exact"/>
        <w:rPr>
          <w:sz w:val="20"/>
          <w:szCs w:val="20"/>
          <w:color w:val="auto"/>
        </w:rPr>
      </w:pPr>
    </w:p>
    <w:p>
      <w:pPr>
        <w:ind w:left="3920"/>
        <w:spacing w:after="0"/>
        <w:tabs>
          <w:tab w:leader="none" w:pos="68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5"/>
          <w:szCs w:val="15"/>
          <w:b w:val="1"/>
          <w:bCs w:val="1"/>
          <w:color w:val="auto"/>
        </w:rPr>
        <w:t>, 2023</w:t>
      </w:r>
    </w:p>
    <w:p>
      <w:pPr>
        <w:sectPr>
          <w:pgSz w:w="11900" w:h="16838" w:orient="portrait"/>
          <w:cols w:equalWidth="0" w:num="1">
            <w:col w:w="11120"/>
          </w:cols>
          <w:pgMar w:left="320" w:top="459" w:right="4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560" w:type="dxa"/>
            <w:vAlign w:val="bottom"/>
            <w:gridSpan w:val="20"/>
            <w:vMerge w:val="restart"/>
          </w:tcPr>
          <w:p>
            <w:pPr>
              <w:spacing w:after="0"/>
              <w:rPr>
                <w:sz w:val="20"/>
                <w:szCs w:val="20"/>
                <w:color w:val="auto"/>
              </w:rPr>
            </w:pPr>
            <w:r>
              <w:rPr>
                <w:rFonts w:ascii="Arial" w:cs="Arial" w:eastAsia="Arial" w:hAnsi="Arial"/>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560" w:type="dxa"/>
            <w:vAlign w:val="bottom"/>
            <w:gridSpan w:val="20"/>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CAUTIONARY STATEMENT CONCERNING FORWARD-LOOKING STATEMENTS</w:t>
            </w:r>
          </w:p>
        </w:tc>
        <w:tc>
          <w:tcPr>
            <w:tcW w:w="410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PROSPECTUS SUMMARY</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RISK FACTOR SUMMARY</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RISK FACTORS</w:t>
            </w:r>
          </w:p>
        </w:tc>
        <w:tc>
          <w:tcPr>
            <w:tcW w:w="846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USE OF PROCEEDS</w:t>
            </w:r>
          </w:p>
        </w:tc>
        <w:tc>
          <w:tcPr>
            <w:tcW w:w="898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614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8"/>
              </w:rPr>
              <w:t>QUANTITATIVE AND QUALITATIVE DISCLOSURES ABOUT MARKET RISK</w:t>
            </w:r>
          </w:p>
        </w:tc>
        <w:tc>
          <w:tcPr>
            <w:tcW w:w="2940" w:type="dxa"/>
            <w:vAlign w:val="bottom"/>
            <w:tcBorders>
              <w:top w:val="single" w:sz="8" w:color="0000EE"/>
            </w:tcBorders>
            <w:gridSpan w:val="3"/>
          </w:tcPr>
          <w:p>
            <w:pPr>
              <w:spacing w:after="0"/>
              <w:rPr>
                <w:sz w:val="17"/>
                <w:szCs w:val="17"/>
                <w:color w:val="auto"/>
              </w:rPr>
            </w:pPr>
          </w:p>
        </w:tc>
        <w:tc>
          <w:tcPr>
            <w:tcW w:w="14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BUSINESS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MANAGEMENT</w:t>
            </w:r>
          </w:p>
        </w:tc>
        <w:tc>
          <w:tcPr>
            <w:tcW w:w="926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EXECUTIVE COMPENSATION</w:t>
            </w:r>
          </w:p>
        </w:tc>
        <w:tc>
          <w:tcPr>
            <w:tcW w:w="812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w w:val="99"/>
              </w:rPr>
              <w:t>SECURITY OWNERSHIP OF CERTAIN BENEFICIAL OWNERS AND MANAGEMENT AND RELATED STOCKHOLDER MATTERS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5"/>
              </w:rPr>
              <w:t>CERTAIN RELATIONSHIPS AND RELATED TRANSACTIONS</w:t>
            </w:r>
          </w:p>
        </w:tc>
        <w:tc>
          <w:tcPr>
            <w:tcW w:w="5360" w:type="dxa"/>
            <w:vAlign w:val="bottom"/>
            <w:tcBorders>
              <w:top w:val="single" w:sz="8" w:color="0000EE"/>
            </w:tcBorders>
            <w:gridSpan w:val="5"/>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SELLING STOCKHOLDERS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PLAN OF DISTRIBUTION</w:t>
            </w:r>
          </w:p>
        </w:tc>
        <w:tc>
          <w:tcPr>
            <w:tcW w:w="834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LEGAL MATTERS</w:t>
            </w:r>
          </w:p>
        </w:tc>
        <w:tc>
          <w:tcPr>
            <w:tcW w:w="1400" w:type="dxa"/>
            <w:vAlign w:val="bottom"/>
            <w:tcBorders>
              <w:top w:val="single" w:sz="8" w:color="0000EE"/>
            </w:tcBorders>
            <w:gridSpan w:val="6"/>
          </w:tcPr>
          <w:p>
            <w:pPr>
              <w:spacing w:after="0"/>
              <w:rPr>
                <w:sz w:val="17"/>
                <w:szCs w:val="17"/>
                <w:color w:val="auto"/>
              </w:rPr>
            </w:pPr>
          </w:p>
        </w:tc>
        <w:tc>
          <w:tcPr>
            <w:tcW w:w="770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800" w:type="dxa"/>
            <w:vAlign w:val="bottom"/>
            <w:gridSpan w:val="1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sz w:val="20"/>
                <w:szCs w:val="20"/>
                <w:color w:val="auto"/>
              </w:rPr>
            </w:pPr>
            <w:r>
              <w:rPr>
                <w:rFonts w:ascii="Arial" w:cs="Arial" w:eastAsia="Arial" w:hAnsi="Arial"/>
                <w:sz w:val="18"/>
                <w:szCs w:val="18"/>
                <w:color w:val="0000EE"/>
              </w:rPr>
              <w:t>INDEX TO CONSOLIDATED FINANCIAL STATEMENTS</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146"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This prospectus contains information that you should consider when making your investment decision. Neither we, nor the Selling Stockholders, have authorized anyone to give any information or to make any representation other than those contained in this prospectus. The Selling Stockholders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this prospectus, unless the context otherwise requires, the terms “Aeglea,” the “Company,” “we,” “us,” and “our” refer to Aeglea BioTherapeutics, Inc., a Delaware corporation, and its consolidated subsidiaries.</w:t>
      </w:r>
    </w:p>
    <w:p>
      <w:pPr>
        <w:spacing w:after="0" w:line="170" w:lineRule="exact"/>
        <w:rPr>
          <w:sz w:val="20"/>
          <w:szCs w:val="20"/>
          <w:color w:val="auto"/>
        </w:rPr>
      </w:pPr>
    </w:p>
    <w:p>
      <w:pPr>
        <w:ind w:left="120" w:right="960"/>
        <w:spacing w:after="0" w:line="314" w:lineRule="auto"/>
        <w:rPr>
          <w:sz w:val="20"/>
          <w:szCs w:val="20"/>
          <w:color w:val="auto"/>
        </w:rPr>
      </w:pPr>
      <w:r>
        <w:rPr>
          <w:rFonts w:ascii="Arial" w:cs="Arial" w:eastAsia="Arial" w:hAnsi="Arial"/>
          <w:sz w:val="17"/>
          <w:szCs w:val="17"/>
          <w:color w:val="auto"/>
        </w:rPr>
        <w:t xml:space="preserve">This prospectus contains trade names, trademarks and service marks of others, which are the property of their respective owners. Solely for convenience, trademarks and trade names referred to in this prospectus may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TM symbols.</w:t>
      </w:r>
    </w:p>
    <w:p>
      <w:pPr>
        <w:spacing w:after="0" w:line="1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All references to “our product candidates,” “our programs” and “our pipeline” in this prospectus refer to the research programs with respect to which we have exercised the option to acquire intellectual property license rights to or have the option to acquire intellectual property license rights to pursuant to that certain antibody discovery and option agreement, dated May 25, 2023 and subsequently amended and restated on September 29, 2023, by and among Spyre Therapeutics, LLC, Paragon Therapeutics, Inc. (“Paragon”) and Parapyre Holding LLC (“Parapyre”) (the “Paragon Agreement”).</w:t>
      </w:r>
    </w:p>
    <w:p>
      <w:pPr>
        <w:spacing w:after="0" w:line="157"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Please be advised that on September 8, 2023, we effected a reverse stock split of our Common Stock at a ratio of 1-for-25 (the “Reverse Split”). Except as indicated otherwise, all share numbers related to our Common Stock disclosed in this prospectus have been adjusted on a post-Reverse Split basis.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15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All statements, other than statements of historical facts contained in this prospectus, including, without limitation, statements regarding: stockholder approval of the conversion rights of the Series A Preferred Stock; any future payouts under the CVR (as defined herein); our ability to achieve the expected benefits or opportunities and related timing with respect to our acquisition of Spyre or to monetize any of our legacy assets,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current or potential bank failures, as well as global events, including the ongoing military conflict in Ukraine, conflict in Israel and surrounding areas, and geopolitical tensions in China on our operations, and the receipt and timing of potential regulatory designations, approvals and commercialization of product candidates. Forward-looking statements generally relate to future events or our future financial or operating performance. Forward-looking statements generally relate to future events or our future financial or operating performance.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are disclosed in the sections titled “Risk Factors” and “Management’s Discussion and Analysis of Financial Condition and Results of Operations.”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w:t>
      </w:r>
    </w:p>
    <w:p>
      <w:pPr>
        <w:spacing w:after="0" w:line="166"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80"/>
        <w:spacing w:after="0" w:line="259" w:lineRule="auto"/>
        <w:rPr>
          <w:sz w:val="20"/>
          <w:szCs w:val="20"/>
          <w:color w:val="auto"/>
        </w:rPr>
      </w:pPr>
      <w:r>
        <w:rPr>
          <w:rFonts w:ascii="Arial" w:cs="Arial" w:eastAsia="Arial" w:hAnsi="Arial"/>
          <w:sz w:val="18"/>
          <w:szCs w:val="18"/>
          <w:i w:val="1"/>
          <w:iCs w:val="1"/>
          <w:color w:val="auto"/>
        </w:rPr>
        <w:t>This summary may not contain all the information that you should consider before investing in securities. You should read the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On June 22, 2023, we completed the Asset Acquisition pursuant to the Acquisition Agreement (as defined under the section titled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 below). Spyre is a pre-clinical stage biotechnology company that was incorporated on April 28, 2023 under the direction of Peter</w:t>
      </w:r>
      <w:r>
        <w:rPr>
          <w:rFonts w:ascii="Arial" w:cs="Arial" w:eastAsia="Arial" w:hAnsi="Arial"/>
          <w:sz w:val="18"/>
          <w:szCs w:val="18"/>
          <w:i w:val="1"/>
          <w:iCs w:val="1"/>
          <w:color w:val="auto"/>
        </w:rPr>
        <w:t xml:space="preserve"> </w:t>
      </w:r>
      <w:r>
        <w:rPr>
          <w:rFonts w:ascii="Arial" w:cs="Arial" w:eastAsia="Arial" w:hAnsi="Arial"/>
          <w:sz w:val="18"/>
          <w:szCs w:val="18"/>
          <w:color w:val="auto"/>
        </w:rPr>
        <w:t>Harwin, a Managing Member of Fairmount Funds Management LLC (“Fairmount”), for the purpose of holding rights to certain intellectual property being developed by Paragon. Fairmount is a founder of Paragon.</w:t>
      </w:r>
    </w:p>
    <w:p>
      <w:pPr>
        <w:spacing w:after="0" w:line="187"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Through the Asset Acquisition, we received the option to acquire the intellectual property rights related to four research programs (collectively, the “Option”) pursuant to the Paragon Agreement. On July 12, 2023, we exercised the Option with respect to one of these research programs to exclusively license intellectual property rights related to such research program directed to antibodies that selectively bind to a4b7 integrin and methods of using these antibodies, including methods of treating IBD using the SPY001 program. If this research program is pursued non-provisionally and matures into issued patents, we would expect those patents to expire no earlier than 2044 subject to any disclaimers or extensions. The license agreement pertaining to such research program is currently being finalized. Furthermore, as of the date of this registration statement, the Option remains unexercised with respect to the intellectual property rights related to the three remaining research programs under the Paragon Agreement. For more information on the Paragon Agreement, see discussion under the heading “</w:t>
      </w:r>
      <w:r>
        <w:rPr>
          <w:rFonts w:ascii="Arial" w:cs="Arial" w:eastAsia="Arial" w:hAnsi="Arial"/>
          <w:sz w:val="16"/>
          <w:szCs w:val="16"/>
          <w:i w:val="1"/>
          <w:iCs w:val="1"/>
          <w:color w:val="auto"/>
        </w:rPr>
        <w:t>Paragon Agreement</w:t>
      </w:r>
      <w:r>
        <w:rPr>
          <w:rFonts w:ascii="Arial" w:cs="Arial" w:eastAsia="Arial" w:hAnsi="Arial"/>
          <w:sz w:val="16"/>
          <w:szCs w:val="16"/>
          <w:color w:val="auto"/>
        </w:rPr>
        <w:t>” below.</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July 27, 2023, we announced that we entered into an agreement to sell the global rights to pegzilarginase, an investigational treatment for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rare metabolic disease Arginase 1 Deficiency, to Immedica Pharma AB (“Immedica”) for $15.0 million in upfront cash proceeds and up to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$100.0 million in contingent milestone payments (the “Immedica APA”). The sale of pegzilarginase to Immedica supersedes and terminates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license agreement between us and Immedica dated March 2021. See the section titled “</w:t>
      </w:r>
      <w:r>
        <w:rPr>
          <w:rFonts w:ascii="Arial" w:cs="Arial" w:eastAsia="Arial" w:hAnsi="Arial"/>
          <w:sz w:val="17"/>
          <w:szCs w:val="17"/>
          <w:i w:val="1"/>
          <w:iCs w:val="1"/>
          <w:color w:val="auto"/>
        </w:rPr>
        <w:t>Recent Developments</w:t>
      </w:r>
      <w:r>
        <w:rPr>
          <w:rFonts w:ascii="Arial" w:cs="Arial" w:eastAsia="Arial" w:hAnsi="Arial"/>
          <w:sz w:val="17"/>
          <w:szCs w:val="17"/>
          <w:color w:val="auto"/>
        </w:rPr>
        <w:t>” below for more information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regarding the Immedica APA.</w:t>
      </w:r>
    </w:p>
    <w:p>
      <w:pPr>
        <w:spacing w:after="0" w:line="211" w:lineRule="exact"/>
        <w:rPr>
          <w:sz w:val="20"/>
          <w:szCs w:val="20"/>
          <w:color w:val="auto"/>
        </w:rPr>
      </w:pPr>
    </w:p>
    <w:p>
      <w:pPr>
        <w:ind w:left="300"/>
        <w:spacing w:after="0" w:line="271" w:lineRule="auto"/>
        <w:rPr>
          <w:sz w:val="20"/>
          <w:szCs w:val="20"/>
          <w:color w:val="auto"/>
        </w:rPr>
      </w:pPr>
      <w:r>
        <w:rPr>
          <w:rFonts w:ascii="Arial" w:cs="Arial" w:eastAsia="Arial" w:hAnsi="Arial"/>
          <w:sz w:val="17"/>
          <w:szCs w:val="17"/>
          <w:color w:val="auto"/>
        </w:rPr>
        <w:t>Following the Asset Acquisition and the entry into the Immedica APA, we have significantly reshaped the business into a preclinical stage biotechnology company focused on developing next generation therapeutics for patients living with inflammatory bowel disease (“IBD”), including ulcerative colitis (“UC”) and Crohn’s disease (“CD”). Through the Paragon Agreement, our portfolio of novel and proprietary monoclonal antibody product candidates has the potential to address unmet needs in IBD care by improving efficacy, safety, and/or dosing convenience relative to products currently available or product candidates in development. We have purposely engineered our product candidates to bind potently and selectively to target epitopes with extended half-lives. We plan to use combinations of our proprietary antibodies and patient enrichment strategies via companion diagnostics to enhance efficacy. We intend to deliver our product candidates through convenient, infrequently self-administered, subcutaneous (“SC”) injection as a pre-filled pen.</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right="180"/>
        <w:spacing w:after="0" w:line="222" w:lineRule="auto"/>
        <w:rPr>
          <w:sz w:val="20"/>
          <w:szCs w:val="20"/>
          <w:color w:val="auto"/>
        </w:rPr>
      </w:pPr>
      <w:r>
        <w:rPr>
          <w:rFonts w:ascii="Arial" w:cs="Arial" w:eastAsia="Arial" w:hAnsi="Arial"/>
          <w:sz w:val="18"/>
          <w:szCs w:val="18"/>
          <w:i w:val="1"/>
          <w:iCs w:val="1"/>
          <w:color w:val="auto"/>
        </w:rPr>
        <w:t>On September 8</w:t>
      </w:r>
      <w:r>
        <w:rPr>
          <w:rFonts w:ascii="Arial" w:cs="Arial" w:eastAsia="Arial" w:hAnsi="Arial"/>
          <w:sz w:val="26"/>
          <w:szCs w:val="26"/>
          <w:i w:val="1"/>
          <w:iCs w:val="1"/>
          <w:color w:val="auto"/>
          <w:vertAlign w:val="superscript"/>
        </w:rPr>
        <w:t>th</w:t>
      </w:r>
      <w:r>
        <w:rPr>
          <w:rFonts w:ascii="Arial" w:cs="Arial" w:eastAsia="Arial" w:hAnsi="Arial"/>
          <w:sz w:val="18"/>
          <w:szCs w:val="18"/>
          <w:i w:val="1"/>
          <w:iCs w:val="1"/>
          <w:color w:val="auto"/>
        </w:rPr>
        <w:t>, 2023, we effected the Reverse Split, which resulted in the reverse split of our Common Stock at a ratio of 1-for-25. Readers should note that, except as indicated otherwise, all share numbers related to our Common Stock disclosed in this “Recent Developments” section have been adjusted on a post-Reverse Split basis.</w:t>
      </w:r>
    </w:p>
    <w:p>
      <w:pPr>
        <w:spacing w:after="0" w:line="205"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On June 22, 2023, we acquired in accordance with the terms of the Agreement and Plan of Merger (the “Acquisition Agreement”), by and among the Company, Aspen Merger Sub I, Inc., a Delaware corporation and a wholly owned subsidiary of the Company, Sequoia Merger Sub II, LLC, a Delaware limited liability company and wholly owned subsidiary of the Company, and Spyre, the assets of Spyre, a privately held biotechnology company advancing a pipeline of antibody therapeutics through the Paragon Agreement. Spyre was incorporated on April 28, 2023, for the purpose of holding rights to certain intellectual property being developed by Paragon.</w:t>
      </w:r>
    </w:p>
    <w:p>
      <w:pPr>
        <w:spacing w:after="0" w:line="176" w:lineRule="exact"/>
        <w:rPr>
          <w:sz w:val="20"/>
          <w:szCs w:val="20"/>
          <w:color w:val="auto"/>
        </w:rPr>
      </w:pPr>
    </w:p>
    <w:p>
      <w:pPr>
        <w:jc w:val="both"/>
        <w:ind w:left="300" w:right="40"/>
        <w:spacing w:after="0" w:line="287" w:lineRule="auto"/>
        <w:rPr>
          <w:sz w:val="20"/>
          <w:szCs w:val="20"/>
          <w:color w:val="auto"/>
        </w:rPr>
      </w:pPr>
      <w:r>
        <w:rPr>
          <w:rFonts w:ascii="Arial" w:cs="Arial" w:eastAsia="Arial" w:hAnsi="Arial"/>
          <w:sz w:val="16"/>
          <w:szCs w:val="16"/>
          <w:color w:val="auto"/>
        </w:rPr>
        <w:t>The Asset Acquisition was structured as a stock-for-stock transaction pursuant to which all of Spyre’s outstanding equity interests were exchanged based on a fixed exchange ratio of 0.5494488 to 1 for consideration from Aeglea of 517,809 shares of Common Stock and 364,887 shares of Series A Preferred Stock (convertible on a 40 to 1 basis) in addition to the assumption of outstanding and unexercised stock options to purchase</w:t>
      </w:r>
    </w:p>
    <w:p>
      <w:pPr>
        <w:spacing w:after="0" w:line="2" w:lineRule="exact"/>
        <w:rPr>
          <w:sz w:val="20"/>
          <w:szCs w:val="20"/>
          <w:color w:val="auto"/>
        </w:rPr>
      </w:pPr>
    </w:p>
    <w:p>
      <w:pPr>
        <w:jc w:val="both"/>
        <w:ind w:left="300" w:right="40"/>
        <w:spacing w:after="0" w:line="260" w:lineRule="auto"/>
        <w:rPr>
          <w:sz w:val="20"/>
          <w:szCs w:val="20"/>
          <w:color w:val="auto"/>
        </w:rPr>
      </w:pPr>
      <w:r>
        <w:rPr>
          <w:rFonts w:ascii="Arial" w:cs="Arial" w:eastAsia="Arial" w:hAnsi="Arial"/>
          <w:sz w:val="18"/>
          <w:szCs w:val="18"/>
          <w:color w:val="auto"/>
        </w:rPr>
        <w:t>2,734 shares of Common Stock from the Amended and Restated Spyre 2023 Equity Incentive Plan. The Common Stock and the Series A Preferred Stock related to the Asset Acquisition were issued to Spyre stockholders on July 7, 2023.</w:t>
      </w:r>
    </w:p>
    <w:p>
      <w:pPr>
        <w:spacing w:after="0" w:line="185"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Concurrently with the Asset Acquisition, we entered into a definitive agreement (the “Securities Purchase Agreement”) for a PIPE investment with existing and new investors (the “Investors”) to raise approximately $210 million in which the Investors were issued 721,452 shares of Series A Preferred Stock at a price of $291.08 per share. The Asset Acquisition was approved by our board of directors and the board of directors and stockholders of Spyre. The closings of the Transactions were not subject to the approval of Aeglea stockholders. Subject to Aeglea stockholder approval and certain beneficial ownership limitations set by each holder, each share of Series A Preferred Stock will automatically convert into 40 shares of Common Stock. We have filed a definitive proxy statement with the SEC to solicit such stockholder approval, among other matters, at a special meeting of Aeglea stockholders. Except as otherwise required by law (e.g. voting on a change to the authorized shares of Series A Non-Voting Preferred Stock or the rights of such shares as required by Delaware General Corporation Law) and Aeglea’s Certificate of Designation of Series A Non-Voting Convertible Preferred Stock (the “Certificate of Designation”), the Series A Preferred Stock does not have voting rights.</w:t>
      </w:r>
    </w:p>
    <w:p>
      <w:pPr>
        <w:spacing w:after="0" w:line="166"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color w:val="auto"/>
        </w:rPr>
        <w:t>In connection with the execution of the Acquisition Agreement, Aeglea and Spyre entered into stockholder support agreements (the “Support Agreements”) with certain of Aeglea’s officers and directors, which collectively own an aggregate of less than 1% of the outstanding shares of the Common Stock. The Support Agreements provide that, among other things, each of the parties thereto has agreed to vote or cause to be voted all of the shares of Common Stock owned by such stockholder in favor of the approval of the conversion of shares of the Series A Preferred Stock into shares of Common Stock in accordance with Nasdaq Stock Market Rules at Aeglea’s stockholders’ meeting to be held in connection therewith.</w:t>
      </w:r>
    </w:p>
    <w:p>
      <w:pPr>
        <w:spacing w:after="0" w:line="161" w:lineRule="exact"/>
        <w:rPr>
          <w:sz w:val="20"/>
          <w:szCs w:val="20"/>
          <w:color w:val="auto"/>
        </w:rPr>
      </w:pPr>
    </w:p>
    <w:p>
      <w:pPr>
        <w:ind w:left="300" w:right="180"/>
        <w:spacing w:after="0" w:line="257" w:lineRule="auto"/>
        <w:rPr>
          <w:sz w:val="20"/>
          <w:szCs w:val="20"/>
          <w:color w:val="auto"/>
        </w:rPr>
      </w:pPr>
      <w:r>
        <w:rPr>
          <w:rFonts w:ascii="Arial" w:cs="Arial" w:eastAsia="Arial" w:hAnsi="Arial"/>
          <w:sz w:val="18"/>
          <w:szCs w:val="18"/>
          <w:color w:val="auto"/>
        </w:rPr>
        <w:t>Concurrently and in connection with the execution of the Acquisition Agreement, certain Spyre stockholders as of immediately prior to the Asset Acquisition, and certain of the directors and officers of Aeglea as of immediately prior to the Asset Acquisition entered into lock-up agreements with Aeglea and Spyre, pursuant to which each such stockholder will be subject to a 180-day lockup on the sale or transfer of shares of Common Stock held by each such stockholder at the closing of the Asset Acquisition, including those shares received by such Spyre stockholders in the Asset Acquisition.</w:t>
      </w:r>
    </w:p>
    <w:p>
      <w:pPr>
        <w:spacing w:after="0" w:line="188"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In connection with the Asset Acquisition, a non-transferrable contingent value right (a “CVR”) was distributed to Aeglea stockholders of record as of the close of business on July 3, 2023, but was not distributed to holders of</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24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86" w:lineRule="auto"/>
        <w:rPr>
          <w:sz w:val="20"/>
          <w:szCs w:val="20"/>
          <w:color w:val="auto"/>
        </w:rPr>
      </w:pPr>
      <w:r>
        <w:rPr>
          <w:rFonts w:ascii="Arial" w:cs="Arial" w:eastAsia="Arial" w:hAnsi="Arial"/>
          <w:sz w:val="17"/>
          <w:szCs w:val="17"/>
          <w:color w:val="auto"/>
        </w:rPr>
        <w:t>shares of Common Stock or Series A Preferred Stock issued to the Investors or former stockholders of Spyre in connection with the Transactions. Holders of the CVRs will be entitled to receive cash payments from proceeds received by Aeglea for a three-year period, if any, related to the disposition or monetization of its legacy assets for a period of one year following the closing of the Asset Acquisition.</w:t>
      </w:r>
    </w:p>
    <w:p>
      <w:pPr>
        <w:spacing w:after="0" w:line="165"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On July 27, 2023, we announced that we entered the Immedica APA. The sale of pegzilarginase to Immedica supersedes and terminates the license agreement between the us and Immedica dated March 2021.</w:t>
      </w:r>
    </w:p>
    <w:p>
      <w:pPr>
        <w:spacing w:after="0" w:line="170" w:lineRule="exact"/>
        <w:rPr>
          <w:sz w:val="20"/>
          <w:szCs w:val="20"/>
          <w:color w:val="auto"/>
        </w:rPr>
      </w:pPr>
    </w:p>
    <w:p>
      <w:pPr>
        <w:ind w:left="300" w:right="180"/>
        <w:spacing w:after="0" w:line="259" w:lineRule="auto"/>
        <w:rPr>
          <w:sz w:val="20"/>
          <w:szCs w:val="20"/>
          <w:color w:val="auto"/>
        </w:rPr>
      </w:pPr>
      <w:r>
        <w:rPr>
          <w:rFonts w:ascii="Arial" w:cs="Arial" w:eastAsia="Arial" w:hAnsi="Arial"/>
          <w:sz w:val="18"/>
          <w:szCs w:val="18"/>
          <w:color w:val="auto"/>
        </w:rPr>
        <w:t>The milestone payments under the Immedica APA are contingent on formal reimbursement decisions by national authorities in key European markets and pegzilarginase approval by the United States Food and Drug Administration (the “FDA”), among other events. The upfront payment and contingent milestone payments if paid, net of expenses and adjustments, will be distributed to holders of Aeglea’s CVR pursuant to the CVR Agreement that was entered into in connection with the Asset Acquisition.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Corporation Information</w:t>
      </w:r>
    </w:p>
    <w:p>
      <w:pPr>
        <w:spacing w:after="0" w:line="121"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color w:val="auto"/>
        </w:rPr>
        <w:t>We were formed as a limited liability company under the laws of the State of Delaware in December 2013 and converted to a Delaware corporation in March 2015. On June 22, 2023, we completed the Asset Acquisition, pursuant to which all of Spyre’s outstanding equity interests were exchanged based on a fixed exchange ratio of 0.5494488 to 1 for consideration from Aeglea of 517,809 shares of Common Stock and 364,887 shares of Series A Preferred Stock in addition to the assumption of outstanding and unexercised stock options to purchase 2,734 shares of Common Stock from the Amended and Restated Spyre 2023 Equity Incentive Plan. Our principal executive offices are located at 221 Crescent Street, Building 23, Suite 105, Waltham, MA 02453, and our telephone number is (617) 651-5940.</w:t>
      </w:r>
    </w:p>
    <w:p>
      <w:pPr>
        <w:spacing w:after="0" w:line="178" w:lineRule="exact"/>
        <w:rPr>
          <w:sz w:val="20"/>
          <w:szCs w:val="20"/>
          <w:color w:val="auto"/>
        </w:rPr>
      </w:pPr>
    </w:p>
    <w:p>
      <w:pPr>
        <w:ind w:left="300" w:right="540"/>
        <w:spacing w:after="0" w:line="308" w:lineRule="auto"/>
        <w:rPr>
          <w:sz w:val="20"/>
          <w:szCs w:val="20"/>
          <w:color w:val="auto"/>
        </w:rPr>
      </w:pPr>
      <w:r>
        <w:rPr>
          <w:rFonts w:ascii="Arial" w:cs="Arial" w:eastAsia="Arial" w:hAnsi="Arial"/>
          <w:sz w:val="17"/>
          <w:szCs w:val="17"/>
          <w:color w:val="auto"/>
        </w:rPr>
        <w:t>On September 8, 2023, we effected a reverse stock split of our Common Stock at a ratio of 1-for-25. Except as indicated otherwise, all share numbers related to our Common Stock disclosed in this prospectus have been adjusted on a post-Reverse Split basis.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We are a “smaller reporting company,” meaning that the market value of our Common Stock held by non-affiliates is less than $700.0 million and our annual revenue is less than $100.0 million during the most recently completed fiscal year.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As a smaller reporting company we may choose to present only the two most recent fiscal years of audited financial statements in our Annual Report on Form 10-K and smaller reporting companies have reduced disclosure obligations regarding executive compensation.</w:t>
      </w: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79" w:lineRule="exact"/>
        <w:rPr>
          <w:sz w:val="20"/>
          <w:szCs w:val="20"/>
          <w:color w:val="auto"/>
        </w:rPr>
      </w:pPr>
    </w:p>
    <w:p>
      <w:pPr>
        <w:ind w:left="300" w:right="440"/>
        <w:spacing w:after="0" w:line="277" w:lineRule="auto"/>
        <w:rPr>
          <w:sz w:val="20"/>
          <w:szCs w:val="20"/>
          <w:color w:val="auto"/>
        </w:rPr>
      </w:pPr>
      <w:r>
        <w:rPr>
          <w:rFonts w:ascii="Arial" w:cs="Arial" w:eastAsia="Arial" w:hAnsi="Arial"/>
          <w:sz w:val="18"/>
          <w:szCs w:val="18"/>
          <w:color w:val="auto"/>
        </w:rPr>
        <w:t>Shares Offered by the Selling Securityholders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Up to (i) 8,864 shares of Common Stock, (ii) 248,560 shares of Common Stock issuable upon the conversion of 6,214 shares of Series A Preferred Stock, and (iii) 18,551,640 shares of Common Stock issuable upon the conversion of 463,791 shares of Series A Preferred Stock.</w:t>
      </w:r>
    </w:p>
    <w:p>
      <w:pPr>
        <w:spacing w:after="0" w:line="165" w:lineRule="exact"/>
        <w:rPr>
          <w:sz w:val="20"/>
          <w:szCs w:val="20"/>
          <w:color w:val="auto"/>
        </w:rPr>
      </w:pPr>
    </w:p>
    <w:p>
      <w:pPr>
        <w:sectPr>
          <w:pgSz w:w="11900" w:h="16838" w:orient="portrait"/>
          <w:cols w:equalWidth="0" w:num="2">
            <w:col w:w="2880" w:space="720"/>
            <w:col w:w="732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Terms of the Offering</w:t>
      </w:r>
    </w:p>
    <w:p>
      <w:pPr>
        <w:spacing w:after="0" w:line="20" w:lineRule="exact"/>
        <w:rPr>
          <w:sz w:val="20"/>
          <w:szCs w:val="20"/>
          <w:color w:val="auto"/>
        </w:rPr>
      </w:pPr>
      <w:r>
        <w:rPr>
          <w:sz w:val="20"/>
          <w:szCs w:val="20"/>
          <w:color w:val="auto"/>
        </w:rPr>
        <w:br w:type="column"/>
      </w:r>
    </w:p>
    <w:p>
      <w:pPr>
        <w:jc w:val="both"/>
        <w:ind w:right="60"/>
        <w:spacing w:after="0" w:line="263" w:lineRule="auto"/>
        <w:rPr>
          <w:sz w:val="20"/>
          <w:szCs w:val="20"/>
          <w:color w:val="auto"/>
        </w:rPr>
      </w:pPr>
      <w:r>
        <w:rPr>
          <w:rFonts w:ascii="Arial" w:cs="Arial" w:eastAsia="Arial" w:hAnsi="Arial"/>
          <w:sz w:val="18"/>
          <w:szCs w:val="18"/>
          <w:color w:val="auto"/>
        </w:rPr>
        <w:t>The selling securityholders will determine when and how they will dispose of the shares of Common Stock and shares of Common Stock issuable upon conversion of Series A Preferred Stock registered under this prospectus for resale.</w:t>
      </w:r>
    </w:p>
    <w:p>
      <w:pPr>
        <w:spacing w:after="0" w:line="184" w:lineRule="exact"/>
        <w:rPr>
          <w:sz w:val="20"/>
          <w:szCs w:val="20"/>
          <w:color w:val="auto"/>
        </w:rPr>
      </w:pPr>
    </w:p>
    <w:p>
      <w:pPr>
        <w:sectPr>
          <w:pgSz w:w="11900" w:h="16838" w:orient="portrait"/>
          <w:cols w:equalWidth="0" w:num="2">
            <w:col w:w="2880" w:space="720"/>
            <w:col w:w="732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Shares Outstanding</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As of November 9, 2023, there were 4,048,927 shares of our Common Stock and 1,086,339 shares of Series A Preferred Stock outstanding.</w:t>
      </w:r>
    </w:p>
    <w:p>
      <w:pPr>
        <w:spacing w:after="0" w:line="170" w:lineRule="exact"/>
        <w:rPr>
          <w:sz w:val="20"/>
          <w:szCs w:val="20"/>
          <w:color w:val="auto"/>
        </w:rPr>
      </w:pPr>
    </w:p>
    <w:p>
      <w:pPr>
        <w:sectPr>
          <w:pgSz w:w="11900" w:h="16838" w:orient="portrait"/>
          <w:cols w:equalWidth="0" w:num="2">
            <w:col w:w="2880" w:space="720"/>
            <w:col w:w="732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0"/>
        <w:spacing w:after="0" w:line="311" w:lineRule="auto"/>
        <w:rPr>
          <w:sz w:val="20"/>
          <w:szCs w:val="20"/>
          <w:color w:val="auto"/>
        </w:rPr>
      </w:pPr>
      <w:r>
        <w:rPr>
          <w:rFonts w:ascii="Arial" w:cs="Arial" w:eastAsia="Arial" w:hAnsi="Arial"/>
          <w:sz w:val="16"/>
          <w:szCs w:val="16"/>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“Use of Proceeds.”</w:t>
      </w:r>
    </w:p>
    <w:p>
      <w:pPr>
        <w:spacing w:after="0" w:line="149" w:lineRule="exact"/>
        <w:rPr>
          <w:sz w:val="20"/>
          <w:szCs w:val="20"/>
          <w:color w:val="auto"/>
        </w:rPr>
      </w:pPr>
    </w:p>
    <w:p>
      <w:pPr>
        <w:sectPr>
          <w:pgSz w:w="11900" w:h="16838" w:orient="portrait"/>
          <w:cols w:equalWidth="0" w:num="2">
            <w:col w:w="2880" w:space="720"/>
            <w:col w:w="732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80"/>
        <w:spacing w:after="0" w:line="342" w:lineRule="auto"/>
        <w:rPr>
          <w:sz w:val="20"/>
          <w:szCs w:val="20"/>
          <w:color w:val="auto"/>
        </w:rPr>
      </w:pPr>
      <w:r>
        <w:rPr>
          <w:rFonts w:ascii="Arial" w:cs="Arial" w:eastAsia="Arial" w:hAnsi="Arial"/>
          <w:sz w:val="16"/>
          <w:szCs w:val="16"/>
          <w:color w:val="auto"/>
        </w:rPr>
        <w:t>See the section titled “Risk Factors” and other information included in this prospectus for a discussion of factors that you should consider carefully before deciding to invest in our securities.</w:t>
      </w:r>
    </w:p>
    <w:p>
      <w:pPr>
        <w:spacing w:after="0" w:line="124" w:lineRule="exact"/>
        <w:rPr>
          <w:sz w:val="20"/>
          <w:szCs w:val="20"/>
          <w:color w:val="auto"/>
        </w:rPr>
      </w:pPr>
    </w:p>
    <w:p>
      <w:pPr>
        <w:sectPr>
          <w:pgSz w:w="11900" w:h="16838" w:orient="portrait"/>
          <w:cols w:equalWidth="0" w:num="2">
            <w:col w:w="2880" w:space="720"/>
            <w:col w:w="732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Trading Markets and Ticker Symbols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listed on The Nasdaq Capital Market under the symbol “AGLE.”</w:t>
      </w:r>
    </w:p>
    <w:p>
      <w:pPr>
        <w:spacing w:after="0" w:line="200" w:lineRule="exact"/>
        <w:rPr>
          <w:sz w:val="20"/>
          <w:szCs w:val="20"/>
          <w:color w:val="auto"/>
        </w:rPr>
      </w:pPr>
    </w:p>
    <w:p>
      <w:pPr>
        <w:sectPr>
          <w:pgSz w:w="11900" w:h="16838" w:orient="portrait"/>
          <w:cols w:equalWidth="0" w:num="2">
            <w:col w:w="3000" w:space="600"/>
            <w:col w:w="7320"/>
          </w:cols>
          <w:pgMar w:left="320" w:top="459" w:right="65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number of issued and outstanding shares of Common Stock does not include the following, as of November 9, 2023:</w:t>
      </w:r>
    </w:p>
    <w:p>
      <w:pPr>
        <w:spacing w:after="0" w:line="131" w:lineRule="exact"/>
        <w:rPr>
          <w:sz w:val="20"/>
          <w:szCs w:val="20"/>
          <w:color w:val="auto"/>
        </w:rPr>
      </w:pPr>
    </w:p>
    <w:p>
      <w:pPr>
        <w:ind w:left="1240" w:hanging="415"/>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43,453,560 shares of Common Stock issuable upon the conversion of 1,086,339 shares of Series A Preferred Stock;</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3,029 shares of Common Stock reserved for issuance under our 2015 Equity Incentive Plan;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487,426 shares of Common Stock reserved for issuance under our 2016 Equity Incentive Plan, as amended and restated;</w:t>
      </w:r>
    </w:p>
    <w:p>
      <w:pPr>
        <w:spacing w:after="0" w:line="142" w:lineRule="exact"/>
        <w:rPr>
          <w:rFonts w:ascii="Arial" w:cs="Arial" w:eastAsia="Arial" w:hAnsi="Arial"/>
          <w:sz w:val="17"/>
          <w:szCs w:val="17"/>
          <w:color w:val="auto"/>
        </w:rPr>
      </w:pPr>
    </w:p>
    <w:p>
      <w:pPr>
        <w:ind w:left="1240" w:right="460" w:hanging="415"/>
        <w:spacing w:after="0" w:line="277"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2,283,709 shares of Common Stock reserved for issuance upon the exercise of stock options issued contingent upon stockholder approval of an amendment and restatement of the 2016 Equity Incentive Plan;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6,044,000 shares of Common Stock reserved for issuance under our 2018 Equity Inducement Plan, as amended;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72,404 shares of Common Stock reserved for issuance pursuant to our 2016 Employee Stock Purchase Plan;</w:t>
      </w:r>
    </w:p>
    <w:p>
      <w:pPr>
        <w:spacing w:after="0" w:line="130"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250,000 shares of Common Stock reserved for issuance upon the exercise of 250,000 pre-funded warrants to acquire shares of Common Stock;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
        </w:numPr>
        <w:rPr>
          <w:rFonts w:ascii="Arial" w:cs="Arial" w:eastAsia="Arial" w:hAnsi="Arial"/>
          <w:sz w:val="15"/>
          <w:szCs w:val="15"/>
          <w:color w:val="auto"/>
        </w:rPr>
      </w:pPr>
      <w:r>
        <w:rPr>
          <w:rFonts w:ascii="Arial" w:cs="Arial" w:eastAsia="Arial" w:hAnsi="Arial"/>
          <w:sz w:val="15"/>
          <w:szCs w:val="15"/>
          <w:color w:val="auto"/>
        </w:rPr>
        <w:t>121,871 shares of Common Stock reserved for issuance under the Spyre 2023 Equity Incentive Plan, as amended and assumed by us.</w:t>
      </w:r>
    </w:p>
    <w:p>
      <w:pPr>
        <w:spacing w:after="0" w:line="260" w:lineRule="exact"/>
        <w:rPr>
          <w:sz w:val="20"/>
          <w:szCs w:val="20"/>
          <w:color w:val="auto"/>
        </w:rPr>
      </w:pPr>
    </w:p>
    <w:p>
      <w:pPr>
        <w:ind w:left="300" w:right="180"/>
        <w:spacing w:after="0" w:line="277" w:lineRule="auto"/>
        <w:rPr>
          <w:sz w:val="20"/>
          <w:szCs w:val="20"/>
          <w:color w:val="auto"/>
        </w:rPr>
      </w:pPr>
      <w:r>
        <w:rPr>
          <w:rFonts w:ascii="Arial" w:cs="Arial" w:eastAsia="Arial" w:hAnsi="Arial"/>
          <w:sz w:val="18"/>
          <w:szCs w:val="18"/>
          <w:color w:val="auto"/>
        </w:rPr>
        <w:t>Except as indicated otherwise, all share numbers related to our Common Stock disclosed in this prospectus have been adjusted on a post-Reverse Split basis.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concerning the offering, see the section titled “Plan of Distribution.”</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428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7428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 FACTOR SUMMARY</w:t>
      </w:r>
    </w:p>
    <w:p>
      <w:pPr>
        <w:spacing w:after="0" w:line="162"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prospectus and those we may make from time to time. You should consider all of the risk factors described in our public filings when evaluating our business.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81" w:lineRule="exact"/>
        <w:rPr>
          <w:sz w:val="20"/>
          <w:szCs w:val="20"/>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no guarantee that our acquisition of Spyre will increase stockholder value.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not be able to continue as a going concern if we are unable to raise additional capital when needed.</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never generated any revenue from product sales and may never be profitable.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anticipate that we will continue to incur significant losses for the foreseeable future.</w:t>
      </w:r>
    </w:p>
    <w:p>
      <w:pPr>
        <w:spacing w:after="0" w:line="76"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able to raise the capital that we need to support our business plans and raising additional capital may cause dilution to our stockholders and restrict our operations.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Discovery, Development and Commercialization</w:t>
      </w:r>
    </w:p>
    <w:p>
      <w:pPr>
        <w:spacing w:after="0" w:line="81"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competition from companies that have developed or may develop competing programs.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programs are in preclinical stages of development and may fail in development or suffer delays.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substantially dependent on the success of the SPY001 and SPY002 programs.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achieve our projected development goals in the time frames we announce and expect.</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programs with commercial value.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studies and trials may not be sufficient to support regulatory approval of any of our programs.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difficulties enrolling patients in our future clinical trials.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Preliminary or “topline” data from our clinical trials may change as more data becomes available.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clinical trials may reveal significant adverse events or side effects.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capitalize on more profitable or potentially successful programs than those we pursue.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of our future approved products may not achieve regulatory approval, market acceptance or commercial success.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of our programs may compete with our other programs.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may not accept data from clinical trials we conduct at sites outside the United States.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81" w:lineRule="exact"/>
        <w:rPr>
          <w:sz w:val="20"/>
          <w:szCs w:val="20"/>
          <w:color w:val="auto"/>
        </w:rPr>
      </w:pPr>
    </w:p>
    <w:p>
      <w:pPr>
        <w:ind w:left="1240" w:right="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and comparable foreign regulatory approval processes are lengthy and time-consuming and we may not be able to obtain or may be delayed in obtaining regulatory approvals for our programs.</w:t>
      </w:r>
    </w:p>
    <w:p>
      <w:pPr>
        <w:spacing w:after="0" w:line="21"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meet requirements for chemistry, manufacturing and control of our programs.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programs may face competition sooner than anticipated.</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receive regulatory approval, we will be subject to extensive ongoing regulatory obligations.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difficulties from healthcare legislative reform measures.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operations and arrangements with third-parties are subject to healthcare regulatory laws.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offer programs at competitive prices.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criminal liability or other consequences for violations of U.S. and foreign trade regulations.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governments may impose strict price controls, which may adversely affect our revenue.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Fast Track Designation we may pursue may not hasten development or regulatory review.</w:t>
      </w: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796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77965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1"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patents and other proprietary rights is uncertain.</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in obtaining or maintaining necessary rights to our programs.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patent infringement claims or may need to file such claims.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subject to claims of wrongful hiring of employees or wrongful use of confidential information.</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patents and our ability to protect our products may be impaired by changes to patent laws.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patent protection could be reduced or eliminated for non-compliance with regulatory requirements.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identify or interpret relevant third-party patents.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subject to claims challenging the inventorship or ownership of our intellectual property.</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of our programs.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technology licensed from various third parties may be subject to retained rights.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81"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maintain collaborations and licensing arrangements with third parties that we rely on.</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Third-parties we rely on for preclinical studies and clinical trials may fail to carry out their contractual duties.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unable to use third-party manufacturing sites or our third-party manufacturers may encounter difficulties in production.</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81"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managing the growth of our organization.</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attract or retain highly qualified personnel.</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in foreign markets is subject to regulatory burdens, risks and uncertainties.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employees or third-parties may engage in misconduct or other improper activities.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impacted by security or data breaches or other improper access to our data.</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comply with privacy and data security regulations.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comply with environmental, health and safety laws and regulations.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adverse legislative or regulatory tax changes.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realize the benefits of our business or product acquisitions or our strategic alliances.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impacted by the failure of financial institutions.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Common Stock</w:t>
      </w:r>
    </w:p>
    <w:p>
      <w:pPr>
        <w:spacing w:after="0" w:line="81"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obtain stockholder approval of the conversion of our Series A Preferred Stock.</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certificate of incorporation, Delaware law and certain contracts include anti-takeover provisions.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certificate of incorporation and bylaws contain exclusive forum provisions.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anticipate paying any dividends in the foreseeable future.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shares by existing stockholders could cause our stock price to decline.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and issuances of equity and debt could result in additional dilution to our stockholders.</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principal stockholders own a significant percentage of our stock.</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81"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Common Stock has historically been volatile and may drop in the future.</w:t>
      </w:r>
    </w:p>
    <w:p>
      <w:pPr>
        <w:spacing w:after="0" w:line="76"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incur significant costs as associated with complying with public company reporting requirements.</w:t>
      </w:r>
    </w:p>
    <w:p>
      <w:pPr>
        <w:spacing w:after="0" w:line="76"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lack of analyst coverage may cause a decline in our stock price or trading volume. We may fail to maintain proper and effective internal controls.</w:t>
      </w:r>
    </w:p>
    <w:p>
      <w:pPr>
        <w:sectPr>
          <w:pgSz w:w="11900" w:h="16838" w:orient="portrait"/>
          <w:cols w:equalWidth="0" w:num="1">
            <w:col w:w="10660"/>
          </w:cols>
          <w:pgMar w:left="320" w:top="459" w:right="919" w:bottom="1440" w:gutter="0" w:footer="0" w:header="0"/>
        </w:sectPr>
      </w:pP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660"/>
          </w:cols>
          <w:pgMar w:left="320" w:top="459" w:right="9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no guarantee that our Asset Acquisition will increase stockholder value.</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June 2023, we acquired Spyre. We cannot guarantee that implementing the Asset Acquisition and related transactions will not impair stockholder value or otherwise adversely affect our business. The Asset Acquisition poses significant integration challenges between our businesses and management teams which could result in management and business disruptions, any of which could harm our results of operation, business prospects, and impair the value of the Asset Acquisition to our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need to raise additional capital, and if we are unable to do so when needed, we will not be able to continue as a going concern.</w:t>
      </w:r>
    </w:p>
    <w:p>
      <w:pPr>
        <w:spacing w:after="0" w:line="12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most recent Quarterly Report on Form 10-Q filed on November 9, 2023 includes disclosures regarding our management’s assessment of our ability to continue as a going concern. As of September 30, 2023, we had $203.6 million of cash, cash equivalents, and marketable securities. We will need to raise additional capital to continue to fund our operations and service our debt obligations in the future. If we are unable to raise additional capital when needed, we will not be able to continue as a going concern. If our stockholders do not timely approve the conversion of our Series A Preferred Stock, then the holders of our Series A Preferred Stock may be entitled to require us to settle their shares of Series A Preferred Stock for cash at a price per share equal to the fair value of the Series A Preferred Stock, as described in our Certificate of Designation relating to the Series A Preferred Stock. We expect we would have sufficient liquidity to settle a significant amount of the Series A Preferred Stock, if required to do so. However, the cash redemption is not under our control and raises substantial doubt about our ability to continue as a going concern. Accordingly, management has concluded that there is substantial doubt in our ability to continue as a going concern. The report of our independent registered public accountant on our audited consolidated financial statements as of December 31, 2022 and 2021 and for each of the three years in the period ended December 31, 2022 (the “2022 Annual Financials”) also includes an explanatory paragraph describing the existence of substantial doubt about our ability to continue as a going concern. See Note 1 to our 2022 Annual Financials appearing elsewhere in this prospectus for further information. The consolidated financial statements included in this prospectus assume the Company will continue as a going concern through the realization of assets and satisfaction of liabilities and commitments in the ordinary course of business.</w:t>
      </w:r>
    </w:p>
    <w:p>
      <w:pPr>
        <w:spacing w:after="0" w:line="18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Developing our product candidates requires a substantial amount of capital. We expect our research and development expenses to increase in connection with our ongoing activities, particularly as we advance our product candidates through clinical trials. We will need to raise additional capital to fund our operations and such funding may not be available to us on acceptable terms, or at all, and such funding may become even more difficult to obtain due to rising interest rates and the current downturn in the U.S. capital markets and the biotechnology sector in general. Competition for additional capital among biotechnology companies may be particularly intense during this present economic downturn. We may be unable to raise capital through public offerings of our Common Stock and may need to turn to alternative financing arrangements. Such arrangements, if we pursue them,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Interest on any newly-issued debt securities and/or newly-incurred borrowings would increase our operating costs and reduce our net income (or increase our net loss), and these impacts may be material. If the issuance of new securities results in diminished rights to holders of our Common Stock, the market price of our Common Stock could be materially and adversely affected.</w:t>
      </w:r>
    </w:p>
    <w:p>
      <w:pPr>
        <w:spacing w:after="0" w:line="16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do not currently have any products approved for sale and do not generate any revenue from product sales. Accordingly, we expect to rely primarily on equity and/or debt financings to fund our continued operations.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ability to raise additional funds will depend, in part, on the success of our preclinical studies and clinical trials and other product development activities, regulatory events, our ability to identify and enter into 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unable to raise additional capital when required or on acceptable terms, we may be required to:</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delay, scale back, or discontinue the development or commercialization of our product candidates;</w:t>
      </w:r>
    </w:p>
    <w:p>
      <w:pPr>
        <w:spacing w:after="0" w:line="130" w:lineRule="exact"/>
        <w:rPr>
          <w:rFonts w:ascii="Arial" w:cs="Arial" w:eastAsia="Arial" w:hAnsi="Arial"/>
          <w:sz w:val="18"/>
          <w:szCs w:val="18"/>
          <w:color w:val="auto"/>
        </w:rPr>
      </w:pPr>
    </w:p>
    <w:p>
      <w:pPr>
        <w:ind w:left="1080" w:right="46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strategic partnerships, or amend existing partnerships, for research and development programs at an earlier stage than otherwise would be desirable or that we otherwise would have sought to develop independently, or on terms that are less favorable than might otherwise be available in the future;</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dispose of technology assets, or relinquish or license on unfavorable terms, our rights to technologies or any of our product candidates that we otherwise would seek to develop or commercialize ourselves;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the sale of our company to a third party at a price that may result in a loss on investment for our stockholders;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 for bankruptcy or cease operations altogether (and face any related legal proceedings).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these events could have a material adverse effect on our business, operating results, and prospects.</w:t>
      </w:r>
    </w:p>
    <w:p>
      <w:pPr>
        <w:spacing w:after="0" w:line="225"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Even if successful in raising new capital, we could be limited in the amount of capital we raise due to investor demand restrictions placed on the amount of capital we raise or other reasons. For example, we are currently subject to the limitations set forth in Instruction I.B.6 of Form S-3.</w:t>
      </w:r>
    </w:p>
    <w:p>
      <w:pPr>
        <w:spacing w:after="0" w:line="1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Additionally, any capital raising efforts are subject to significant risks and contingencies, as described in more detail under the risk factor titled “</w:t>
      </w:r>
      <w:r>
        <w:rPr>
          <w:rFonts w:ascii="Arial" w:cs="Arial" w:eastAsia="Arial" w:hAnsi="Arial"/>
          <w:sz w:val="18"/>
          <w:szCs w:val="18"/>
          <w:i w:val="1"/>
          <w:iCs w:val="1"/>
          <w:color w:val="auto"/>
        </w:rPr>
        <w:t>Raising</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additional capital may cause dilution to our stockholders, restrict our operations, or require us to relinquish rights.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no products approved for commercialization and have never generated any revenue from product sales. Our ability to generate revenue and achieve profitability depends on our ability, alone or with strategic collaborators,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w:t>
      </w:r>
    </w:p>
    <w:p>
      <w:pPr>
        <w:spacing w:after="0" w:line="9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research and development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and marketing approvals for our product candidates for which we complete clinical trials;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third-party payors for any product candidates for which we obtain regulatory and marketing approval;</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launching, and commercializing product candidates for which we obtain regulatory and marketing approval, either directly or with a collaborator or distributor;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gaining market acceptance of our product candidates as treatment options;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products and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internal systems and infrastructure, as needed;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protecting and enforcing our intellectual property rights, including patents, trade secrets, and know-how;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coverage and adequate reimbursement from third-party payors and maintaining pricing for our product candidates that supports profitability;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perform clinical and other studies in addition to those that we anticipate. Even if we are able to generate revenues from the sale of any approved products, we may not become profitable and may need to obtain additional funding to continue operations. Portions of the research programs with respect to which we have exercised the Option to acquire intellectual property license rights to or have the Option to acquire intellectual property license rights to pursuant to the Paragon Agreement may be in-licensed from third parties, which make the commercial sale of such in-licensed products potentially subject to additional royalty and milestone payments to such third parties. We will also have to develop or acquire manufacturing capabilities or continue to contract with contract manufacturers in order to continue development and potential commercialization of our product candidates. For instance, if the costs of manufacturing our drug product are not commercially feasible, we will need to develop or procure our drug product in a commercially feasible manner in order to successfully commercialize a future approved product, if any. Additionally, if we are not able to generate revenue from the sale of any approved products, we may never become profitable.</w:t>
      </w:r>
    </w:p>
    <w:p>
      <w:pPr>
        <w:spacing w:after="0" w:line="29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have historically incurred losses, have a limited operating history on which to assess our business, and anticipate that we will continue to incur significant losses for the foreseeable future.</w:t>
      </w:r>
    </w:p>
    <w:p>
      <w:pPr>
        <w:spacing w:after="0" w:line="62"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We are a biopharmaceutical company with a limited operating history. Since inception, we have incurred significant operating losses. For the three and nine months ended September 30, 2023, we reported a net loss of $40.1 million and $275.6 million, respectively. For the years ended December 31, 2022 and 2021, we reported a net loss of $83.8 million and $65.8 million, respectively. As of September 30, 2023, we had an accumulated deficit of $701.2 million. We will need to raise substantial additional capital to continue to fund our operations in the future. If our stockholders do not timely approve the conversion of our Series A Preferred Stock, then the holders of our Series A Preferred Stock may be entitled to require us to settle their shares of Series A Preferred Stock for cash at a price per share equal to the fair value of the Series A Preferred Stock, as described in our certificate of designation relating to the Series A Preferred Stock. The cash redemption is not under our control and raises substantial doubt about our ability to continue as a going concern. The consolidated financial statements included in this prospectus assume the Company will continue as a going concern through the realization of assets and satisfaction of liabilities and commitments in the ordinary course of business.</w:t>
      </w:r>
    </w:p>
    <w:p>
      <w:pPr>
        <w:spacing w:after="0" w:line="16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Failure to raise capital as and when needed, on favorable terms or at all, would have a negative impact on our financial condition and our ability to develop our product candidates. Changing circumstances may cause us to consume capital significantly faster or slower than we currently anticipate. If we are unable to acquire additional capital or resources, we will be required to modify our operational plans to complete future milestones and we may be required to delay, limit, reduce or eliminate development or future commercialization efforts of product candidates and/or programs. 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or entering into strategic collaborations.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have devoted substantially all of our financial resources to identify, acquire, and develop our product candidates, including conducting clinical trials and providing general and administrative support for our operations. To date, we have funded our operations primarily from the sale and issuance of convertible preferred and common equity securities, pre-funded warrants, the collection of grant proceeds, and the licensing of our product rights for commercialization of pegzilarginase in Europe and certain countries in the Middle East. The amount of our future net losses will depend, in part, on the rate of our future expenditures and our ability to obtain funding through equity or debt financings, strategic collaborations, or grants. Biopharmaceutical product development is a highly speculative undertaking and involves a substantial degree of risk. We expect our losses to increase as our product candidates enter more advanced clinical trials. It may be several years, if ever, before we complete pivotal clinical trials or have a product candidate approved for commercialization. We expect to invest significant funds into the research and development of our current product candidates to determine the potential to advance these product candidates to regulatory approval.</w:t>
      </w:r>
    </w:p>
    <w:p>
      <w:pPr>
        <w:spacing w:after="0" w:line="181"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our products.</w:t>
      </w:r>
    </w:p>
    <w:p>
      <w:pPr>
        <w:spacing w:after="0" w:line="176"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and our expenses will increase substantially if and as we:</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preclinical development and initiate the clinical development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efforts to discover and develop new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manufacturing of our product candidates or increase volumes manufactured by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our product candidates into larger, more expensive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additional preclinical studies or clinical trials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and marketing approvals and reimbursement for our product candidates;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 market for ourselves;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assess, acquire, and/or develop other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milestone, royalty, or other payments under third-party license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penalties under our registration rights agreement for failing to timely register the applicable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attract and retain skilled personnel; and</w:t>
      </w:r>
    </w:p>
    <w:p>
      <w:pPr>
        <w:spacing w:after="0" w:line="130" w:lineRule="exact"/>
        <w:rPr>
          <w:rFonts w:ascii="Arial" w:cs="Arial" w:eastAsia="Arial" w:hAnsi="Arial"/>
          <w:sz w:val="18"/>
          <w:szCs w:val="18"/>
          <w:color w:val="auto"/>
        </w:rPr>
      </w:pPr>
    </w:p>
    <w:p>
      <w:pPr>
        <w:jc w:val="both"/>
        <w:ind w:left="1080" w:right="660" w:hanging="424"/>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experience any delays or encounter issues with the development and potential for regulatory approval of our clinical and product candidates such as safety issues, manufacturing delays, clinical trial accrual delays, longer follow-up for planned studies or trials, additional major studies or trials, or supportive trials necessary to support marketing approval.</w:t>
      </w:r>
    </w:p>
    <w:p>
      <w:pPr>
        <w:spacing w:after="0" w:line="16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Until such time, if ever, as we can generate substantial revenue from the sale of our product candidates, we expect to finance our cash needs through a combination of equity offerings, debt financings and license and development agreements. To the extent that we raise additional capital through the sale of equity securities or convertible debt securities, the ownership interest of our stockholders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or grant rights to third parties to develop and market product candidates that we would otherwise prefer to develop and market ourselves.</w:t>
      </w:r>
    </w:p>
    <w:p>
      <w:pPr>
        <w:spacing w:after="0" w:line="18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To the extent that we raise additional capital through the sale of equity, including pursuant to any sales under convertible debt or other securities convertible into equity, the ownership interest of our stockholders will be diluted, and the terms of these new securities may include liquidation or other preferences that adversely affect the rights of our stockholders. For instance, in June 2023, we sold 721,452 shares of our Series A Preferred Stock in the PIPE to the Investors for gross proceeds of approximately $210.0 million. Subject to receiving the requisite stockholder approval and certain beneficial ownership limitations set by each holder of Series A Preferred Stock, each share of Series A Preferred Stock will automatically convert into an aggregate of 40 shares of our Common Stock. We are required to solicit the consent of our stockholders with regard to conversion of the shares of our Series A Preferred Stock, which will be voted on at the Special Meeting. If our stockholders fail to approve such matters, we may be subject to financial penalties that could materially harm our business, including the forced settlement of shares of Series A Preferred Stock for cash, as described in the Certificate of Designation.</w:t>
      </w:r>
    </w:p>
    <w:p>
      <w:pPr>
        <w:spacing w:after="0" w:line="19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Debt financing, if available,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be assured that we will be able to obtain additional funding if and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Discovery, Development and Commercialization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competition from entities that have developed or may develop programs for the diseases addressed by our programs.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development and commercialization of drugs is highly competitive. Our programs,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which we are currently competing or will complete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registration for clinical trials, as well as in acquiring technologies complementary to, or necessary for, our programs.</w:t>
      </w:r>
    </w:p>
    <w:p>
      <w:pPr>
        <w:spacing w:after="0" w:line="19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w:t>
      </w:r>
    </w:p>
    <w:p>
      <w:pPr>
        <w:spacing w:after="0" w:line="17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addition, because of the competitive landscape for inflammatory and immunology (“I&amp;I”) indications, we may also face competition for clinical trial enrollment. Patient enrollment will depend on many factors, including if potential clinical trial patients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patients could, among others, delay our development timeline, which may further harm our competitive position.</w:t>
      </w:r>
    </w:p>
    <w:p>
      <w:pPr>
        <w:spacing w:after="0" w:line="269" w:lineRule="exact"/>
        <w:rPr>
          <w:sz w:val="20"/>
          <w:szCs w:val="20"/>
          <w:color w:val="auto"/>
        </w:rPr>
      </w:pPr>
    </w:p>
    <w:p>
      <w:pPr>
        <w:jc w:val="both"/>
        <w:ind w:left="120" w:right="580"/>
        <w:spacing w:after="0" w:line="286" w:lineRule="auto"/>
        <w:rPr>
          <w:sz w:val="20"/>
          <w:szCs w:val="20"/>
          <w:color w:val="auto"/>
        </w:rPr>
      </w:pPr>
      <w:r>
        <w:rPr>
          <w:rFonts w:ascii="Arial" w:cs="Arial" w:eastAsia="Arial" w:hAnsi="Arial"/>
          <w:sz w:val="17"/>
          <w:szCs w:val="17"/>
          <w:b w:val="1"/>
          <w:bCs w:val="1"/>
          <w:i w:val="1"/>
          <w:iCs w:val="1"/>
          <w:color w:val="auto"/>
        </w:rPr>
        <w:t>Our programs are in preclinical stages of development and may fail in development or suffer delays that materially and adversely affect their commercial viability. If we or our current or future collaborators are unable to complete development of, or commercialize our programs, or experience significant delays in doing so, our business will be materially harmed.</w:t>
      </w:r>
    </w:p>
    <w:p>
      <w:pPr>
        <w:spacing w:after="0" w:line="5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have no products on the market and all of our programs are in preclinical stages of development and have not been tested in humans. As a result, we expect it will be many years before we commercialize any program, if ever. Our ability to achieve and sustain profitability depends on obtaining regulatory approvals for, and successfully commercializing, our programs, either alone or with third parties, and we cannot guarantee you that we will ever obtain regulatory approval for any of our programs. We have not yet demonstrated our ability to initiate or complete any clinical trials, obtain regulatory approvals, manufacture a clinical development or commercial scale product or arrange for a third party to do so on our behalf, or conduct sales and marketing activities necessary for successful product commercialization. Before obtaining regulatory approval for the commercial distribution of our programs, we or an existing or future collaborator must conduct extensive preclinical tests and clinical trials to demonstrate the safety and efficacy in humans of our programs and future product candidates.</w:t>
      </w:r>
    </w:p>
    <w:p>
      <w:pPr>
        <w:spacing w:after="0" w:line="17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or our collaborators may experience delays in initiating or completing clinical trials. We or our collaborators also may experience numerous unforeseen events during, or as a result of, any current or future clinical trials that we could conduct that could delay or prevent our ability to receive marketing approval or commercialize our current programs or any future programs, including:</w:t>
      </w:r>
    </w:p>
    <w:p>
      <w:pPr>
        <w:spacing w:after="0" w:line="89" w:lineRule="exact"/>
        <w:rPr>
          <w:sz w:val="20"/>
          <w:szCs w:val="20"/>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institutional review boards (“IRBs”), the FDA or ethics committees may not authorize us or our investigators to commence a clinical trial or conduct a clinical trial at a prospective trial site;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30"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any programs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89" w:lineRule="exact"/>
        <w:rPr>
          <w:rFonts w:ascii="Arial" w:cs="Arial" w:eastAsia="Arial" w:hAnsi="Arial"/>
          <w:sz w:val="18"/>
          <w:szCs w:val="18"/>
          <w:color w:val="auto"/>
        </w:rPr>
      </w:pPr>
    </w:p>
    <w:p>
      <w:pPr>
        <w:jc w:val="both"/>
        <w:ind w:left="1080" w:right="60" w:hanging="424"/>
        <w:spacing w:after="0" w:line="286"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subjects required for clinical trials of any programs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p>
      <w:pPr>
        <w:spacing w:after="0" w:line="70"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of any of our programs may be greater than we anticipate;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of our programs or other materials necessary to conduct clinical trials of our programs may be inadequate to initiate or complete a given clinical trial;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programs for use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from clinical testing of other therapies may raise safety or efficacy concerns about our programs;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establish an appropriate safety profile for a program based on clinical or preclinical data for such programs as well as data emerging from other therapies in the same class as our programs; and</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70"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Commencing clinical trials in the United States is subject to acceptance by the FDA of an investigational new drug application (“IND”), biologics license application (“BLA”) or similar application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equivalent processes and risks applicable to clinical trial applications in other countries, including countries in the European Union (“EU”).</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may not have the financial resources to continue development of, or to modify existing or enter into new collaborations for, a program if we experience any issues that delay or prevent regulatory approval of, or our ability to commercialize, our programs. We or our current or future collaborators’ inability to complete development of, or commercialize our programs, or significant delays in doing so, could have a material and adverse effect on our business, financial condition, results of operations and prospects.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two most advanced programs, SPY001 and SPY002, and our anticipated clinical trials of such programs may not be successful.</w:t>
      </w:r>
    </w:p>
    <w:p>
      <w:pPr>
        <w:spacing w:after="0" w:line="62"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Our future success is substantially dependent on our ability to timely obtain marketing approval for, and then successfully commercialize, our two most advanced programs, SPY001 and SPY002. We exercised our Option with respect to the SPY001 program on July 12, 2023 and we continue to hold the unexercised Option with respect to the SPY002 program. We are investing a majority of our efforts and financial resources into the research and development of these programs. We anticipate initiating a Phase 1 clinical trial in healthy volunteers of SPY001 in the first half of 2024 and of SPY002 in the second half of 2024, each subject to the filing of an IND or foreign equivalent and regulatory approval. The success of our programs is dependent on observing a longer half-life of our programs in humans than other mAbs currently marketed and in development as we believe this longer half-life has the potential to result in a more favorable dosing schedule for our programs, assuming they successfully complete clinical development and obtain marketing approval. This is based in part on the assumption that the longer half-life we have observed in non-human primates (“NHPs”) will translate into an extended half-life of our programs in humans. To the extent we do not observe this extended half-life when we dose humans with our programs, it would significantly and adversely affect the clinical and commercial potential of our programs.</w:t>
      </w:r>
    </w:p>
    <w:p>
      <w:pPr>
        <w:spacing w:after="0" w:line="16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programs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programs, or any other programs, before we receive marketing approval from the FDA and comparable foreign regulatory authorities, and we may never receive such marketing approvals.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success of our programs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Accordingly, we cannot assure you that we will ever be able to generate revenue through the sale of these programs, even if approved. If we are not successful in commercializing our SPY001 or SPY002 programs, or are significantly delayed in doing so, our business will be materially harmed.</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programs may be delayed and our expenses may increase and, as a result, our stock price may decline.</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for the anticipated commencement of our Phase 1 clinical trials in IBD,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27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programs is unproven, and we may not be successful in our efforts to build a pipeline of programs with commercial value.</w:t>
      </w:r>
    </w:p>
    <w:p>
      <w:pPr>
        <w:spacing w:after="0" w:line="6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approach to the discovery and development of the research programs with respect to which we have exercised the Option to acquire intellectual property license rights to or have the Option to acquire intellectual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property license rights to pursuant to the Paragon Agreement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including YTE and LS amino acid substitutions, is ongoing and may not result in viable programs. We have limited clinical data on product candidates utilizing YTE and LS half-life extension technologies, especially in I&amp;I indications, demonstrating whether they are safe or effective for long-term treatment in humans. The long-term safety and efficacy of these technologies and the extended half-life and exposure profile of our programs compared to currently approved products is unknown.</w:t>
      </w:r>
    </w:p>
    <w:p>
      <w:pPr>
        <w:spacing w:after="0" w:line="16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may ultimately discover that utilizing half-life extension technologies for our specific targets and indications and any programs resulting therefrom do not possess certain properties required for therapeutic effectiveness. We currently have only preclinical data regarding the increased half-life properties of our programs and the same results may not be seen in humans. In addition, programs using half-life extension technologies may demonstrate different chemical and pharmacological properties in patients than they do in laboratory studies. This technology and any programs resulting therefrom may not demonstrate the same chemical and pharmacological properties in humans and may interact with human biological systems in unforeseen, ineffective or harmful ways.</w:t>
      </w:r>
    </w:p>
    <w:p>
      <w:pPr>
        <w:spacing w:after="0" w:line="19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program.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the research programs with respect to which we have exercised the Option to acquire intellectual property license rights to or have the Option to acquire intellectual property license rights to pursuant to the Paragon Agreement prove to be ineffective, unsafe or commercially unviable, such programs would have little, if any, value, which would have a material and adverse effect on our business, financial condition, results of operations and prospects.</w:t>
      </w:r>
    </w:p>
    <w:p>
      <w:pPr>
        <w:spacing w:after="0" w:line="28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programs, we may incur additional costs or experience delays in completing, or ultimately be unable to complete, the development of such program.</w:t>
      </w:r>
    </w:p>
    <w:p>
      <w:pPr>
        <w:spacing w:after="0" w:line="79"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any program, we must complete preclinical studies and then conduct extensive clinical trials to demonstrate the safety and efficacy of our program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and initiating clinical development. There is currently a global shortage of NHPs available for drug development. This could cause the cost of obtaining NHPs for our future preclinical studies to increase significantly and, if the shortage continues, could also result in delays to our development timelines.</w:t>
      </w:r>
    </w:p>
    <w:p>
      <w:pPr>
        <w:spacing w:after="0" w:line="16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Furthermore, a failure of one or more clinical trials can occur at any stage of testing. The outcome of preclinical studies and early-stage clinical trials may not be predictive of the success of later clinical trials. Moreover, preclinical and clinical data are often susceptible to varying interpretations and analyses, and many companies that have believed their programs performed satisfactorily in preclinical studies and clinical trials have nonetheless failed to obtain marketing approval of their programs. In addition, we expect to rely on patients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provide feedback on measures such as measures of quality of life, which are subjective and inherently difficult to evaluate. These measures can be influenced by factors outside of our control, and can vary widely from day to day for a particular patient, and from patient to patient and from site to site within a clinical trial.</w:t>
      </w:r>
    </w:p>
    <w:p>
      <w:pPr>
        <w:spacing w:after="0" w:line="18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We cannot be sure that the FDA will agree with our clinical development plan. We plan to use the data from our planned Phase 1 trials of our SPY001 and SPY002 programs in healthy volunteers to support Phase 2 trials in IBD and other I&amp;I indications. If the FDA requires us to conduct additional trials or enroll additional patients, our development timelines may be delayed. We cannot be sure that submission of an IND, BLA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delays in manufacturing, testing, releasing, validating or importing/exporting sufficient stable quantities of our programs for use in clinical trials or the inability to do any of the foregoing; failure by our CROs, other third parties or us to adhere to clinical trial protocols; failure to perform in accordance with the FDA’s or any other regulatory authority’s good clinical practice requirements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contract manufacturing organization (“CMO”) and delays or failure by our CMOs or us to make any necessary changes to such manufacturing process; and third parties being unwilling or unable to satisfy their contractual obligations to us.</w:t>
      </w:r>
    </w:p>
    <w:p>
      <w:pPr>
        <w:spacing w:after="0" w:line="39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programs beyond those that we currently contemplate, if we are unable to successfully complete clinical trials of our programs, if the results of these trials are not positive or are only moderately positive or if there are safety concerns, our business and results of operations may be adversely affected and we may incur significant additional costs.</w:t>
      </w:r>
    </w:p>
    <w:p>
      <w:pPr>
        <w:spacing w:after="0" w:line="28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6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trial until its conclusion. The enrollment of patients in future trials for any of our programs will depend on many factors, including if patients choose to enroll in clinical trials, rather than using approved products, or if our competitors have ongoing clinical trials for programs that are under development for the same indications as our programs, and patients instead enroll in such clinical trials. Additionally, the number of patients required for clinical trials of our programs may be larger than we anticipate,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especially if regulatory bodies require the completion of non-inferiority or superiority trials.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marketing approvals and increased development costs or may require us to abandon one or more clinical trials altogether.</w:t>
      </w:r>
    </w:p>
    <w:p>
      <w:pPr>
        <w:spacing w:after="0" w:line="29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Preliminary, “topline” or interim data from our clinical trials that we announce or publish from time to time may change as more patient data become available and are subject to audit and verification procedures.</w:t>
      </w:r>
    </w:p>
    <w:p>
      <w:pPr>
        <w:spacing w:after="0" w:line="6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9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program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programs may be harmed, which could harm our business, operating results, prospects or financial condition.</w:t>
      </w:r>
    </w:p>
    <w:p>
      <w:pPr>
        <w:spacing w:after="0" w:line="29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future clinical trials or those of our future collaborators may reveal significant adverse events or undesirable side effects not seen in our preclinical studies and may result in a safety profile that could halt clinical development, inhibit regulatory approval or limit commercial potential or market acceptance of any of our programs.</w:t>
      </w:r>
    </w:p>
    <w:p>
      <w:pPr>
        <w:spacing w:after="0" w:line="7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Results of our clinical trials could reveal a high and unacceptable severity and prevalence of side effects, adverse events or unexpected characteristics. While our preclinical studies in NHPs have not shown any such characteristics to date, we have not yet initiated any clinical trials in humans. If significant adverse events or other side effects are observed in any of our future clinical trials, we may have difficulty recruiting patients to such trials, patients may drop out of our trials, or we may be required to abandon the trials or our development efforts of one or more programs altogether. We, the FDA or other applicable regulatory authorities, or an IRB, may suspend any clinical trials of any program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program from obtaining or maintaining marketing approval, undesirable side effects may inhibit market acceptance of the approved product due to its tolerability versus other therapies. In addition, an extended half-life could prolong the duration of undesirable side effects, which could also inhibit market acceptance. Treatment-emergent adverse events could also affect patient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recruitment or the ability of enrolled subjects to complete our clinical trials or could result in potential product liability claims. Potential side effects associated with our programs may not be appropriately recognized or managed by the treating medical staff, as toxicities resulting from our programs may not be normally encountered in the general patient population and by medical personnel. Any of these occurrences could harm our business, financial condition, results of operations and prospects significantly.</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even if we successfully advance our programs or any future program through clinical trials, such trials will only include a limited number of patients and limited duration of exposure to our programs. As a result, we cannot be assured that adverse effects of our programs will not be uncovered when a significantly larger number of patients are exposed to the program after approval. Further, any clinical trials may not be sufficient to determine the effect and safety consequences of using our programs over a multi-year period.</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 any of the foregoing events occur or if one or more of the research programs with respect to which we have exercised the Option to acquire intellectual property license rights to or have the Option to acquire intellectual property license rights to pursuant to the Paragon Agreement prove to be unsafe, our entire pipeline could be affected, which would have a material adverse effect on our business, financial condition, results of operations and prospects.</w:t>
      </w:r>
    </w:p>
    <w:p>
      <w:pPr>
        <w:spacing w:after="0" w:line="2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program and fail to capitalize on programs that may be more profitable or for which there is a greater likelihood of success.</w:t>
      </w:r>
    </w:p>
    <w:p>
      <w:pPr>
        <w:spacing w:after="0" w:line="6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Because we have limited financial and managerial resources, we focus our research and development efforts on certain selected programs. For example, we are initially focused on our most advanced programs, SPY001 and SPY002.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programs. If we do not accurately evaluate the commercial potential or target market for a particular program, we may relinquish valuable rights to that program through collaboration, licensing or other royalty arrangements in cases in which it would have been more advantageous for us to retain sole development and commercialization rights to such program.</w:t>
      </w:r>
    </w:p>
    <w:p>
      <w:pPr>
        <w:spacing w:after="0" w:line="27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Even if regulatory approval is obtained for a product candidate resulting from one of our current or future programs,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IBD. However, our programs incorporate advanced antibody engineering to optimize the half-life and formulation of antibodies; to date, no such antibody has been approved by the FDA for the treatment of IBD. Market participants with significant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An extended half-life may make it more difficult for patients to change treatments and there is a perception that half-life extension could exacerbate side effects, each of which may adversely affect our ability to gain market acceptance. Market acceptance of our programs will depend on many factors, including factors that are not within our control.</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program is approved but does not achieve an adequate level of acceptance by such parties, we may not generate or derive sufficient revenue from that program and may not become or remain profitable.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Certain of our programs may compete with our other programs, which could negatively impact our business and reduce our future revenue.</w:t>
      </w:r>
    </w:p>
    <w:p>
      <w:pPr>
        <w:spacing w:after="0" w:line="14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developing product candidates for the same indication: IBD, and may in the future develop our programs for other I&amp;I indications. Each such program targets a different mechanism of action. However, developing multiple programs for a single indication may negatively impact our business if the programs compete with each other. For example, if multiple programs are conducting clinical trials at the same time, they could compete for the enrollment of patients. In addition, if multiple programs are approved for the same indication, they may compete for market share, which could limit our future revenue.</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programs at sites outside the United States, and the FDA may not accept data from trials conducted in such locations.</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may choose to conduct one or more of our future clinical trials outside the United States.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programs, we will not be able to commercialize, or will be delayed in commercializing, our programs, and our ability to generate revenue will be materially impaired.</w:t>
      </w:r>
    </w:p>
    <w:p>
      <w:pPr>
        <w:spacing w:after="0" w:line="4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programs involved. We cannot commercialize programs in the United States without first obtaining regulatory approval from the FDA. Similarly, we cannot commercialize programs outside of the United States without obtaining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regulatory approval from comparable foreign regulatory authorities. Before obtaining regulatory approvals for the commercial sale of our programs, including our most advanced programs, SPY001 and SPY002, we must demonstrate through lengthy, complex and expensive preclinical studies and clinical trials that our programs are both safe and effective for each targeted indication. Securing regulatory approval also requires the submission of information about the drug manufacturing process to, and inspection of manufacturing facilities by, the relevant regulatory authority. Further, our programs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programs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program is safe and effective for its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programs; we may be unable to demonstrate that a program’s clinical and other benefits outweigh its safety risks; the FDA or comparable foreign regulatory authorities may disagree with our interpretation of data from preclinical studies or clinical trials; the data collected from clinical trials of our programs may not be acceptable or sufficient to support the submission of an NDA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programs;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spacing w:after="0" w:line="385"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programs, which would significantly harm our business, results of operations and prospects.</w:t>
      </w:r>
    </w:p>
    <w:p>
      <w:pPr>
        <w:spacing w:after="0" w:line="16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we were to obtain approval, regulatory authorities may approve any of our programs for fewer or more limited indications than we request, including failing to approve the most commercially promising indications, may grant approval contingent on the performance of costly post-marketing clinical trials, or may approve a program with a label that does not include the labeling claims necessary or desirable for the successful commercialization of that program. If we are not able to obtain, or if there are delays in obtaining, required regulatory approvals for our programs, we will not be able to commercialize, or will be delayed in commercializing, our programs and our ability to generate revenue will be materially impaired.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meet requirements for the chemistry, manufacturing and control of our programs.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synthesizing the active ingredient, developing an acceptable formulation, performing tests to adequately characterize the formulated 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programs for which we intend to seek approval as biologics may face competition sooner than anticipated.</w:t>
      </w:r>
    </w:p>
    <w:p>
      <w:pPr>
        <w:spacing w:after="0" w:line="117"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The Patient Protection and Affordable Act, as amended by the Healthcare and Education Reconciliation Act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78"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We believe that any of our programs approved as biologics under a BLA should qualify for the 12-year period of exclusivity. However, there is a risk that this exclusivity could be shortened due to congressional action or otherwise, or that the FDA will not consider our programs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spacing w:after="0" w:line="286"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our programs,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programs.</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Any regulatory approvals that we may receive for our programs will require the submission of reports to regulatory authorities and surveillance to monitor the safety and efficacy of the program,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our programs,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programs, our programs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spacing w:after="0" w:line="17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above may inhibit our ability to commercialize our programs and generate revenue and could require us to expend significant time and resources in response and could generate negative publicity.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difficulties from healthcare legislative reform measures.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programs.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1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programs, if approved. 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76"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any programs, due to unfavorable pricing regulations and/or third-party coverage and reimbursement policies, we may not be able to offer such programs at competitive prices which would seriously harm our business.</w:t>
      </w:r>
    </w:p>
    <w:p>
      <w:pPr>
        <w:spacing w:after="0" w:line="3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We intend to seek approval to market our programs in both the United States and in selected foreign jurisdictions. If we obtain approval in one or more foreign jurisdictions for our programs, we will be subject to rules and regulations in those jurisdictions. Our ability to successfully commercialize any programs that we may develop will depend in part on the extent to which reimbursement for these programs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programs are approved and we are found to have improperly promoted off-label uses of those programs, we may become subject to significant liability, which would materially adversely affect our business and financial condition.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 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117"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our programs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program approved for marketing is unavailable or limited in scope or amount, or if pricing is set at unsatisfactory levels, our business, financial condition, results of operations or prospects could be materially and adversely affected. Brexit could lead to legal uncertainty and potentially divergent national laws and regulations, including those related to the pricing of prescription pharmaceuticals, as the United Kingdom (“UK”) determines which EU laws to replicate or replace. If the UK were to significantly alter its regulations affecting the pricing of prescription pharmaceuticals, we could face significant new costs.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4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may seek Fast Track Designation for one or more of our programs. If a drug is intended for the treatment of a serious or life-threatening condition and the drug demonstrates the potential to address unmet medical needs for this condition, the product sponsor may apply for FDA Fast Track Designation. The FDA has broad discretion whether or not to grant this designation, so even if we believe a particular program is eligible for this designation, we cannot assure you that the FDA would decide to grant it. Even if we do receive Fast Track Designation, we may not experience a faster development process, review or approval compared to conventional FDA procedures.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FDA may withdraw Fast Track Designation if it believes that the designation is no longer supported by data from our clinical development program.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protect our patents and other proprietary rights is uncertain, exposing us to the possible loss of competitive advantage.</w:t>
      </w:r>
    </w:p>
    <w:p>
      <w:pPr>
        <w:spacing w:after="0" w:line="1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rely upon a combination of patents, trademarks, trade secret protection, confidentiality agreements and the Paragon Agreement to protect the intellectual property related to our programs and technologies and to prevent third parties from competing with us. Our success depends in large part on our ability to obtain and maintain patent protection for our platform technologies, programs and their uses, as well as our ability to operate without infringing on or violating the proprietary rights of others. We own and have licensed rights to pending patent applications and expect to continue to file patent applications in the United States and abroad related to our novel discoveries and technologies that are important to our business.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17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programs under patent protection would be reduced. Thus, the patents that we may own and license may not afford us any meaningful competitive advantage.</w:t>
      </w:r>
    </w:p>
    <w:p>
      <w:pPr>
        <w:spacing w:after="0" w:line="19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the company undertakes efforts to protect its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enforce and determine the scope of our proprietary rights and failure to obtain or maintain trade secret protection could adversely affect our competitive business position.</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Lastly, if our trademarks and trade names are not registered or adequately protected, then we may not be able to build name recognition in our markets of interest and our business may be adversely affected.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programs through acquisitions and in-licenses.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Because our development programs currently do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which could have a material adverse effect on our business, financial condition, results of operations, and prospects.</w:t>
      </w:r>
    </w:p>
    <w:p>
      <w:pPr>
        <w:spacing w:after="0" w:line="182" w:lineRule="exact"/>
        <w:rPr>
          <w:sz w:val="20"/>
          <w:szCs w:val="20"/>
          <w:color w:val="auto"/>
        </w:rPr>
      </w:pPr>
    </w:p>
    <w:p>
      <w:pPr>
        <w:ind w:left="120" w:right="200"/>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including by payment of all applicable fees for patents covering our programs, we could lose our rights to the intellectual property or our exclusivity with respect to those rights, our ability to develop and commercialize those programs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current and future licensors and their counsel that took place prior to the date upon which we assumed control over patent prosecution.</w:t>
      </w:r>
    </w:p>
    <w:p>
      <w:pPr>
        <w:spacing w:after="0" w:line="18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Our current and future licensors may rely on third-party consultants or collaborators or on funds from third parties such that our current and future licensors are not the sole and exclusive owners of the patents we in-license. If other third parties have ownership rights to our current and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 We cannot provide any assurances that third-party patents do not exist which might be enforced against our current technology, manufacturing methods, programs,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4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Disputes may arise between us and our current and future licensors regarding intellectual property subject to a license agreement, including: the scope of rights granted under the license agreement and other interpretation- 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current and future licensors and us and our partners; and the priority of invention of patented technology.</w:t>
      </w:r>
    </w:p>
    <w:p>
      <w:pPr>
        <w:spacing w:after="0" w:line="26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may be subject to patent infringement claims or may need to file claims to protect our intellectual property, which could result in substantial costs and liability and prevent us from commercializing our potential products.</w:t>
      </w:r>
    </w:p>
    <w:p>
      <w:pPr>
        <w:spacing w:after="0" w:line="6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Because the intellectual property landscape in the biotechnology industry is rapidly evolving and interdisciplinary, it is difficult to conclusively assess our freedom to operate and guarantee that we can operate without infringing on or violating third party rights. If certain of our programs are ultimately granted regulatory approval, patent rights held by third parties, if found to be valid and enforceable, could be alleged to render one or more of our programs infringing. If a third party successfully brings a claim against us, we may be required to pay substantial damages, be forced to abandon any affected program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and on the market price of our Common Stock.</w:t>
      </w:r>
    </w:p>
    <w:p>
      <w:pPr>
        <w:spacing w:after="0" w:line="18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92"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w:t>
      </w:r>
    </w:p>
    <w:p>
      <w:pPr>
        <w:spacing w:after="0" w:line="62"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As is common in the biotechnology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6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28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7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Geopolitical instability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a European Unified Patent Court (“UPC”) entered into force on June 1, 2023. The UPC is a common patent court that hears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3"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Periodic maintenance fees, renewal fees, annuities fees and various other governmental fees on patents and/or patent applications are due to be paid to the USPTO and foreign patent agencies in several stages over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spacing w:after="0" w:line="2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current and future licensors may have relied on third-party consultants or collaborators or on funds from third parties, such as the U.S. government, such that our licensors are not the sole and exclusive owners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patents we in-licensed. For example, certain intellectual property we license from the University of Texas at Austin includes inventions that were made with U.S. government support. The U.S. government therefore has certain rights in such inventions under the applicable funding agreements and under applicable law.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the competitive position of our programs for an adequate amount of time.</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our programs are obtained, once the patent life has expired, we may be open to competition from competitive products, including generics or biosimilars. Given the amount of time required for the development, testing and regulatory review of new programs, patents protecting such programs might expire before or shortly after such programs are commercialized. As a result, our owned and licensed patent portfolio may not provide us with sufficient rights to exclude others from commercializing products similar or identical to ours.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technology licensed from various third parties may be subject to retained rights.</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Our current or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We rely on collaborations and licensing arrangements with third parties, including our arrangement with Paragon. If we are unable to maintain these collaborations or licensing arrangements, or if these collaborations or licensing arrangements are not successful, our business could be negatively impacted.</w:t>
      </w:r>
    </w:p>
    <w:p>
      <w:pPr>
        <w:spacing w:after="0" w:line="7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We currently rely on our collaborations and licensing arrangements with third parties, including Paragon, for a substantial portion of our discovery capabilities and in-licenses.</w:t>
      </w:r>
    </w:p>
    <w:p>
      <w:pPr>
        <w:spacing w:after="0" w:line="170"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its obligations under their agreement with us, disagrees with our interpretation of the terms of such agreement or terminates their agreement with us, the research programs with respect to which we have exercised the Option to acquire intellectual property license rights to or have the Option to acquire intellectual property license rights to pursuant to the Paragon Agreement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our ability to commercialize our programs.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part of our strategy, we plan to evaluate additional opportunities to enhance our capabilities and expand our development pipeline or provide development or commercialization capabilities that complement our own.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programs or bring them to market.</w:t>
      </w:r>
    </w:p>
    <w:p>
      <w:pPr>
        <w:spacing w:after="0" w:line="293"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programs.</w:t>
      </w:r>
    </w:p>
    <w:p>
      <w:pPr>
        <w:spacing w:after="0" w:line="7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they devote sufficient time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resources to our programs. These third parties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programs.</w:t>
      </w:r>
    </w:p>
    <w:p>
      <w:pPr>
        <w:spacing w:after="0" w:line="285"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b w:val="1"/>
          <w:bCs w:val="1"/>
          <w:i w:val="1"/>
          <w:iCs w:val="1"/>
          <w:color w:val="auto"/>
        </w:rPr>
        <w:t>We currently rely and expect to rely in the future on the use of manufacturing suites in third-party facilities or on third parties to manufacture our programs,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4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do not currently own any facility that may be used as our clinical-scale manufacturing and processing facility and must currently rely on CMOs to manufacture our programs. We have not yet caused our programs to be manufactured on a commercial scale and may not be able to do so for any of our programs, if approved. We currently have a sole source relationship for our supply of the SPY001 program.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programs. Beyond periodic audits, we have no control over the ability of our CMOs to maintain adequate quality control, quality assurance and qualified personnel. If the FDA or a comparable foreign regulatory authority does not approve these facilities for the manufacture of our programs or if it withdraws any approval in the future, we may need to find alternative manufacturing facilities, which would require the incurrence of significant additional costs and materially adversely affect our ability to develop, obtain regulatory approval for or market our programs,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programs or drugs, operating restrictions and criminal prosecutions, any of which could significantly and adversely affect supplies of our programs or drugs and harm our business and results of operations.</w:t>
      </w:r>
    </w:p>
    <w:p>
      <w:pPr>
        <w:spacing w:after="0" w:line="17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Moreover, our CMOs may experience manufacturing difficulties due to resource constraints, supply chain issues, or as a result of labor disputes or unstable political environments. If any CMOs on which we will rely fail to manufacture quantities of our programs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 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programs by the FDA, result in higher costs or adversely impact commercialization of our programs.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spacing w:after="0" w:line="30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6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a preclinical stage biotechnology company with a limited operating history, and, as of November 9, 2023, we had 26 employees.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spacing w:after="0" w:line="17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Attracting and retaining qualified personnel will also be critical to our success, including with respect to any strategic transaction that we may pursue.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Our future growth may depend, in part, on our ability to develop and commercialize our programs in foreign markets for which we may rely on collaboration with third parties. We are not permitted to market or promote any of our programs before we receive regulatory approval from the applicable foreign regulatory authority, and may never receive such regulatory approval for any of our programs.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programs, and we cannot predict success in these jurisdictions. If we fail to comply with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regulatory requirements in international markets and receive applicable marketing approvals, our target market will be reduced and our ability to realize the full market potential of our programs will be harmed and our business will be adversely affected. Moreover, even if we obtain approval of our programs and ultimately commercialize our programs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296"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collaborators, principal investigators, CROs, CMOs, suppliers and vendors may engage in misconduct or other improper activities, including noncompliance with regulatory standards and requirements.</w:t>
      </w:r>
    </w:p>
    <w:p>
      <w:pPr>
        <w:spacing w:after="0" w:line="1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CMOs, suppliers and vendors acting for or on our behalf may engage in misconduct or other improper activities. We have adopted a code of conduct and ethics,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9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third 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 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programs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spacing w:after="0" w:line="17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fully-remote workforce may create additional risks for our information technology systems and data because our employees work remotely and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8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data privacy and security obligations may require us to notify relevant stakeholders of security incidents. Such disclosures are costly, and the disclosure or the failure to comply with such requirements could lead to adverse consequences.</w:t>
      </w:r>
    </w:p>
    <w:p>
      <w:pPr>
        <w:spacing w:after="0" w:line="170" w:lineRule="exact"/>
        <w:rPr>
          <w:sz w:val="20"/>
          <w:szCs w:val="20"/>
          <w:color w:val="auto"/>
        </w:rPr>
      </w:pPr>
    </w:p>
    <w:p>
      <w:pPr>
        <w:jc w:val="both"/>
        <w:ind w:left="120" w:right="200"/>
        <w:spacing w:after="0" w:line="287" w:lineRule="auto"/>
        <w:rPr>
          <w:sz w:val="20"/>
          <w:szCs w:val="20"/>
          <w:color w:val="auto"/>
        </w:rPr>
      </w:pPr>
      <w:r>
        <w:rPr>
          <w:rFonts w:ascii="Arial" w:cs="Arial" w:eastAsia="Arial" w:hAnsi="Arial"/>
          <w:sz w:val="16"/>
          <w:szCs w:val="16"/>
          <w:color w:val="auto"/>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3"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p>
    <w:p>
      <w:pPr>
        <w:spacing w:after="0" w:line="164"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Under Section 382 of the Internal Revenue Code of 1986, as amended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income or taxes may be limited. Upon certain events since our conversion from a Delaware limited liability company to a Delaware corporation in 2015, it is possible that we may have triggered an “ownership change” limitation. We may also experience ownership changes in the future as a result of subsequent shifts in our stock ownership (some of which are outside of our control). As a result, if we earn net taxable income, our ability to use our pre-change NOLs and other pre-change tax attributes to offset U.S. federal taxable income or taxes may be subject to limitations, which could potentially result in increased future tax liability to us. Our NOLs and other tax attributes arising before our conversion from a Delaware limited liability company to a Delaware corporation in 2015 also may be limited by the Separate Return Limitation Year rule, which could increase our U.S. federal tax liability. In addition, at the state level, there may be periods during which the use of NOLs is suspended or otherwise limited, which could accelerate or permanently increase state taxes owed.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340"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23"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and third parties who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2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adverse legislative or regulatory tax changes that could negatively impact our financial condition.</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example, the United States recently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The U.S. Congress is considering legislation that would restore the current deductibility of research and development expenditures; however, we have no assurance that the provision will be repealed or otherwise modified. Such changes, among others, may adversely affect our effective tax rate, results of operation and general business condition.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may not realize the benefits of such acquisitions.</w:t>
      </w:r>
    </w:p>
    <w:p>
      <w:pPr>
        <w:spacing w:after="0" w:line="1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programs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29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We maintain our cash at financial institutions, often in balances that exceed federally-insured limits. The failure of financial institutions could adversely affect our ability to pay our operational expenses or make other payments.</w:t>
      </w:r>
    </w:p>
    <w:p>
      <w:pPr>
        <w:spacing w:after="0" w:line="6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b w:val="1"/>
          <w:bCs w:val="1"/>
          <w:i w:val="1"/>
          <w:iCs w:val="1"/>
          <w:color w:val="auto"/>
        </w:rPr>
        <w:t>Pursuant to the terms of the Acquisition Agreement, we are required to recommend that our stockholders approve the conversion of all outstanding shares of our Series A Preferred Stock into shares of our Common Stock. We cannot guarantee that our stockholders will approve this matter, and if they fail to do so, we may be required to settle such shares in cash and our operations may be materially harmed.</w:t>
      </w:r>
    </w:p>
    <w:p>
      <w:pPr>
        <w:spacing w:after="0" w:line="4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Under the terms of the Securities Purchase Agreement, we agreed to use reasonable best efforts to call and hold a meeting of our stockholders to obtain the requisite approval for the conversion of all outstanding shares of Series A Preferred Stock issued in the Transactions into shares of our Common Stock, as required by the Nasdaq listing rules, within 75 days from the closing of the Financing and, if such approval is not obtained at that meeting, to seek to obtain such approval at an annual or special stockholders meeting to be held at least every 90 days thereafter until such approval is obtained, which would be time consuming and costly. Additionally, if our stockholders do not timely approve the conversion of our Series A Preferred Stock, then the holders of our Series A Preferred Stock may be entitled to require us to settle their shares of Series A Preferred Stock for cash at a price per share equal to the fair value of the Series A Preferred Stock at such time, as described in our Certificate of Designation relating to the Series A Preferred Stock. If we are forced to settle a significant amount of the Series A Preferred Stock, it could materially affect our results of operations, including raising a substantial doubt about our ability to continue as a going concern within one year from the date of this registration statement.</w:t>
      </w:r>
    </w:p>
    <w:p>
      <w:pPr>
        <w:spacing w:after="0" w:line="27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6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Provisions in our Certificate of Incorporation and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Although we believe these provisions collectively will provide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addition, the Certificate of Designation relating to our Series A Preferred Stock may delay or prevent a change in control of our company. At any time while at least 30% of the originally issued Series A Preferred Stock remains issued and outstanding, we may not consummate a Fundamental Transaction (as defined in the Certificate of Designation) or any merger or consolidation of the Company with or into another entity or any stock sale to, or other business combination in which our stockholders immediately before such transaction do not hold at least a majority of our capital stock immediately after such transaction, without the affirmative vote of the holders of a majority of the then outstanding shares of the Series A Preferred Stock. This provision of the Certificate of Designation may make it more difficult for us to enter into any of the aforementioned transactions.</w:t>
      </w:r>
    </w:p>
    <w:p>
      <w:pPr>
        <w:spacing w:after="0" w:line="27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certain types of actions and proceedings that may be initiated by our stockholders, and our Bylaws designate the federal courts of the United States as the exclusive forum for actions arising under the Securities Act, each of which could limit our stockholders’ ability to obtain a favorable judicial forum for disputes with us or our directors, officers, employees or agents.</w:t>
      </w:r>
    </w:p>
    <w:p>
      <w:pPr>
        <w:spacing w:after="0" w:line="7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Our Certificate of Incorporation provides that, unless we consent in writing to an alternative forum, the Court of Chancery of the State of Delaware will be the sole and exclusive forum for any derivative action or proceeding brought on our behalf, any action asserting a claim of breach of a fiduciary duty owed by any of our directors, officers, employees or agents to us or our stockholders, any action asserting a claim arising pursuant to any provision of the DGCL, our Certificate of Incorporation or our Bylaws or any action asserting a claim that is governed by the internal affairs doctrine, in each case subject to the Court of Chancery having personal jurisdiction over the indispensable parties named as defendants therein and the claim not being one which is vested in the exclusive jurisdiction of a court or forum other than the Court of Chancery or for which the Court of Chancery does not have subject matter jurisdiction. Any person purchasing or otherwise acquiring any interest in any shares of our capital stock shall be deemed to have notice of and to have consented to this provision of our Certificate of Incorporation.</w:t>
      </w:r>
    </w:p>
    <w:p>
      <w:pPr>
        <w:spacing w:after="0" w:line="17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78"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These choice of forum provisions may limit our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specified courts could face additional litigation costs in pursuing any such claim. The specified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these provisions of our governance documents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or results of operations.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current expectation is that we will retain our future earnings, if any, to fund the development and growth of our business. As a result, capital appreciation, if any, of our Common Stock will be your sole source of gain, if any, for the foreseeable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17"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Concurrently and in connection with the execution of the Acquisition Agreement, certain former Spyre securityholders as of immediately prior to the Asset Acquisition, and certain of our directors and officers as of immediately prior to the Asset Acquisition entered into lock-up agreements with us, pursuant to which each such stockholder is subject to a 180-day lockup on the sale or transfer of shares of our Common Stock held by each such stockholder at the closing of the Asset Acquisition, including those shares received by former Spyre securityholders in the Asset Acquisition. Upon expiration of this 180-day lockup period, these shares will become eligible for sale in the public market.</w:t>
      </w:r>
    </w:p>
    <w:p>
      <w:pPr>
        <w:spacing w:after="0" w:line="6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June 22, 2023, we also entered into a registration rights agreement (the “New RRA”) with the Investors. Pursuant to the New RRA, we filed the Registration Statement. We will use our reasonable best efforts to cause this Registration Statement to be declared effective by the SEC as soon as practicable. If, following receipt of approval of the Conversion Proposal (as defined in the section titled “</w:t>
      </w:r>
      <w:r>
        <w:rPr>
          <w:rFonts w:ascii="Arial" w:cs="Arial" w:eastAsia="Arial" w:hAnsi="Arial"/>
          <w:sz w:val="16"/>
          <w:szCs w:val="16"/>
          <w:i w:val="1"/>
          <w:iCs w:val="1"/>
          <w:color w:val="auto"/>
        </w:rPr>
        <w:t>Description Of Capital Stock – Preferred Stock</w:t>
      </w:r>
    </w:p>
    <w:p>
      <w:pPr>
        <w:spacing w:after="0" w:line="2"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i w:val="1"/>
          <w:iCs w:val="1"/>
          <w:color w:val="auto"/>
        </w:rPr>
        <w:t>– Series A Preferred Stock</w:t>
      </w:r>
      <w:r>
        <w:rPr>
          <w:rFonts w:ascii="Arial" w:cs="Arial" w:eastAsia="Arial" w:hAnsi="Arial"/>
          <w:sz w:val="16"/>
          <w:szCs w:val="16"/>
          <w:color w:val="auto"/>
        </w:rPr>
        <w:t>” below), this Registration Statement is not declared effective prior to the Effectiveness Deadline (as defined in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RRA), among other events (each event, a “Registration Failure”), then we will be required to make pro rata payments to each Investor of the then outstanding Registrable Securities in an amount equal to one percent (1.0%) of the aggregate amount invested by such Investor for the Registrable Securities then held by such Investor for the initial day of a Registration Failure and for each thirty (30) day period thereafter until the Registration Failure is cured. If this Registration Statement is declared effective, the shares subject to this Registration Statement will no longer constitute restricted securities and may be sold freely in the public markets, subject to lapse on any related contractual restrictions related thereto of any Investor and, for shares of Common Stock issuable upon the conversion of Series A Preferred Stock, the approval of our stockholders of such conversion.</w:t>
      </w:r>
    </w:p>
    <w:p>
      <w:pPr>
        <w:spacing w:after="0" w:line="16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If our stockholders sell, or indicate an intention to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and issuances of equity and debt could result in additional dilution to our stockholders.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expect that we will need significant additional capital to fund our current and future operations, including to complete potential clinical trials for our product candidates. To raise capital, we may sell Common Stock, convertible securities, or other equity securities in one or more transactions at prices and in a manner we determine from time to time. As a result, our stockholders may experience additional dilution, which could cause our stock price to fall.</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Pursuant to our equity incentive plans, we may grant equity awards and issue additional shares of our Common Stock to our employees, directors and consultants, and the number of shares of our Common Stock reserved for future issuance under certain of these plans will be subject to automatic annual increases in accordance with the terms of the plans. To the extent that new options are granted and exercised, or we issue additional shares of Common Stock in the future, our stockholders may experience additional dilution, which could cause our stock price to fall.</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are able to exert significant control over matters subject to stockholder approval.</w:t>
      </w:r>
    </w:p>
    <w:p>
      <w:pPr>
        <w:spacing w:after="0" w:line="6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Our directors, officers, 5% stockholders, and their affiliates currently beneficially own a substantial portion of our outstanding voting stock. Therefore, these stockholders have the ability and may continue to have the ability to influence us through this ownership position. These stockholders may be able to determine some or all matters requiring stockholder approval. For example, these stockholders, acting together, may be able to control elections of directors, amendments of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market price of our Common Stock has historically been volatile, and the market price of our Common Stock may decline in the future.</w:t>
      </w:r>
    </w:p>
    <w:p>
      <w:pPr>
        <w:spacing w:after="0" w:line="14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market price of our Common Stock has been, and may continue to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regulatory approvals for our product candidates, and delays or failures to obtain such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maintain our existing third-party license and supply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inability to obtain adequate supply of our product candidates or the inability to do so at acceptable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regulatory authority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 and the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collaborations, joint ventures, or capital commitments by us or our competitors;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an adverse or misleading opinion regarding our business and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jc w:val="both"/>
        <w:ind w:left="1080" w:right="4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 market or macroeconomic conditions, including global inflationary pressures, rising interest rates, general economic slowdown or a recession, changes in monetary policy, instability in financial institutions and the prospect of a shutdown of the U.S. federal government;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geopolitical instability, including the ongoing military conflict in Ukraine, conflict in Israel and surrounding areas, and geopolitical tensions in China;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potential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Moreover, the capital markets in general have experienced substantial volatility that has often been unrelated to the operating performance of individual companies. These broad market fluctuations may also adversely affect the trading price of our Common Stock.</w:t>
      </w:r>
    </w:p>
    <w:p>
      <w:pPr>
        <w:spacing w:after="0" w:line="17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incur costs and demands upon management as a result of complying with the laws and regulations regulating public companies.</w:t>
      </w:r>
    </w:p>
    <w:p>
      <w:pPr>
        <w:spacing w:after="0" w:line="12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incur significant legal, accounting, and other expenses associated with public company reporting requirements. We also incur costs associated with corporate governance requirements, including requirements under the Sarbanes-Oxley Act, as well as rules implemented by the SEC and Nasdaq. These rules and regulations increase our legal and financial compliance costs and make some activities more time-consuming and costly. These rules and regulations may also make it difficult and expensive for us to obtain directors’ and officers’ liability insurance. As a result, it may be more difficult for us to attract and retain qualified individuals to serve on our board of directors or as our executive officers, which may adversely affect investor confidence and could cause our business or stock price to suffer.</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7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investors may lose confidence in the accuracy and completeness of our financial reports and the market price of our Common Stock may be negatively affected.</w:t>
      </w:r>
    </w:p>
    <w:p>
      <w:pPr>
        <w:spacing w:after="0" w:line="7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are subject to the reporting requirements of the Exchange Act, the Sarbanes-Oxley Act, and the rules and regulations of Nasdaq. The Sarbanes-Oxley Act requires, among other things, that we maintain effective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filing for that year, as required by Section 404 of the Sarbanes-Oxley Act. This requires that we incur substantial professional fees and internal costs to expand our accounting and finance functions and that we expend significant management efforts. We may experience difficulty in meeting these reporting requirements in a timely manner for each period.</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may or any subsequent testing by our independent registered public accounting firm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or if we are unable to maintain proper and effective internal controls, it could result in a material misstatement of our financial statements that would not be prevented or detected on a timely basis, which could require a restatement, cause us to be subject to sanctions or investigations by Nasdaq, the SEC, or other regulatory authorities, cause investors to lose confidence in our financial information, or cause our stock price to decline.</w:t>
      </w:r>
    </w:p>
    <w:p>
      <w:pPr>
        <w:spacing w:after="0" w:line="18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As a public company, we incur significant legal, accounting, insurance, and other expenses, and our management and other personnel have and will need to continue to devote a substantial amount of time to compliance initiatives resulting from operating as a public company.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9" w:right="5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the consolidated financial statements and the related notes thereto and other financial information included elsewhere in this prospectus. This discussion contains forward-looking statements based upon current beliefs, plans and expectations related to future events and our future financial performance that involve risks, uncertainties and assumptions. Our actual results could differ materially from those discussed in these forward-looking statements as a result of various factors. Factors that could cause or contribute to these differences include, but are not limited to, those discussed below and elsewhere in this prospectus, particularly in the section titled “Risk Factors.” Please also see the section titled “Special Note Regarding Forward-Looking Statements.” As used in this prospectus, unless the context suggests otherwise, “we”, “us”, “our”, “the Company” or “Aeglea” refers to Aeglea BioTherapeutics, Inc. and its subsidiaries, including Spyre Therapeutics, LLC.</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 of Spyre</w:t>
      </w:r>
    </w:p>
    <w:p>
      <w:pPr>
        <w:spacing w:after="0" w:line="121"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On June 22, 2023, we acquired Spyre pursuant to the Acquisition Agreement, by and among the Company, Aspen Merger Sub I, Inc., a Delaware corporation and a wholly owned subsidiary of the Company (“First Merger Sub”), Sequoia Merger Sub II, LLC, a Delaware limited liability company and wholly owned subsidiary of the Company (“Second Merger Sub”), and Spyre. Pursuant to the Acquisition Agreement, First Merger Sub merged with and into Spyre, pursuant to which Spyre was the surviving corporation and became a wholly owned subsidiary of the Company (the “First Merger”). Immediately following the First Merger, Spyre merged with and into Second Merger Sub, pursuant to which Second Merger Sub became the surviving entity. Spyre was a pre-clinical stage biotechnology company that was incorporated on April 28, 2023 under the direction of Peter Harwin, a Managing Member of Fairmount, for the purpose of holding rights to certain intellectual property being developed by Paragon. Fairmount is a founder of Paragon.</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Through the Asset Acquisition, we received the Option to license the in-process and research development (“IPR&amp;D”) related to four research programs. On July 12, 2023 we exercised the Option with respect to one of these research programs to exclusively license intellectual property rights related to such research program directed to antibodies that selectively bind to α4ß7 integrin and methods of using these antibodies, including methods of treating inflammatory bowel disease (“IBD”) using SPY001. If this research program is pursued non-provisionally and matures into issued patents, we would expect those patents to expire no earlier than 2044, subject to any disclaimers or extensions. The license agreement pertaining to such research program is currently being finalized on previously agreed terms. Furthermore, as of the date of the filing of this prospectus, the Option remains unexercised with respect to the IPR&amp;D related to the three remaining research programs under the Paragon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Following the Asset Acquisition, we have significantly reshaped the business into a preclinical stage biotechnology company focused on developing next generation therapeutics for patients living with IBD, including ulcerative colitis (“UC”) and Crohn’s disease (“CD”). Through the Paragon Agreement, our portfolio of novel and proprietary monoclonal antibody product candidates has the potential to address unmet needs in IBD care by improving efficacy, safety, and/or dosing convenience relative to products currently available or product candidates in development. We have engineered our product candidates with the aim to bind potently and selectively to their target epitopes and to exhibit extended pharmacokinetic half-lives. We plan to use combinations of our proprietary antibodies and patient enrichment strategies via patient selection approaches to enhance efficacy. We intend to deliver our product candidates through convenient, infrequently self-administered, subcutaneous (“SC”) injections as a pre-filled pen.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accordance with ASC 205-40, Going Concern, we have evaluated and determined that there are conditions and events, considered in the aggregate, that raise substantial doubt about our ability to continue as a going concern within one year after the date the consolidated financial statements included in this prospectus were issued. If our stockholders do not timely approve the conversion of our Series A Preferred Stock, then the holders of our Series A Preferred Stock may be entitled to require us to settle their shares of Series A Preferred Stock for cash at a price per share equal to the fair value of the Series A Preferred Stock, as described in our Certificate of Designation relating to the Series A Preferred Stock. The cash redemption is not under our control and raises substantial doubt about our ability to continue as a going concern. The consolidated financial statements included in this prospectus assume the Company will continue as a going concern through the realization of assets and satisfaction of liabilities and commitments in the ordinary course of business.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Paragon and Parapyre</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Paragon and Parapyre each beneficially owns less than 5% of our capital stock through their respective holdings of our Common Stock and Series A Preferred Stock. Fairmount beneficially owns more than 5% of our capital stock, has two seats on our board of directors and beneficially owns more than 5% of Paragon, which is a joint venture between Fairmount and Fair Journey Biologics. Fairmount appointed Paragon’s board of directors and has the contractual right to approve the appointment of any executive officers. Parapyre is an entity formed by Paragon as a vehicle to hold equity in Spyre in order to share profits with certain employees of Paragon.</w:t>
      </w:r>
    </w:p>
    <w:p>
      <w:pPr>
        <w:spacing w:after="0" w:line="188"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In connection with the Asset Acquisition, Aeglea assumed the rights and obligations of Spyre under the Paragon Agreement. Under the Paragon Agreement, Aeglea is obligated to compensate Paragon on a quarterly basis for its services performed under each research program based on the actual costs incurred with mark-up costs pursuant to the terms of the Paragon Agreement. As of the date of the Asset Acquisition, Spyre had incurred total expenses of $19.0 million under the Paragon Agreement since inception, inclusive of a $3.0 million research initiation fee that was due upon signing of the Paragon Agreement and $16.0 million of reimbursable expenses under the Paragon Agreement for historical costs owed to Paragon. As of the acquisition date, $19.0 million was unpaid and was assumed by Aeglea through the Asset Acquisition. As of September 30, 2023, $0.5 million of the assumed Paragon liability remained unpaid.</w:t>
      </w:r>
    </w:p>
    <w:p>
      <w:pPr>
        <w:spacing w:after="0" w:line="19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For the three and nine months ended September 30, 2023, we recognized $19.4 million and $20.8 million, respectively, in research and development expenses that are due to Paragon under the Paragon Agreement. As of September 30, 2023, $16.8 million was unpaid and owed to Paragon under the Paragon Agreement.</w:t>
      </w:r>
    </w:p>
    <w:p>
      <w:pPr>
        <w:spacing w:after="0" w:line="184" w:lineRule="exact"/>
        <w:rPr>
          <w:sz w:val="20"/>
          <w:szCs w:val="20"/>
          <w:color w:val="auto"/>
        </w:rPr>
      </w:pPr>
    </w:p>
    <w:p>
      <w:pPr>
        <w:jc w:val="both"/>
        <w:ind w:left="120" w:right="280"/>
        <w:spacing w:after="0" w:line="277" w:lineRule="auto"/>
        <w:rPr>
          <w:sz w:val="20"/>
          <w:szCs w:val="20"/>
          <w:color w:val="auto"/>
        </w:rPr>
      </w:pPr>
      <w:r>
        <w:rPr>
          <w:rFonts w:ascii="Arial" w:cs="Arial" w:eastAsia="Arial" w:hAnsi="Arial"/>
          <w:sz w:val="18"/>
          <w:szCs w:val="18"/>
          <w:color w:val="auto"/>
        </w:rPr>
        <w:t>In July 2023, we exercised our option for the SPY001 program, and the remaining three options for the SPY002, SPY003, SPY004 programs remain outstanding.</w:t>
      </w:r>
    </w:p>
    <w:p>
      <w:pPr>
        <w:spacing w:after="0" w:line="170"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connection with the Asset Acquisition, we assumed the Parapyre Option Obligation which provided for an annual equity grant of options to purchase 1% of the then outstanding shares of Spyre’s common stock, on a fully diluted basis, on the last business day of each calendar year during the term of the Paragon Agreement, at the fair market value determined by the board of directors of Spyre. As a result of the Asset Acquisition the Parapyre Option Obligation shall continue and Parapyre shall be entitled to receive equivalent shares from us with the same terms. As of September 30, 2023, the pro-rated estimated fair value of the options was approximately $3.0 million, of which $0.1 million was recognized as part of the liabilities assumed with the Asset Acquisition. For the three and nine months ended September 30, 2023, $2.7 million and $2.9 million, respectively, was recognized as stock compensation expense related to the Parapyre Option Obligation.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Developments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July 2023, we announced that we had entered into an agreement to sell the global rights to pegzilarginase, an investigational treatment for the rare metabolic disease Arginase 1 Deficiency, to Immedica for $15 million in upfront cash proceeds and up to $100 million in contingent milestone payments. The sale of pegzilarginase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Immedica superseded and terminated the previous license agreement between us and Immedica.</w:t>
      </w:r>
    </w:p>
    <w:p>
      <w:pPr>
        <w:spacing w:after="0" w:line="225"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On August 30, 2023, our board of directors appointed Scott Burrows to succeed Jonathan Alspaugh as our Chief Financial Officer effective September 1, 2023. Mr. Burrows also succeeded Mr. Alspaugh as our principal financial officer and principal accounting officer on the effective date.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September 1, 2023, Heidy Abreu King-Jones was appointed as Chief Legal Officer and Corporate Secretary.</w:t>
      </w:r>
    </w:p>
    <w:p>
      <w:pPr>
        <w:spacing w:after="0" w:line="22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On October 6, 2023, our board of directors appointed Dr. Cameron Turtle, our Chief Operating Officer, as our principal executive officer effective the same day.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jc w:val="both"/>
        <w:ind w:left="120" w:right="300"/>
        <w:spacing w:after="0" w:line="275" w:lineRule="auto"/>
        <w:rPr>
          <w:sz w:val="20"/>
          <w:szCs w:val="20"/>
          <w:color w:val="auto"/>
        </w:rPr>
      </w:pPr>
      <w:r>
        <w:rPr>
          <w:rFonts w:ascii="Arial" w:cs="Arial" w:eastAsia="Arial" w:hAnsi="Arial"/>
          <w:sz w:val="17"/>
          <w:szCs w:val="17"/>
          <w:color w:val="auto"/>
        </w:rPr>
        <w:t>During the second quarter of 2023, we implemented a restructuring plan based on the review of the inconclusive interim results from our Phase 1/2 clinical trial of pegtarviliase for the treatment of classical homocystinuria and other business considerations, as well as our plan to explore strategic alternatives. Under the restructuring plan, our workforce was reduced by 83%, various lab equipment, consumables, and furniture and fixtures were sold, and our corporate headquarters lease in Austin, TX was abandoned. All charges related to the restructuring activities was recognized during the second quarter of 2023. No further restructuring charges will be incurred under the restructuring plan.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these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liabilities and equity and the amount of revenues and expenses, which are not readily apparent from other sources. We base our estimates on historical experience and on various other assumptions that we believe are reasonable under the circumstances. On an ongoing basis, we evaluate our estimates and assumptions. Our actual results may differ materially from these estimates under different assumptions or conditions.</w:t>
      </w:r>
    </w:p>
    <w:p>
      <w:pPr>
        <w:spacing w:after="0" w:line="16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critical accounting policies are those policies which require the most significant judgments and estimates in the preparation of our condensed consolidated financial statements. The most significant estimates and assumptions that management considers in the preparation of our financial statements relate to accrued research and development costs; the valuation of consideration transferred in acquiring IPR&amp;D; the discount rate, probabilities of success, and timing of estimated cash flows in the valuation of the CVR liability; inputs used in the Black-Scholes model for stock-based compensation expense; estimated future cash flows used in calculating the impairment of right-of-use lease assets; and estimated cost to complete performance obligations related to revenue recognition. The consideration transferred in acquiring IPR&amp;D in connection with the acquisition of Spyre was comprised of our Common Stock and shares of Series A Preferred Stock. To determine the fair value of the equity transferred, we considered the per share value of the PIPE, which was an over-subscribed financing event involving a group of accredited investors. Our significant accounting policies are more fully described in Note 2 to our 2022 Annual Financials and Note 2 to our condensed consolidated financial statements as of and for the three and nine months ended September 30, 2023 appearing elsewhere in this prospectus.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enter into license agreements related to our technologies that we have determined are within the scope of Accounting Standards Codification 606. Based on the terms and conditions of our agreements, we identify the goods and services that we promise to transfer to the customer, which may consist of the licensing of technologies, the performance of research and development activities, and/or the supply of products related to</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our technologies. Based on the nature of the goods and services provided and the customer’s intended benefit of the arrangement, we evaluate which of the promised goods and services are distinct and, therefore, represent a performance obligation, which may require us to combine certain promised goods and services that are determined to not be distinct from one another. We also evaluate whether an agreement provides the customer an option to purchase future goods or services at a discounted price, or a material right, which would also represent a performance obligation.</w:t>
      </w:r>
    </w:p>
    <w:p>
      <w:pPr>
        <w:spacing w:after="0" w:line="15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 exchange for the performance obligations, we estimate the amount of consideration promised by the customer, or transaction price, which may include both fixed and variable consideration. Variable consideration, which may consist of various milestone payments based upon the achievement of certain events or conditions, sales-based royalties, or payments contingent on the performance of research and development services, are included in the transaction price only if we expect to receive such consideration and determine it is likely that the inclusion of the variable consideration will not result in a significant reversal in the cumulative amount of revenue recognized under the arrangement. Sales-based royalty and milestone payments that we determine are predominantly related to the license of our intellectual property are excluded from the transaction price we expect to receive until the underlying sales occur.</w:t>
      </w:r>
    </w:p>
    <w:p>
      <w:pPr>
        <w:spacing w:after="0" w:line="19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allocate the estimated transaction price to the identified performance obligations based on the relative estimated stand-alone selling price, or SSP, of each performance. SSP is based on the observable price of our goods and services, or when SSP is not directly observable, we estimate SSP based on factors such as forecasted revenues or costs, development timelines, discount rates, probabilities of technical and regulatory success, and considerations such as market conditions and entity-specific factors. We recognize revenue allocated to each performance obligation either at a point-in-time or over time in a manner that depicts the transfer of control of the promised goods and services to the customer. For performance obligations that are recognized over time, we estimate the measure of progress associated with the satisfaction of the performance obligation based on an input or output method, which may be based on factors such as costs incurred, labor hours expended, time elapsed, among other measures based on the nature of the performance obligation. The estimates made on an input or output method are subject to change and may result in material changes to revenue that could materially affect our results of operations. Please refer to Note 9, Strategic License Agreements, to our 2022 Annual Financials included elsewhere in this prospectus.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Accrued research and development costs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record the costs associated with research nonclinical studies, clinical trials, and manufacturing development as incurred. These costs are a significant component of our research and development expenses, with a substantial portion of our on-going research and development activities conducted by third-party service providers, including CROs and CMOs.</w:t>
      </w:r>
    </w:p>
    <w:p>
      <w:pPr>
        <w:spacing w:after="0" w:line="184"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We accrue for expenses resulting from obligations under agreements with CROs, CMOs, and other outside service providers for which payment flows do not match the periods over which materials or services are provided to us. We record accruals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We make significant judgments and estimates in determining the accrual balance in each reporting period. In the event advance payments are made to a CRO, CMO, or outside service provider, the payments will be recorded as a prepaid asset which will be amortized as the contracted services are performed. As actual costs become known, we adjust our accruals. Inputs, such as the services performed, the number of patients enrolled, or the study duration, may vary from our estimates, resulting in adjustments to research and development expense in future periods. Changes in these estimates that result in material changes to our accruals could materially affect our results of operations. However, there have been no material changes in estimates for the periods presented.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ROU Assets and Leasehold Improvements</w:t>
      </w:r>
    </w:p>
    <w:p>
      <w:pPr>
        <w:spacing w:after="0" w:line="11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We are required to test for impairment of our long-lived assets when events arise that would call into question the recoverability of an asset group. We determined that the abandonment of our leased office space in Austin, Texas would meet this criteria. Accordingly, we tested for impairment using a discounted future cash flow model using estimated cash flows that could be obtained through a hypothetical sub-letting of the leased space.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Preferred Stock Issued through PIPE</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record shares of convertible preferred stock at their respective fair values on the dates of issuance, net of issuance costs. The Company has applied the guidance in ASC 480-10-S99-3A, SEC Staff Announcement: Classification and Measurement of Redeemable Securities, and has therefore classified the Series A Preferred Stock outside of stockholders’ (deficit) equity because, if conversion to common stock is not approved by the stockholders, the Series A Preferred Stock will be redeemable at the option of the holders for cash equal to the closing price of the common stock on the last trading day prior to the holder’s redemption request. We determined that the conversion and redemption are outside of our control. Additionally, we determined the conversion and redemption features did not require bifurcation as derivatives.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Contingent Value Rights Liability</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On July 3, 2023, we issued a CVR to Legacy Stockholders, but these were not issued to holders of shares of common stock or preferred stock issued to former stockholders of Spyre or the Investors in connection with the Transactions. Each CVR entitles the holder thereof to receive cash payments in the future calculated on the monetization or disposal of legacy Aeglea assets within the CVR period. Certain contingent payments under the CVR Agreement qualify as derivatives under ASC 815, Derivatives and Hedging, and are recorded as a liability on the balance sheet as of September 30, 2023. The CVR liability is considered a Level 3 instrument that is initially measured at its estimated fair value on the transaction date and subsequently remeasured at each reporting date with changes recorded in the consolidated statement of operations. The determination of the initial and subsequent fair value of the CVR liability requires significant judgment by management. Changes in any of the inputs not related to facts and circumstances existing as of the transaction date may result in a significant fair value adjustment, which can impact the results of operations in the period in which the adjustment is made.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2023 and 2022, together with the changes in those items in dollars and as a percentage: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right"/>
              <w:ind w:right="64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right"/>
              <w:ind w:right="86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60" w:type="dxa"/>
            <w:vAlign w:val="bottom"/>
            <w:gridSpan w:val="2"/>
          </w:tcPr>
          <w:p>
            <w:pPr>
              <w:jc w:val="right"/>
              <w:ind w:right="541"/>
              <w:spacing w:after="0"/>
              <w:rPr>
                <w:sz w:val="20"/>
                <w:szCs w:val="20"/>
                <w:color w:val="auto"/>
              </w:rPr>
            </w:pPr>
            <w:r>
              <w:rPr>
                <w:rFonts w:ascii="Arial" w:cs="Arial" w:eastAsia="Arial" w:hAnsi="Arial"/>
                <w:sz w:val="14"/>
                <w:szCs w:val="14"/>
                <w:b w:val="1"/>
                <w:bCs w:val="1"/>
                <w:color w:val="auto"/>
              </w:rPr>
              <w:t>Dollar</w:t>
            </w: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01"/>
              <w:spacing w:after="0" w:line="142" w:lineRule="exact"/>
              <w:rPr>
                <w:sz w:val="20"/>
                <w:szCs w:val="20"/>
                <w:color w:val="auto"/>
              </w:rPr>
            </w:pPr>
            <w:r>
              <w:rPr>
                <w:rFonts w:ascii="Arial" w:cs="Arial" w:eastAsia="Arial" w:hAnsi="Arial"/>
                <w:sz w:val="14"/>
                <w:szCs w:val="14"/>
                <w:b w:val="1"/>
                <w:bCs w:val="1"/>
                <w:color w:val="auto"/>
                <w:w w:val="89"/>
              </w:rPr>
              <w:t>Change</w:t>
            </w:r>
          </w:p>
        </w:tc>
        <w:tc>
          <w:tcPr>
            <w:tcW w:w="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5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61"/>
              <w:spacing w:after="0" w:line="142" w:lineRule="exact"/>
              <w:rPr>
                <w:sz w:val="20"/>
                <w:szCs w:val="20"/>
                <w:color w:val="auto"/>
              </w:rPr>
            </w:pPr>
            <w:r>
              <w:rPr>
                <w:rFonts w:ascii="Arial" w:cs="Arial" w:eastAsia="Arial" w:hAnsi="Arial"/>
                <w:sz w:val="14"/>
                <w:szCs w:val="14"/>
                <w:b w:val="1"/>
                <w:bCs w:val="1"/>
                <w:color w:val="auto"/>
                <w:w w:val="92"/>
              </w:rPr>
              <w:t>(dollars 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Development fee and royalty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1"/>
              <w:spacing w:after="0"/>
              <w:rPr>
                <w:sz w:val="20"/>
                <w:szCs w:val="20"/>
                <w:color w:val="auto"/>
              </w:rPr>
            </w:pPr>
            <w:r>
              <w:rPr>
                <w:rFonts w:ascii="Arial" w:cs="Arial" w:eastAsia="Arial" w:hAnsi="Arial"/>
                <w:sz w:val="18"/>
                <w:szCs w:val="18"/>
                <w:color w:val="auto"/>
              </w:rPr>
              <w:t>174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1"/>
              <w:spacing w:after="0"/>
              <w:rPr>
                <w:sz w:val="20"/>
                <w:szCs w:val="20"/>
                <w:color w:val="auto"/>
              </w:rPr>
            </w:pPr>
            <w:r>
              <w:rPr>
                <w:rFonts w:ascii="Arial" w:cs="Arial" w:eastAsia="Arial" w:hAnsi="Arial"/>
                <w:sz w:val="18"/>
                <w:szCs w:val="18"/>
                <w:color w:val="auto"/>
              </w:rPr>
              <w:t>(174)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(174)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 (income):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24,660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11,977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12,683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1"/>
              <w:spacing w:after="0"/>
              <w:rPr>
                <w:sz w:val="20"/>
                <w:szCs w:val="20"/>
                <w:color w:val="auto"/>
              </w:rPr>
            </w:pPr>
            <w:r>
              <w:rPr>
                <w:rFonts w:ascii="Arial" w:cs="Arial" w:eastAsia="Arial" w:hAnsi="Arial"/>
                <w:sz w:val="18"/>
                <w:szCs w:val="18"/>
                <w:color w:val="auto"/>
              </w:rPr>
              <w:t>6,952</w:t>
            </w:r>
          </w:p>
        </w:tc>
        <w:tc>
          <w:tcPr>
            <w:tcW w:w="100" w:type="dxa"/>
            <w:vAlign w:val="bottom"/>
          </w:tcPr>
          <w:p>
            <w:pPr>
              <w:spacing w:after="0"/>
              <w:rPr>
                <w:sz w:val="18"/>
                <w:szCs w:val="18"/>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color w:val="auto"/>
              </w:rPr>
              <w:t>1,632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(298)</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Gain on sale of in-process research and development asset</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(14,609)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1"/>
              <w:spacing w:after="0"/>
              <w:rPr>
                <w:sz w:val="20"/>
                <w:szCs w:val="20"/>
                <w:color w:val="auto"/>
              </w:rPr>
            </w:pPr>
            <w:r>
              <w:rPr>
                <w:rFonts w:ascii="Arial" w:cs="Arial" w:eastAsia="Arial" w:hAnsi="Arial"/>
                <w:sz w:val="18"/>
                <w:szCs w:val="18"/>
                <w:color w:val="auto"/>
                <w:w w:val="92"/>
              </w:rPr>
              <w:t>(14,609)</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18,929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(592)</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(18,337)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(18,755)</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4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963</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Change in fair value of forward contract liability</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(25,360)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1"/>
              <w:spacing w:after="0"/>
              <w:rPr>
                <w:sz w:val="20"/>
                <w:szCs w:val="20"/>
                <w:color w:val="auto"/>
              </w:rPr>
            </w:pPr>
            <w:r>
              <w:rPr>
                <w:rFonts w:ascii="Arial" w:cs="Arial" w:eastAsia="Arial" w:hAnsi="Arial"/>
                <w:sz w:val="18"/>
                <w:szCs w:val="18"/>
                <w:color w:val="auto"/>
                <w:w w:val="92"/>
              </w:rPr>
              <w:t>(25,360)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2,318</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(40,104)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(18,443)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(21,661)</w:t>
            </w:r>
          </w:p>
        </w:tc>
        <w:tc>
          <w:tcPr>
            <w:tcW w:w="4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(212)</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(40,107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(18,234</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(21,873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Percentage not meaningful</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 xml:space="preserve">Development Fee and Royalty Revenue. </w:t>
      </w:r>
      <w:r>
        <w:rPr>
          <w:rFonts w:ascii="Arial" w:cs="Arial" w:eastAsia="Arial" w:hAnsi="Arial"/>
          <w:sz w:val="18"/>
          <w:szCs w:val="18"/>
          <w:color w:val="auto"/>
        </w:rPr>
        <w:t>For the three months ended September 30, 2023, we did not recognize any revenue in connection with the our</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license and supply agreement with Immedica Pharma AB (the “Immedica Agreement”). For the three months ended September 30, 2022, we recognized $0.2 million of development fee revenue in connection with the Immedica Agreement, which was attributable to the PEACE Phase 3 trial and BLA package.</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Our Research and development expenses incurred during the three months ended September 30, 2023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costs associated with advancing our IBD pipeline and with winding down our legacy rare disease clinical studies. Wind down costs include final patient visits, collection and analysis of final patient data, the creation and submission of final research reports, site and pharmacy closeouts, and formally closing the studies with regulatory agencies. Research and development expenses increased by $12.7 million, or 106%, to $24.7 million for the three months ended September 30, 2023, from $12.0 million for the three months ended September 30, 2022. The change in research and development expenses was primarily due to a $22.4 million increase in preclinical development and manufacturing expenses for our IBD pipeline, partially offset by a $10.0 million decrease in expenses associated with the legacy Aeglea rare disease pipeline.</w:t>
      </w:r>
    </w:p>
    <w:p>
      <w:pPr>
        <w:spacing w:after="0" w:line="17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by $1.6 million, or 23%, to $8.6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2023, from $7.0 million for the three months ended September 30, 2022. The increase in general and administrative expenses was primarily due to a $1.1 million increase in legal costs and a $0.6 million increase in employee separation costs.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Gain on Sale of In-Process Research and Development Asset</w:t>
      </w:r>
      <w:r>
        <w:rPr>
          <w:rFonts w:ascii="Arial" w:cs="Arial" w:eastAsia="Arial" w:hAnsi="Arial"/>
          <w:sz w:val="18"/>
          <w:szCs w:val="18"/>
          <w:color w:val="auto"/>
        </w:rPr>
        <w:t>. Gain on sale of in-process research and development asset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was due to the gain recognized on the sale of pegzilarginase to Immedica. There was no similar gain or loss during the three months ended September 30, 2022.</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i w:val="1"/>
          <w:iCs w:val="1"/>
          <w:color w:val="auto"/>
        </w:rPr>
        <w:t>Change in Fair Value of Forward Contract Liability</w:t>
      </w:r>
      <w:r>
        <w:rPr>
          <w:rFonts w:ascii="Arial" w:cs="Arial" w:eastAsia="Arial" w:hAnsi="Arial"/>
          <w:sz w:val="18"/>
          <w:szCs w:val="18"/>
          <w:color w:val="auto"/>
        </w:rPr>
        <w:t>. Non-cash expenses associated with the change in fair value of the forward contract liability were</w:t>
      </w:r>
      <w:r>
        <w:rPr>
          <w:rFonts w:ascii="Arial" w:cs="Arial" w:eastAsia="Arial" w:hAnsi="Arial"/>
          <w:sz w:val="18"/>
          <w:szCs w:val="18"/>
          <w:i w:val="1"/>
          <w:iCs w:val="1"/>
          <w:color w:val="auto"/>
        </w:rPr>
        <w:t xml:space="preserve"> </w:t>
      </w:r>
      <w:r>
        <w:rPr>
          <w:rFonts w:ascii="Arial" w:cs="Arial" w:eastAsia="Arial" w:hAnsi="Arial"/>
          <w:sz w:val="18"/>
          <w:szCs w:val="18"/>
          <w:color w:val="auto"/>
        </w:rPr>
        <w:t>$25.4 million for the three months ended September 30, 2023. This expense was due to the change in fair value of the underlying Series A Preferred Stock between June 30, 2023 and the forward contract’s settlement on July 7, 2023. There was no similar expense during the three months ended September 30, 2022.</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2023 and 2022, together with the changes in those items in dollars and as a percentage: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7"/>
          </w:tcPr>
          <w:p>
            <w:pPr>
              <w:jc w:val="right"/>
              <w:ind w:right="72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7"/>
          </w:tcPr>
          <w:p>
            <w:pPr>
              <w:jc w:val="right"/>
              <w:ind w:right="90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140" w:type="dxa"/>
            <w:vAlign w:val="bottom"/>
            <w:gridSpan w:val="2"/>
          </w:tcPr>
          <w:p>
            <w:pPr>
              <w:jc w:val="right"/>
              <w:ind w:right="581"/>
              <w:spacing w:after="0"/>
              <w:rPr>
                <w:sz w:val="20"/>
                <w:szCs w:val="20"/>
                <w:color w:val="auto"/>
              </w:rPr>
            </w:pPr>
            <w:r>
              <w:rPr>
                <w:rFonts w:ascii="Arial" w:cs="Arial" w:eastAsia="Arial" w:hAnsi="Arial"/>
                <w:sz w:val="14"/>
                <w:szCs w:val="14"/>
                <w:b w:val="1"/>
                <w:bCs w:val="1"/>
                <w:color w:val="auto"/>
              </w:rPr>
              <w:t>Dollar</w:t>
            </w: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1"/>
              <w:spacing w:after="0" w:line="142" w:lineRule="exact"/>
              <w:rPr>
                <w:sz w:val="20"/>
                <w:szCs w:val="20"/>
                <w:color w:val="auto"/>
              </w:rPr>
            </w:pPr>
            <w:r>
              <w:rPr>
                <w:rFonts w:ascii="Arial" w:cs="Arial" w:eastAsia="Arial" w:hAnsi="Arial"/>
                <w:sz w:val="14"/>
                <w:szCs w:val="14"/>
                <w:b w:val="1"/>
                <w:bCs w:val="1"/>
                <w:color w:val="auto"/>
                <w:w w:val="97"/>
              </w:rPr>
              <w:t>Change</w:t>
            </w:r>
          </w:p>
        </w:tc>
        <w:tc>
          <w:tcPr>
            <w:tcW w:w="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5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61"/>
              <w:spacing w:after="0" w:line="142" w:lineRule="exact"/>
              <w:rPr>
                <w:sz w:val="20"/>
                <w:szCs w:val="20"/>
                <w:color w:val="auto"/>
              </w:rPr>
            </w:pPr>
            <w:r>
              <w:rPr>
                <w:rFonts w:ascii="Arial" w:cs="Arial" w:eastAsia="Arial" w:hAnsi="Arial"/>
                <w:sz w:val="14"/>
                <w:szCs w:val="14"/>
                <w:b w:val="1"/>
                <w:bCs w:val="1"/>
                <w:color w:val="auto"/>
                <w:w w:val="92"/>
              </w:rPr>
              <w:t>(dollars in thousands)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Development fee and royalty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1"/>
              <w:spacing w:after="0"/>
              <w:rPr>
                <w:sz w:val="20"/>
                <w:szCs w:val="20"/>
                <w:color w:val="auto"/>
              </w:rPr>
            </w:pPr>
            <w:r>
              <w:rPr>
                <w:rFonts w:ascii="Arial" w:cs="Arial" w:eastAsia="Arial" w:hAnsi="Arial"/>
                <w:sz w:val="18"/>
                <w:szCs w:val="18"/>
                <w:color w:val="auto"/>
              </w:rPr>
              <w:t>2,161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(1,275)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7"/>
        </w:trPr>
        <w:tc>
          <w:tcPr>
            <w:tcW w:w="5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(1,275)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expenses (income):</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55,822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44,328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11,494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25,874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1"/>
              <w:spacing w:after="0"/>
              <w:rPr>
                <w:sz w:val="20"/>
                <w:szCs w:val="20"/>
                <w:color w:val="auto"/>
              </w:rPr>
            </w:pPr>
            <w:r>
              <w:rPr>
                <w:rFonts w:ascii="Arial" w:cs="Arial" w:eastAsia="Arial" w:hAnsi="Arial"/>
                <w:sz w:val="18"/>
                <w:szCs w:val="18"/>
                <w:color w:val="auto"/>
                <w:w w:val="98"/>
              </w:rPr>
              <w:t>23,452</w:t>
            </w:r>
          </w:p>
        </w:tc>
        <w:tc>
          <w:tcPr>
            <w:tcW w:w="100" w:type="dxa"/>
            <w:vAlign w:val="bottom"/>
          </w:tcPr>
          <w:p>
            <w:pPr>
              <w:spacing w:after="0"/>
              <w:rPr>
                <w:sz w:val="18"/>
                <w:szCs w:val="18"/>
                <w:color w:val="auto"/>
              </w:rPr>
            </w:pPr>
          </w:p>
        </w:tc>
        <w:tc>
          <w:tcPr>
            <w:tcW w:w="1140" w:type="dxa"/>
            <w:vAlign w:val="bottom"/>
            <w:gridSpan w:val="2"/>
          </w:tcPr>
          <w:p>
            <w:pPr>
              <w:jc w:val="right"/>
              <w:ind w:right="401"/>
              <w:spacing w:after="0"/>
              <w:rPr>
                <w:sz w:val="20"/>
                <w:szCs w:val="20"/>
                <w:color w:val="auto"/>
              </w:rPr>
            </w:pPr>
            <w:r>
              <w:rPr>
                <w:rFonts w:ascii="Arial" w:cs="Arial" w:eastAsia="Arial" w:hAnsi="Arial"/>
                <w:sz w:val="18"/>
                <w:szCs w:val="18"/>
                <w:color w:val="auto"/>
              </w:rPr>
              <w:t>2,422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130,188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130,188</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Gain on sale of in-process research and development asset</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(14,609)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(14,609)</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197,275</w:t>
            </w:r>
          </w:p>
        </w:tc>
        <w:tc>
          <w:tcPr>
            <w:tcW w:w="1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67,780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129,495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(196,389)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(65,619)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(130,770)</w:t>
            </w:r>
          </w:p>
        </w:tc>
        <w:tc>
          <w:tcPr>
            <w:tcW w:w="4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1,594</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Change in fair value of forward contract liability</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(83,530)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(83,530)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2,237</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(275,636)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(65,167)</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(210,469)</w:t>
            </w:r>
          </w:p>
        </w:tc>
        <w:tc>
          <w:tcPr>
            <w:tcW w:w="4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(148)</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(275,610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(64,993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(210,617</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Percentage not meaningful</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 xml:space="preserve">Development Fee and Royalty Revenue. </w:t>
      </w:r>
      <w:r>
        <w:rPr>
          <w:rFonts w:ascii="Arial" w:cs="Arial" w:eastAsia="Arial" w:hAnsi="Arial"/>
          <w:sz w:val="17"/>
          <w:szCs w:val="17"/>
          <w:color w:val="auto"/>
        </w:rPr>
        <w:t>For the nine months ended September 30, 2023, we recognized $0.9 million of revenue in connection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Immedica Agreement. The revenue generated was attributable to the PEACE Phase 3 trial and drug supply and royalties from an early access program in France. For the nine months ended September 30, 2022, we recognized $2.2 million of development fee revenue in connection with the Immedica Agreement, which was attributable to the PEACE Phase 3 trial and BLA package.</w:t>
      </w:r>
    </w:p>
    <w:p>
      <w:pPr>
        <w:spacing w:after="0" w:line="171"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Our research and development expenses incurred during the nine months ended September 30, 2023 were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related to clinical study costs associated with our legacy assets, costs associated with the wind down of those legacy assets, and costs associated with furthering our IBD pipeline candidates. Wind down costs included final patient visits, collection and analysis of final patient data,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creation and submission of final research reports, site and pharmacy closeouts, and formally closing the studies with regulatory agencies. Research and development expenses increased by $11.5 million, or 26%, to $55.8 million for the nine months ended September 30, 2023, from $44.3 million for the nine months ended September 30, 2022. The change in research and development expenses was primarily due to:</w:t>
      </w:r>
    </w:p>
    <w:p>
      <w:pPr>
        <w:spacing w:after="0" w:line="7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$23.6 million increase in preclinical development and manufacturing expenses for our IBD pipeline;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$2.4 million increase in restructuring costs net of savings; partially offset 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$14.5 million decrease in activities associated with the legacy Aeglea rare disease pipeline.</w:t>
      </w:r>
    </w:p>
    <w:p>
      <w:pPr>
        <w:spacing w:after="0" w:line="22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by $2.4 million, or 10%, to $25.9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2023, from $23.5 million for the nine months ended September 30, 2022. The increase in general and administrative expenses was primarily due to a $2.6 million increase in restructuring costs, net of restructuring savings, coupled with a $1.1 million increase in legal fees and a $0.5 million increase in employee separation costs, partially offset by a $1.8 million decrease in legacy commercial readiness activities.</w:t>
      </w:r>
    </w:p>
    <w:p>
      <w:pPr>
        <w:spacing w:after="0" w:line="1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Gain on Sale of In-Process Research and Development Asset</w:t>
      </w:r>
      <w:r>
        <w:rPr>
          <w:rFonts w:ascii="Arial" w:cs="Arial" w:eastAsia="Arial" w:hAnsi="Arial"/>
          <w:sz w:val="18"/>
          <w:szCs w:val="18"/>
          <w:color w:val="auto"/>
        </w:rPr>
        <w:t>. Gain on sale of in-process research and development asset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was due to the gain recognized on the sale of pegzilarginase to Immedica. There was no similar gain or loss during the nine months ended September 30, 2022.</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Acquired In-process Research and Development Expenses</w:t>
      </w:r>
      <w:r>
        <w:rPr>
          <w:rFonts w:ascii="Arial" w:cs="Arial" w:eastAsia="Arial" w:hAnsi="Arial"/>
          <w:sz w:val="18"/>
          <w:szCs w:val="18"/>
          <w:color w:val="auto"/>
        </w:rPr>
        <w:t>. Acquired in-process research and development expenses were $130.2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2023, as the Spyre transaction was determined by management to be an asset acquisition, in accordance with U.S. GAAP as the product candidates were determined to have no alternative future use. There was no similar expense during the nine months ended September 30, 2022.</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i w:val="1"/>
          <w:iCs w:val="1"/>
          <w:color w:val="auto"/>
        </w:rPr>
        <w:t>Change in Fair Value of Forward Contract Liability</w:t>
      </w:r>
      <w:r>
        <w:rPr>
          <w:rFonts w:ascii="Arial" w:cs="Arial" w:eastAsia="Arial" w:hAnsi="Arial"/>
          <w:sz w:val="18"/>
          <w:szCs w:val="18"/>
          <w:color w:val="auto"/>
        </w:rPr>
        <w:t>. Non-cash expenses associated with the change in fair value of the forward contract liability were</w:t>
      </w:r>
      <w:r>
        <w:rPr>
          <w:rFonts w:ascii="Arial" w:cs="Arial" w:eastAsia="Arial" w:hAnsi="Arial"/>
          <w:sz w:val="18"/>
          <w:szCs w:val="18"/>
          <w:i w:val="1"/>
          <w:iCs w:val="1"/>
          <w:color w:val="auto"/>
        </w:rPr>
        <w:t xml:space="preserve"> </w:t>
      </w:r>
      <w:r>
        <w:rPr>
          <w:rFonts w:ascii="Arial" w:cs="Arial" w:eastAsia="Arial" w:hAnsi="Arial"/>
          <w:sz w:val="18"/>
          <w:szCs w:val="18"/>
          <w:color w:val="auto"/>
        </w:rPr>
        <w:t>$83.5 million for the nine months ended September 30, 2023. This expense was due to the change in fair value of the underlying Series A Preferred Stock between June 22, 2023 and the forward contract’s settlement on July 7, 2023. There was no similar expense during the nine months ended September 30, 2022.</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2022 and 2021, together with the changes in those items in dollars and as a percentage: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361"/>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Pr>
          <w:p>
            <w:pPr>
              <w:spacing w:after="0"/>
              <w:rPr>
                <w:sz w:val="14"/>
                <w:szCs w:val="14"/>
                <w:color w:val="auto"/>
              </w:rPr>
            </w:pPr>
          </w:p>
        </w:tc>
        <w:tc>
          <w:tcPr>
            <w:tcW w:w="102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rPr>
              <w:t>Dollar</w:t>
            </w: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338"/>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5"/>
          </w:tcPr>
          <w:p>
            <w:pPr>
              <w:jc w:val="right"/>
              <w:ind w:right="858"/>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License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12,000</w:t>
            </w:r>
          </w:p>
        </w:tc>
        <w:tc>
          <w:tcPr>
            <w:tcW w:w="1220" w:type="dxa"/>
            <w:vAlign w:val="bottom"/>
            <w:gridSpan w:val="3"/>
          </w:tcPr>
          <w:p>
            <w:pPr>
              <w:jc w:val="right"/>
              <w:ind w:right="138"/>
              <w:spacing w:after="0"/>
              <w:rPr>
                <w:sz w:val="20"/>
                <w:szCs w:val="20"/>
                <w:color w:val="auto"/>
              </w:rPr>
            </w:pPr>
            <w:r>
              <w:rPr>
                <w:rFonts w:ascii="Arial" w:cs="Arial" w:eastAsia="Arial" w:hAnsi="Arial"/>
                <w:sz w:val="18"/>
                <w:szCs w:val="18"/>
                <w:color w:val="auto"/>
              </w:rPr>
              <w:t>$ (12,000)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6,739</w:t>
            </w:r>
          </w:p>
        </w:tc>
        <w:tc>
          <w:tcPr>
            <w:tcW w:w="122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(4,410)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tcPr>
          <w:p>
            <w:pPr>
              <w:spacing w:after="0"/>
              <w:rPr>
                <w:sz w:val="19"/>
                <w:szCs w:val="19"/>
                <w:color w:val="auto"/>
              </w:rPr>
            </w:pPr>
          </w:p>
        </w:tc>
        <w:tc>
          <w:tcPr>
            <w:tcW w:w="574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(16,410)</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58,579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57,069</w:t>
            </w:r>
          </w:p>
        </w:tc>
        <w:tc>
          <w:tcPr>
            <w:tcW w:w="1220" w:type="dxa"/>
            <w:vAlign w:val="bottom"/>
            <w:gridSpan w:val="3"/>
          </w:tcPr>
          <w:p>
            <w:pPr>
              <w:jc w:val="right"/>
              <w:ind w:right="198"/>
              <w:spacing w:after="0"/>
              <w:rPr>
                <w:sz w:val="20"/>
                <w:szCs w:val="20"/>
                <w:color w:val="auto"/>
              </w:rPr>
            </w:pPr>
            <w:r>
              <w:rPr>
                <w:rFonts w:ascii="Arial" w:cs="Arial" w:eastAsia="Arial" w:hAnsi="Arial"/>
                <w:sz w:val="18"/>
                <w:szCs w:val="18"/>
                <w:color w:val="auto"/>
              </w:rPr>
              <w:t>1,510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28,531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27,319</w:t>
            </w:r>
          </w:p>
        </w:tc>
        <w:tc>
          <w:tcPr>
            <w:tcW w:w="1220" w:type="dxa"/>
            <w:vAlign w:val="bottom"/>
            <w:gridSpan w:val="3"/>
            <w:shd w:val="clear" w:color="auto" w:fill="CCEEFF"/>
          </w:tcPr>
          <w:p>
            <w:pPr>
              <w:jc w:val="right"/>
              <w:ind w:right="198"/>
              <w:spacing w:after="0"/>
              <w:rPr>
                <w:sz w:val="20"/>
                <w:szCs w:val="20"/>
                <w:color w:val="auto"/>
              </w:rPr>
            </w:pPr>
            <w:r>
              <w:rPr>
                <w:rFonts w:ascii="Arial" w:cs="Arial" w:eastAsia="Arial" w:hAnsi="Arial"/>
                <w:sz w:val="18"/>
                <w:szCs w:val="18"/>
                <w:color w:val="auto"/>
              </w:rPr>
              <w:t>1,212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20"/>
                <w:szCs w:val="20"/>
                <w:color w:val="auto"/>
              </w:rPr>
            </w:pPr>
          </w:p>
        </w:tc>
        <w:tc>
          <w:tcPr>
            <w:tcW w:w="57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87,110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(84,781)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8"/>
              </w:rPr>
              <w:t>(65,649)</w:t>
            </w:r>
          </w:p>
        </w:tc>
        <w:tc>
          <w:tcPr>
            <w:tcW w:w="122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(19,132)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111</w:t>
            </w:r>
          </w:p>
        </w:tc>
        <w:tc>
          <w:tcPr>
            <w:tcW w:w="1220" w:type="dxa"/>
            <w:vAlign w:val="bottom"/>
            <w:gridSpan w:val="3"/>
          </w:tcPr>
          <w:p>
            <w:pPr>
              <w:jc w:val="right"/>
              <w:ind w:right="198"/>
              <w:spacing w:after="0"/>
              <w:rPr>
                <w:sz w:val="20"/>
                <w:szCs w:val="20"/>
                <w:color w:val="auto"/>
              </w:rPr>
            </w:pPr>
            <w:r>
              <w:rPr>
                <w:rFonts w:ascii="Arial" w:cs="Arial" w:eastAsia="Arial" w:hAnsi="Arial"/>
                <w:sz w:val="18"/>
                <w:szCs w:val="18"/>
                <w:color w:val="auto"/>
              </w:rPr>
              <w:t>726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(122)</w:t>
            </w:r>
          </w:p>
        </w:tc>
        <w:tc>
          <w:tcPr>
            <w:tcW w:w="1220" w:type="dxa"/>
            <w:vAlign w:val="bottom"/>
            <w:gridSpan w:val="3"/>
            <w:shd w:val="clear" w:color="auto" w:fill="CCEEFF"/>
          </w:tcPr>
          <w:p>
            <w:pPr>
              <w:jc w:val="right"/>
              <w:ind w:right="198"/>
              <w:spacing w:after="0"/>
              <w:rPr>
                <w:sz w:val="20"/>
                <w:szCs w:val="20"/>
                <w:color w:val="auto"/>
              </w:rPr>
            </w:pPr>
            <w:r>
              <w:rPr>
                <w:rFonts w:ascii="Arial" w:cs="Arial" w:eastAsia="Arial" w:hAnsi="Arial"/>
                <w:sz w:val="18"/>
                <w:szCs w:val="18"/>
                <w:color w:val="auto"/>
              </w:rPr>
              <w:t>115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(83,951)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(65,660)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(18,291)</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(141)</w:t>
            </w:r>
          </w:p>
        </w:tc>
        <w:tc>
          <w:tcPr>
            <w:tcW w:w="1220" w:type="dxa"/>
            <w:vAlign w:val="bottom"/>
            <w:gridSpan w:val="3"/>
            <w:shd w:val="clear" w:color="auto" w:fill="CCEEFF"/>
          </w:tcPr>
          <w:p>
            <w:pPr>
              <w:jc w:val="right"/>
              <w:ind w:right="198"/>
              <w:spacing w:after="0"/>
              <w:rPr>
                <w:sz w:val="20"/>
                <w:szCs w:val="20"/>
                <w:color w:val="auto"/>
              </w:rPr>
            </w:pPr>
            <w:r>
              <w:rPr>
                <w:rFonts w:ascii="Arial" w:cs="Arial" w:eastAsia="Arial" w:hAnsi="Arial"/>
                <w:sz w:val="18"/>
                <w:szCs w:val="18"/>
                <w:color w:val="auto"/>
              </w:rPr>
              <w:t>277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r>
      <w:tr>
        <w:trPr>
          <w:trHeight w:val="237"/>
        </w:trPr>
        <w:tc>
          <w:tcPr>
            <w:tcW w:w="5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8"/>
              </w:rPr>
              <w:t>(83,815</w:t>
            </w:r>
          </w:p>
        </w:tc>
        <w:tc>
          <w:tcPr>
            <w:tcW w:w="500" w:type="dxa"/>
            <w:vAlign w:val="bottom"/>
            <w:gridSpan w:val="2"/>
          </w:tcPr>
          <w:p>
            <w:pPr>
              <w:jc w:val="right"/>
              <w:ind w:right="4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Arial" w:cs="Arial" w:eastAsia="Arial" w:hAnsi="Arial"/>
                <w:sz w:val="20"/>
                <w:szCs w:val="20"/>
                <w:u w:val="single" w:color="auto"/>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5"/>
              </w:rPr>
              <w:t>(65,801</w:t>
            </w:r>
          </w:p>
        </w:tc>
        <w:tc>
          <w:tcPr>
            <w:tcW w:w="30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20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u w:val="single" w:color="auto"/>
                <w:color w:val="auto"/>
                <w:w w:val="85"/>
              </w:rPr>
              <w:t>$</w:t>
            </w:r>
            <w:r>
              <w:rPr>
                <w:rFonts w:ascii="Arial" w:cs="Arial" w:eastAsia="Arial" w:hAnsi="Arial"/>
                <w:sz w:val="20"/>
                <w:szCs w:val="20"/>
                <w:color w:val="auto"/>
                <w:w w:val="85"/>
              </w:rPr>
              <w:t xml:space="preserve"> (18,014</w:t>
            </w:r>
          </w:p>
        </w:tc>
        <w:tc>
          <w:tcPr>
            <w:tcW w:w="280" w:type="dxa"/>
            <w:vAlign w:val="bottom"/>
          </w:tcPr>
          <w:p>
            <w:pPr>
              <w:jc w:val="right"/>
              <w:ind w:right="138"/>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Percentage not meaningful</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i w:val="1"/>
          <w:iCs w:val="1"/>
          <w:color w:val="auto"/>
        </w:rPr>
        <w:t xml:space="preserve">License and Development Fee Revenue. </w:t>
      </w:r>
      <w:r>
        <w:rPr>
          <w:rFonts w:ascii="Arial" w:cs="Arial" w:eastAsia="Arial" w:hAnsi="Arial"/>
          <w:sz w:val="17"/>
          <w:szCs w:val="17"/>
          <w:color w:val="auto"/>
        </w:rPr>
        <w:t>For the year ended December 31, 2022, we recognized $2.3 million of development fee revenue allocated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PEACE Phase 3 trial and BLA package of the Immedica Agreement. For the year ended December 31, 2021, we recognized $18.7 million of license and development fee revenue in connection with the Immedica Agreement. The total revenue generated was attributable to $12.0 million allocated to the license and $6.7 million allocated to the PEACE Phase 3 trial and BLA package. Please refer to Note 9, Strategic License Agreements, to the 2022 Annual Financials included elsewhere in this prospectus for additional disclosures around revenue recognition.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increased $1.5 million, or 3%, to $58.6 million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31, 2022 from $57.1 million for the year ended December 31, 2021. The change in research and development expenses was due to:</w:t>
      </w:r>
    </w:p>
    <w:p>
      <w:pPr>
        <w:spacing w:after="0" w:line="128" w:lineRule="exact"/>
        <w:rPr>
          <w:sz w:val="20"/>
          <w:szCs w:val="20"/>
          <w:color w:val="auto"/>
        </w:rPr>
      </w:pPr>
    </w:p>
    <w:p>
      <w:pPr>
        <w:ind w:left="1080" w:right="120" w:hanging="424"/>
        <w:spacing w:after="0" w:line="28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$1.1 million increase in expenses associated with pegzilarginase primarily due to a $1.4 million increase related to activities involved in closing the PEACE trial and ramping up the new open-label extension trial for the treatment of patients with Arginase 1 Deficiency, partially offset by a $0.3 million decrease in professional services to support the pegzilarginase program;</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$2.8 million increase in expense associated with IND-enabling activities of AGLE-325 for the treatment of patients with Cystinuria;</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$0.6 million increase in personnel-related expenses, primarily driven by an increase of headcount expenses;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$1.5 million decrease in expenses primarily associated with the completion of non-clinical toxicology studies in the prior year for pegtarviliase for the treatment of patients with Homocystinuria;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$0.6 million decrease due to reduction in preclinical lab work; and</w:t>
      </w:r>
    </w:p>
    <w:p>
      <w:pPr>
        <w:spacing w:after="0" w:line="130" w:lineRule="exact"/>
        <w:rPr>
          <w:rFonts w:ascii="Arial" w:cs="Arial" w:eastAsia="Arial" w:hAnsi="Arial"/>
          <w:sz w:val="18"/>
          <w:szCs w:val="18"/>
          <w:color w:val="auto"/>
        </w:rPr>
      </w:pPr>
    </w:p>
    <w:p>
      <w:pPr>
        <w:ind w:left="5540" w:right="40" w:hanging="4884"/>
        <w:spacing w:after="0" w:line="449" w:lineRule="auto"/>
        <w:tabs>
          <w:tab w:leader="none" w:pos="10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$0.9 million decrease in other research and development expenses, primarily related to a reduction of consulting and recruiting activities. 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by $1.2 million, or 4%, to $28.5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from $27.3 million for the year ended December 31, 2021. The increase in general and administrative expenses was primarily due to a $0.8 million increase in expense related to our commercial capabilities and infrastructure and $0.4 million increase in expenses related to financing activities.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2021 and 2020, together with the changes in those items in dollars and as a percentage: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40" w:type="dxa"/>
            <w:vAlign w:val="bottom"/>
            <w:gridSpan w:val="6"/>
          </w:tcPr>
          <w:p>
            <w:pPr>
              <w:jc w:val="right"/>
              <w:ind w:right="1001"/>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Dollar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2"/>
                <w:szCs w:val="12"/>
                <w:color w:val="auto"/>
              </w:rPr>
            </w:pPr>
          </w:p>
        </w:tc>
        <w:tc>
          <w:tcPr>
            <w:tcW w:w="11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97"/>
              </w:rPr>
              <w:t>Change</w:t>
            </w: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 Change</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w w:val="99"/>
              </w:rPr>
              <w:t>(dollars in thousands)</w:t>
            </w:r>
          </w:p>
        </w:tc>
        <w:tc>
          <w:tcPr>
            <w:tcW w:w="5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License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$ 12,000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6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$12,000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fee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5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57,069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1"/>
              <w:spacing w:after="0"/>
              <w:rPr>
                <w:sz w:val="20"/>
                <w:szCs w:val="20"/>
                <w:color w:val="auto"/>
              </w:rPr>
            </w:pPr>
            <w:r>
              <w:rPr>
                <w:rFonts w:ascii="Arial" w:cs="Arial" w:eastAsia="Arial" w:hAnsi="Arial"/>
                <w:sz w:val="18"/>
                <w:szCs w:val="18"/>
                <w:color w:val="auto"/>
                <w:w w:val="98"/>
              </w:rPr>
              <w:t>59,638</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(2,569)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w w:val="98"/>
              </w:rPr>
              <w:t>21,843</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5,476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20"/>
                <w:szCs w:val="20"/>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81,481</w:t>
            </w:r>
          </w:p>
        </w:tc>
        <w:tc>
          <w:tcPr>
            <w:tcW w:w="5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5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(65,649)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89"/>
              </w:rPr>
              <w:t>(81,481)</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15,832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1"/>
              <w:spacing w:after="0"/>
              <w:rPr>
                <w:sz w:val="20"/>
                <w:szCs w:val="20"/>
                <w:color w:val="auto"/>
              </w:rPr>
            </w:pPr>
            <w:r>
              <w:rPr>
                <w:rFonts w:ascii="Arial" w:cs="Arial" w:eastAsia="Arial" w:hAnsi="Arial"/>
                <w:sz w:val="18"/>
                <w:szCs w:val="18"/>
                <w:color w:val="auto"/>
              </w:rPr>
              <w:t>593</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(482)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(65,660)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(80,893)</w:t>
            </w:r>
          </w:p>
        </w:tc>
        <w:tc>
          <w:tcPr>
            <w:tcW w:w="5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15,233</w:t>
            </w:r>
          </w:p>
        </w:tc>
        <w:tc>
          <w:tcPr>
            <w:tcW w:w="5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(65,801</w:t>
            </w:r>
          </w:p>
        </w:tc>
        <w:tc>
          <w:tcPr>
            <w:tcW w:w="560" w:type="dxa"/>
            <w:vAlign w:val="bottom"/>
            <w:gridSpan w:val="2"/>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(80,893</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15,092</w:t>
            </w:r>
          </w:p>
        </w:tc>
        <w:tc>
          <w:tcPr>
            <w:tcW w:w="5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Percentage not meaningful</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i w:val="1"/>
          <w:iCs w:val="1"/>
          <w:color w:val="auto"/>
        </w:rPr>
        <w:t xml:space="preserve">License and Development Fee Revenue. </w:t>
      </w:r>
      <w:r>
        <w:rPr>
          <w:rFonts w:ascii="Arial" w:cs="Arial" w:eastAsia="Arial" w:hAnsi="Arial"/>
          <w:sz w:val="18"/>
          <w:szCs w:val="18"/>
          <w:color w:val="auto"/>
        </w:rPr>
        <w:t>For the year ended December 31, 2021, we recognized $18.7 million of license and development fee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Immedica Agreement. The total revenue generated of $18.7 million was attributable to $12.0 million allocated to the license and $6.7 million allocated to the PEACE Phase 3 trial and BLA package. We did not recognize any revenue for the year ended December 31, 2020. Please refer to Note 9, Strategic License Agreements, to the 2022 Annual Financials included elsewhere in this prospectus for additional disclosures around revenue recognition.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decreased by $2.6 million, or 4%, to $57.1 million for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31, 2021 from $59.6 million for the year ended December 31, 2020. The change in research and development expenses was due to:</w:t>
      </w:r>
    </w:p>
    <w:p>
      <w:pPr>
        <w:spacing w:after="0" w:line="128" w:lineRule="exact"/>
        <w:rPr>
          <w:sz w:val="20"/>
          <w:szCs w:val="20"/>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manufacturing expenses, which decreased by $12.4 million as a result of completing certain pre-commercial manufacturing activities for pegzilarginase and formulation, characterization, and stability studies for AGLE-177; offset by</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clinical development expenses, which increased by $5.1 million as a result of ramping-up and completing enrollment in our PEACE Phase 3 trial of pegzilarginase for the treatment of patients with Arginase 1 Deficiency, and preparing and initiating dosing in our Phase 1/2 trial of AGLE-177 for the treatment of Homocystinuria;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higher nonclinical development expenses, which increased by $2.5 million as a result of additional laboratory costs, BLA development activities, and toxicology costs incurred to support our Phase 1/2 trial of AGLE-177 for the treatment of patients with Homocystinuria; and</w:t>
      </w:r>
    </w:p>
    <w:p>
      <w:pPr>
        <w:spacing w:after="0" w:line="29" w:lineRule="exact"/>
        <w:rPr>
          <w:rFonts w:ascii="Arial" w:cs="Arial" w:eastAsia="Arial" w:hAnsi="Arial"/>
          <w:sz w:val="16"/>
          <w:szCs w:val="16"/>
          <w:color w:val="auto"/>
        </w:rPr>
      </w:pPr>
    </w:p>
    <w:p>
      <w:pPr>
        <w:ind w:left="1080" w:right="8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personnel-related expenses, which increased by $2.2 million as a result of changes to employee headcount and additional compensation to support our clinical and research development capabilities.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by $5.5 million, or 25%, to $27.3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from $21.8 million for the year ended December 31, 2020. The increase in general and administrative expenses was primarily due to a $3.6 million increase in compensation and other personnel expenses, including $1.3 million in non-cash stock compensation, driven by additional headcount to establish and execute our commercial planning activities, and $1.9 million of expenses to ramp-up our commercial infrastructure and capabilities.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are a preclinical stage biotechnology company with a limited operating history, and due to our significant research and development expenditures, we have generated operating losses since our inception and have not generated any revenue from the sale of any products. Since our inception and through September 30, 2023, we have funded our operations primarily by raising an aggregate of approximately $716.2 million of gross proceeds from the sale and issuance of convertible preferred stock and common stock, pre-funded warrants, the collection of grant proceeds, and the licensing of our product rights for commercialization of pegzilarginase in Europe and certain countries in the Middle East.</w:t>
      </w:r>
    </w:p>
    <w:p>
      <w:pPr>
        <w:spacing w:after="0" w:line="176" w:lineRule="exact"/>
        <w:rPr>
          <w:sz w:val="20"/>
          <w:szCs w:val="20"/>
          <w:color w:val="auto"/>
        </w:rPr>
      </w:pPr>
    </w:p>
    <w:p>
      <w:pPr>
        <w:ind w:left="120" w:right="180"/>
        <w:spacing w:after="0" w:line="284" w:lineRule="auto"/>
        <w:rPr>
          <w:sz w:val="20"/>
          <w:szCs w:val="20"/>
          <w:color w:val="auto"/>
        </w:rPr>
      </w:pPr>
      <w:r>
        <w:rPr>
          <w:rFonts w:ascii="Arial" w:cs="Arial" w:eastAsia="Arial" w:hAnsi="Arial"/>
          <w:sz w:val="16"/>
          <w:szCs w:val="16"/>
          <w:color w:val="auto"/>
        </w:rPr>
        <w:t>In March 2021, we entered into the Immedica Agreement, pursuant to which Immedica licensed from us the product rights for commercialization of pegzilarginase in the European Economic Area, United Kingdom, Switzerland, Andorra, Monaco, San Marino, Vatican City, Turkey, Saudi Arabia, United Arab Emirates, Qatar, Kuwait, Bahrain, and Oman. In April 2021, we received an upfront payment of $21.5 million from Immedica. Under the terms of the Immedica Agreement, we were also eligible to receive regulatory and commercial milestone payments and entitled to receive royalties in the mid-20% range on the net sales of the product in countries included in the Immedica Agreement. In July 2021, the Immedica Agreement was modified to include additional development services of up to $3.0 million, to support the PEACE Phase 3 trial and the BLA package performance obligation. On July 27, 2023, we announced that we had entered into an agreement to sell the global rights to pegzilarginase to Immedica for</w:t>
      </w:r>
    </w:p>
    <w:p>
      <w:pPr>
        <w:spacing w:after="0" w:line="2"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$15.0 million in upfront cash proceeds and up to $100.0 million in contingent milestone payments. The sale of the global rights to pegzilarginase to Immedica superseded and terminated the previous license agreement between us and Immedica.</w:t>
      </w:r>
    </w:p>
    <w:p>
      <w:pPr>
        <w:spacing w:after="0" w:line="18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May 2022, we sold 430,107 shares of common stock and pre-funded warrants to purchase up to 694,892 shares of common stock in a registered direct offering (the “2022 RDO”), for gross proceeds of $45.0 million, resulting in net proceeds of $42.9 million after deducting placement agent fees and offering costs. The shares of common stock and pre-funded warrants sold in the 2022 RDO were offered pursuant to a shelf registration statement on Form S-3 that we filed and the SEC declared effective in July 2020.</w:t>
      </w:r>
    </w:p>
    <w:p>
      <w:pPr>
        <w:spacing w:after="0" w:line="18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In connection with the Asset Acquisition, in June 2023, we completed a PIPE transaction under which we sold shares of Series A Preferred Stock to a group of Investors. We sold an aggregate of 721,452 shares of Series A Preferred Stock for an aggregate purchase price of approximately $210.0 million, before deducting placement agent and other offering expenses of approximately $12.7 million.</w:t>
      </w:r>
    </w:p>
    <w:p>
      <w:pPr>
        <w:spacing w:after="0" w:line="16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Our primary use of cash is to fund the development of our product candidates, and advance our pipeline. This includes both the research and development costs and the general and administrative expenses required to support those operations. Since we are a preclinical stage biotechnology company, we have incurred significant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operating losses since our inception and we anticipate such losses, in absolute dollar terms, to increase as we pursue clinical development of our product candidates, prepare for the potential commercialization of our product candidates, and expand our development efforts in our pipeline of nonclinical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 and Operational Plan</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Due to our significant research and development expenditures, we have generated substantial losses in each period since inception. We have an accumulated deficit of $701.2 million as of September 30, 2023. We anticipate that we will continue to generate losses into the foreseeable future as we develop our product candidates, seek regulatory approval of those candidates and begin to commercialize any approved products. Until such time as we can generate substantial product revenue, we expect to finance our cash needs through a combination of equity or debt financings, research grants, collaborations, license and development agreements, or other sources. We currently have no debt, credit facility or additional committed capital. To the extent that we raise additional equity, the ownership interest of our stockholders will be diluted.</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Based on our available cash, cash equivalents, and marketable securities of $203.6 million as of September 30, 2023, we have evaluated and determined that there are conditions and events, considered in the aggregate, that raise substantial doubt about our ability to continue as a going concern within one year after the date the condensed consolidated financial statements as of and for the three and nine months ended September 30, 2023 included in this prospectus were issued. Our Series A Preferred Stock agreement requires us to seek stockholder approval for the conversion of the Series A Preferred Stock to Common Stock. We have agreed to hold a stockholders’ meeting to submit this matter to our stockholders for their consideration. In connection with this, we filed with the SEC a definitive proxy statement and other relevant materials. The special meeting of stockholders is scheduled for November 21, 2023. If our stockholders do not timely approve the conversion of our Series A Preferred Stock, then the holders of our Series A Preferred Stock may be entitled to require us to settle their shares of Series A Preferred Stock for cash at a price per share equal to the fair value of the Series A Preferred Stock, as described in the Certificate of Designation relating to the Series A Preferred Stock. The cash redemption is not under our control and raises substantial doubt about our ability to continue as a going concern. The consolidated financial statements included in this prospectus assume we will continue as a going concern through the realization of assets and satisfaction of liabilities and commitments in the ordinary course of business.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the Nine Months Ended September 30, 2023 and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44"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Nine Months Ended</w:t>
      </w:r>
    </w:p>
    <w:p>
      <w:pPr>
        <w:jc w:val="center"/>
        <w:ind w:left="6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cash equivalents, and restricted cash (used in) provided by:</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(68,874)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$(62,004)</w:t>
            </w: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(73,121)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43,008</w:t>
            </w: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197,471</w:t>
            </w:r>
          </w:p>
        </w:tc>
        <w:tc>
          <w:tcPr>
            <w:tcW w:w="2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42,686</w:t>
            </w: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55,483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$ 23,538</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Cash used in operating activities for the nine months ended September 30, 2023 was $68.9 million and reflected a net loss of $275.6 million. Our net loss was offset in part by non-cash expenses of $130.2 million for acquired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IPR&amp;D, $83.5 million change in fair value of forward contract liability, $8.4 million in stock-based compensation, $2.6 million impairment loss on lease abandonment, $1.0 million in depreciation and amortization, and a $0.9 million loss on disposal of long-lived assets. The net change in operating assets and liabilities of $1.2 million was primarily due to a $2.3 million decrease in operating lease liabilities primarily due to the termination of the Las Cimas lease, a $4.0 million decrease in accrued and other liabilities and a $2.1 million decrease in related party payable, partially offset by a $3.3 million increase in prepaid expenses and other assets, a $1.0 million increase in accounts payable, a $0.6 million increase in deferred revenue, and a $0.2 million increase in development receivables.</w:t>
      </w:r>
    </w:p>
    <w:p>
      <w:pPr>
        <w:spacing w:after="0" w:line="192"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Cash used in operating activities for the nine months ended September 30, 2022 was $62.0 million and reflected a net loss of $65.0 million. Our net loss was offset in part by non-cash expense of $5.7 million for stock-based compensation and $1.5 million for depreciation and amortization. The net change in operating assets and liabilities of $4.3 million was primarily related to a $2.9 million increase in prepaid expenses and other assets and a $1.3 million decrease in accrued and other liabilities.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1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Cash used in investing activities for the nine months ended September 30, 2023 was $73.1 million and primarily consisted of $112.6 million in purchases of marketable securities, partially offset by $21.0 million in maturities and sales of marketable securities, $15.0 million in proceeds from the sale of in-process research &amp; development asset, and $3.0 million cash assumed from the Asset Acquisition.</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Cash provided by investing activities for the nine months ended September 30, 2022 was $43.0 million and consisted of $78.0 million in maturities and sales of marketable securities, partially offset by $35.0 million in purchases of marketable securities.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Cash provided by financing activities for the nine months ended September 30, 2023 was $197.5 million, which primarily consisted of the net proceeds from the issuance of the Series A Preferred Stock in the PIPE.</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Cash provided by financing activities for the nine months ended September 30, 2022 was $42.7 million, which primarily consisted of $42.9 million from the registered direct offering of our Common Stock and pre-funded warrants in May 2022, net of placement agent fees and offering costs, and</w:t>
      </w:r>
    </w:p>
    <w:p>
      <w:pPr>
        <w:ind w:left="120" w:right="20"/>
        <w:spacing w:after="0" w:line="260" w:lineRule="auto"/>
        <w:rPr>
          <w:sz w:val="20"/>
          <w:szCs w:val="20"/>
          <w:color w:val="auto"/>
        </w:rPr>
      </w:pPr>
      <w:r>
        <w:rPr>
          <w:rFonts w:ascii="Arial" w:cs="Arial" w:eastAsia="Arial" w:hAnsi="Arial"/>
          <w:sz w:val="18"/>
          <w:szCs w:val="18"/>
          <w:color w:val="auto"/>
        </w:rPr>
        <w:t>$0.2 million from the sale of Common Stock under our 2016 Employee Stock Purchase Plan, partially offset by $0.4 million in principal payments made on our finance lease obligations.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the Years Ended December 31, 2022 and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and cash equivalents (used in) provided by:</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(80,144)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(53,716)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57,008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42,678</w:t>
            </w: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Effect of exchange rate on cash, cash equivalents, and restricted cash</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(74,957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100"/>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Cash used in operating activities for the year ended December 31, 2022 was $80.1 million and reflected a net loss of $83.8 million. The cash impact of our net loss was offset by non-cash expenses of $7.1 million for stock-based compensation, $1.6 million for depreciation and amortization, $0.4 million for operating lease expense, and $0.1 million for net premium purchase and amortization on marketable securities. The net decrease in operating assets and liabilities of $5.5 million was primarily related to a $2.6 million decrease in accounts payable, a $1.1 million increase in prepaid expenses and other assets, a $0.9 million decrease in deferred revenue due to receiving payments under the Immedica Agreement offset by the recognition of revenue allocated to the license, PEACE Phase 3 trial and BLA filing, a $0.9 million decrease in accrued expenses and other liabilities, and a $0.4 million decrease in operating lease liabilities due to lease payments made during the year, partially offset by a $0.4 million increase in accounts receivable for incremental services provided to Immedica and not yet paid.</w:t>
      </w:r>
    </w:p>
    <w:p>
      <w:pPr>
        <w:spacing w:after="0" w:line="178"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Cash used in operating activities for the year ended December 31, 2021 was $53.7 million and reflected a net loss of $65.8 million. The cash impact of our net loss was offset by non-cash expenses of $8.0 million for stock-based compensation, $1.6 million for depreciation and amortization, $0.4 million for operating lease expense, and $0.2 million for net premium purchase and amortization on marketable securities. The net change in operating assets and liabilities of $1.8 million was primarily related to a $3.6 million increase in deferred revenue due to receiving a $21.5 million upfront payment under the Immedica Agreement offset by the recognition of revenue allocated to the license, PEACE Phase 3 trial and BLA submission. Additional offsets included a $1.2 million increase in prepaid expenses and other assets due to advance payments for the Phase 1/2 trial of pegtarviliase and manufacturing activities for the Arginase 1 Deficiency program, a $0.8 million increase in license and development receivable for incremental services provided to Immedica and not yet paid, and a $0.4 million decrease in operating lease liabilities due to lease payments made during the year.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Cash used in investing activities for the year ended December 31, 2022 was $57.0 million and consisted of $39.5 million in purchases of marketable securities offset by $96.5 million in maturities of marketable securities.</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Cash used in investing activities for the year ended December 31, 2021 was $22.6 million and consisted of $133.1 million in purchases of marketable securities and $0.5 million in purchases of property and equipment offset by $111.0 million in maturities of marketable securities.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Cash provided by financing activities for the year ended December 31, 2022 was $42.7 million, which consisted of $42.9 million from issuance of common stock and pre-funded warrants in a registered direct offering, the 2022 RDO, net of offering costs and $0.2 million sale of common stock under our 2016 Employee Stock Purchase Plan offset by $0.4 million in principal payments made on finance lease obligations.</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Cash provided by financing activities for the year ended December 31, 2021 was $1.4 million, which consisted of $1.9 million in stock option exercises and sale of common stock under our 2016 Employee Stock Purchase Plan offset by $0.5 million in principal payments made on finance lease obligations.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the Years Ended December 31,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and cash equivalents (used in) provided by:</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200" w:type="dxa"/>
            <w:vAlign w:val="bottom"/>
            <w:gridSpan w:val="4"/>
          </w:tcPr>
          <w:p>
            <w:pPr>
              <w:jc w:val="right"/>
              <w:ind w:right="480"/>
              <w:spacing w:after="0"/>
              <w:rPr>
                <w:sz w:val="20"/>
                <w:szCs w:val="20"/>
                <w:color w:val="auto"/>
              </w:rPr>
            </w:pPr>
            <w:r>
              <w:rPr>
                <w:rFonts w:ascii="Arial" w:cs="Arial" w:eastAsia="Arial" w:hAnsi="Arial"/>
                <w:sz w:val="18"/>
                <w:szCs w:val="18"/>
                <w:color w:val="auto"/>
                <w:w w:val="85"/>
              </w:rPr>
              <w:t>$ (53,716)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(75,775)</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2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(7,604)</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154,512</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12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1"/>
              </w:rPr>
              <w:t>$ (74,957</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71,184</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Cash used in operating activities for the year ended December 31, 2021 was $53.7 million and reflected a net loss of $65.8 million. The cash impact of our net loss was offset by non-cash expenses of $8.0 million for stock-based compensation, $1.6 million for depreciation and amortization, $0.4 million for operating lease expense, and $0.2 million for net premium purchase and amortization on marketable securities. The net change in operating assets and liabilities of $1.8 million was primarily related to a $3.6 million increase in deferred revenue due to receiving a $21.5 million upfront payment under the Immedica Agreement offset by the recognition of revenue allocated to the license, PEACE Phase 3 trial and BLA filing. Additional offsets included a $1.2 million increase in prepaid expenses and other assets due to advance payments for the Phase 1/2 trial of AGLE-177 and manufacturing activities for the Arginase 1 Deficiency program, a $0.8 million increase in license and development receivable for incremental services provided to Immedica and not yet paid, and a $0.4 million decrease in operating lease liabilities due to lease payments made during the year.</w:t>
      </w:r>
    </w:p>
    <w:p>
      <w:pPr>
        <w:spacing w:after="0" w:line="165"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Cash used in operating activities for the year ended December 31, 2020 was $75.8 million and reflected a net loss of $80.9 million. The cash impact of our net loss was offset by non-cash expenses of $6.3 million for stock-based compensation, $1.0 million for depreciation and amortization, and</w:t>
      </w:r>
    </w:p>
    <w:p>
      <w:pPr>
        <w:ind w:left="120"/>
        <w:spacing w:after="0" w:line="277" w:lineRule="auto"/>
        <w:rPr>
          <w:sz w:val="20"/>
          <w:szCs w:val="20"/>
          <w:color w:val="auto"/>
        </w:rPr>
      </w:pPr>
      <w:r>
        <w:rPr>
          <w:rFonts w:ascii="Arial" w:cs="Arial" w:eastAsia="Arial" w:hAnsi="Arial"/>
          <w:sz w:val="17"/>
          <w:szCs w:val="17"/>
          <w:color w:val="auto"/>
        </w:rPr>
        <w:t>$0.6 million for operating lease expense. The net change in operating assets and liabilities of $2.5 million was primarily related to a $1.7 million decrease in accrued liabilities and accounts payable due to payments for manufacturing and a $1.1 million increase in prepaid expenses and other assets due to advanced payments associated with manufacturing for Arginase 1 Deficiency and nonclinical studies for Homocystinuria.</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Cash used in investing activities for the year ended December 31, 2021 was $22.6 million and consisted of $133.1 million in purchases of marketable securities and $0.5 million in purchases of property and equipment offset by $111.0 million in maturities of marketable securities.</w:t>
      </w:r>
    </w:p>
    <w:p>
      <w:pPr>
        <w:spacing w:after="0" w:line="146"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Cash used in investing activities for the year ended December 31, 2020 was $7.6 million and consisted of $129.0 million in purchases of marketable securities and $4.3 million in purchases of property and equipment offset by $125.7 million in maturities of marketable securities.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Cash provided by financing activities for the year ended December 31, 2021 was $1.4 million, which consisted of $1.9 million in stock option exercises and sale of common stock under our 2016 Employee Stock Purchase Plan offset by $0.5 million in principal payments made on finance lease obligations.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40"/>
          </w:cols>
          <w:pgMar w:left="320" w:top="459" w:right="5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Cash provided by financing activities for the year ended December 31, 2020 was $154.5 million, which consisted of $138.0 million from the public offering of our common stock, offset by $9.0 million in paid underwriting and offering costs, $25.3 million from the sale of our common stock under an at-the-market program, offset by $0.7 million in paid underwriting and offering costs, and $0.8 million in proceeds received from stock option exercises and sale of common stock under our 2016 Employee Stock Purchase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Through the Asset Acquisition, we received the Option to license the IPR&amp;D related to four research programs. On July 12, 2023, we exercised the Option with respect to one of these research programs. The exercise of the Option obligates us to pay Paragon up to $22.0 million based on specific clinical and regulatory milestones. As of September 30, 2023, none of the $22.0 million obligation was accrued for since the likelihood of achieving those milestones was not determined to be probable. As of the date of the filing of this prospectus, the Option remains unexercised with respect to the three remaining research programs under the Paragon Agreement. Should the Option for these research programs be exercised, we would be obligated to pay Paragon up to $22.0 million per research program based on certain clinical and regulatory milestones.</w:t>
      </w:r>
    </w:p>
    <w:p>
      <w:pPr>
        <w:spacing w:after="0" w:line="17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have entered into agreements in the normal course of business with contract research organizations for clinical trials and contract manufacturing organizations, and with vendors for nonclinical research studies and other services and products for operating purposes. These contractual obligations are cancelable at any time by us, generally upon 30 to 60 days’ prior written notice to the vendor.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early adopted the Financial Accounting Standards Board’s Accounting Standards Update 2020-06, Accounting for Convertible Instruments and Contracts in an Entity’s Own Equity (“ASU 2020-06”), effective as of January 1, 2023, using the modified retrospective method. Among other amendments, ASU 2020-06 eliminates the cash conversion and beneficial conversion feature models in ASC 470-20 that required an issuer of certain convertible debt and preferred stock to separately account for embedded conversion features as a component of equity, as well as changes the accounting for diluted earnings-per-share for convertible instruments and contracts that may be settled in cash or stock. Additionally, ASU 2020-06 requires the if-converted method, which is more dilutive than the treasury stock method, be used for all convertible instruments. We applied ASU 2020-06 to all Series A Preferred Stock during fiscal year 2023, and, accordingly, we did not apply the cash conversion or beneficial conversion feature models in our analysis of the Series A Preferred Stock.</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380"/>
          </w:cols>
          <w:pgMar w:left="320" w:top="459" w:right="11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are exposed to market risks in the ordinary course of our business. Our primary exposure to market risk is interest rate sensitivity, which is affected by changes in the general level of United States interest rates, particularly because our investments are in marketable securities. Our marketable securities are subject to interest rate risk and could fall in value if market interest rates increase. However, we believe that our exposure to interest rate risk is not significant as the majority of our investments are short-term in duration and have a low risk profile. A hypothetical 10% change in interest rates is not expected to have a material effect on the total market value of our investment portfolio. We have the ability to hold our marketable securities until maturity, and therefore, we would not expect our operating results or cash flows to be materially impacted by a change in market interest rates on our investments.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 of December 31, 2022</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December 31, 2022, we held $57.3 million in cash, cash equivalents, marketable securities, and restricted cash, all of which was denominated in U.S. dollars, and consisted primarily of investments in money market funds, commercial paper, and corporate bonds.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 of September 30, 2023</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September 30, 2023, we held $203.6 million in cash, cash equivalents, and marketable securities, predominantly all of which was denominated in U.S. dollars, and consisted primarily of investments in money market funds, commercial paper, and corporate bonds.</w:t>
      </w:r>
    </w:p>
    <w:p>
      <w:pPr>
        <w:spacing w:after="0" w:line="170"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are also exposed to market risk related to changes in foreign currency exchange rates as a result of our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For the year ended December 31, 2022 and for the nine months ended September 30, 2023, a majority of our expenditures were denominated in U.S. dollars. A hypothetical 10% change in foreign exchange rates during any of the periods presented would not have had a material impact on our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9" w:right="5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June 22, 2023, we completed the Asset Acquisition pursuant to the Acquisition Agreement. Spyre is a pre-clinical stage biotechnology company that was incorporated on April 28, 2023 under the direction of Peter Harwin, a Managing Member of Fairmount, for the purpose of holding rights to certain intellectual property being developed by Paragon. Fairmount is a founder of Paragon.</w:t>
      </w:r>
    </w:p>
    <w:p>
      <w:pPr>
        <w:spacing w:after="0" w:line="18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Through the Asset Acquisition, we received the Option pursuant to the Paragon Agreement. On July 12, 2023, we exercised the Option with respect to one of these research programs to exclusively license intellectual property rights related to such research program directed to antibodies that selectively bind to α4ß7 integrin and methods of using these antibodies, including methods of treating IBD using the SPY001 program. If this research program is pursued non-provisionally and matures into issued patents, we would expect those patents to expire no earlier than 2044 subject to any disclaimers or extensions. The license agreement pertaining to such research program is currently being finalized. Furthermore, as of the date of this registration statement, the Option remains unexercised with respect to the intellectual property rights related to the three remaining research programs under the Paragon Agreement. For more information on the Paragon Agreement, see discussion under the heading “</w:t>
      </w:r>
      <w:r>
        <w:rPr>
          <w:rFonts w:ascii="Arial" w:cs="Arial" w:eastAsia="Arial" w:hAnsi="Arial"/>
          <w:sz w:val="16"/>
          <w:szCs w:val="16"/>
          <w:i w:val="1"/>
          <w:iCs w:val="1"/>
          <w:color w:val="auto"/>
        </w:rPr>
        <w:t>Paragon Agreement</w:t>
      </w:r>
      <w:r>
        <w:rPr>
          <w:rFonts w:ascii="Arial" w:cs="Arial" w:eastAsia="Arial" w:hAnsi="Arial"/>
          <w:sz w:val="16"/>
          <w:szCs w:val="16"/>
          <w:color w:val="auto"/>
        </w:rPr>
        <w:t>” below.</w:t>
      </w:r>
    </w:p>
    <w:p>
      <w:pPr>
        <w:spacing w:after="0" w:line="166"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On July 27, 2023, we announced that we entered into an agreement to sell the global rights to pegzilarginase, an investigational treatment for the rare metabolic disease Arginase 1 Deficiency, to Immedica for $15.0 million in upfront cash proceeds and up to $100.0 million in contingent milestone payments. The sale of pegzilarginase to Immedica supersedes and terminates the license agreement between us and Immedica dated March 2021. See the section titled “</w:t>
      </w:r>
      <w:r>
        <w:rPr>
          <w:rFonts w:ascii="Arial" w:cs="Arial" w:eastAsia="Arial" w:hAnsi="Arial"/>
          <w:sz w:val="17"/>
          <w:szCs w:val="17"/>
          <w:i w:val="1"/>
          <w:iCs w:val="1"/>
          <w:color w:val="auto"/>
        </w:rPr>
        <w:t>Recent Developments</w:t>
      </w:r>
      <w:r>
        <w:rPr>
          <w:rFonts w:ascii="Arial" w:cs="Arial" w:eastAsia="Arial" w:hAnsi="Arial"/>
          <w:sz w:val="17"/>
          <w:szCs w:val="17"/>
          <w:color w:val="auto"/>
        </w:rPr>
        <w:t>” below for more information regarding the Immedica APA.</w:t>
      </w:r>
    </w:p>
    <w:p>
      <w:pPr>
        <w:spacing w:after="0" w:line="17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Following the Asset Acquisition and the entry into the Immedica APA, we have significantly reshaped the business into a preclinical stage biotechnology company focused on developing next generation therapeutics for patients living with IBD, including UC and CD. Through the Paragon Agreement, our portfolio of novel and proprietary monoclonal antibody product candidates has the potential to address unmet needs in IBD care by improving efficacy, safety, and/or dosing convenience relative to products currently available or product candidates in development. We have purposely engineered our product candidates to bind potently and selectively to target epitopes with extended half-lives. We plan to use combinations of our proprietary antibodies and patient enrichment strategies via companion diagnostics to enhance efficacy. We intend to deliver our product candidates through convenient, infrequently self-administered, SC injection as a pre-filled pen.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goal is to develop next-generation therapeutics for the treatment of IBD, relying on three strategic pillars:</w:t>
      </w:r>
    </w:p>
    <w:p>
      <w:pPr>
        <w:spacing w:after="0" w:line="13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Advancing novel, potentially best-in-class, long-acting antibodies against validated IBD targets,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Evaluating rational therapeutic combinations of potentially best-in-class antibodies,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genetic- or biomarker-based companion diagnostics to match treatment targets to IBD sub-populations.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Inflammatory Bowel Disease</w:t>
      </w:r>
    </w:p>
    <w:p>
      <w:pPr>
        <w:spacing w:after="0" w:line="121"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IBD is a chronic condition characterized by inflammation within the gastrointestinal tract. It encompasses two main disorders: UC and CD. UC primarily affects the colon and the rectum. Inflammation occurs in the innermost lining of the colon leading to ulcers. Symptoms include bloody diarrhea, abdominal pain, bowel urgency, and frequent bowel movements. CD can affect any part of the gastrointestinal tract, from the mouth to the anus. It is characterized by inflammation that extends through multiple layers of the bowel wall. Symptoms include abdominal pain, diarrhea, weight loss, fatigue, and complications such as strictures or fistulas. Both</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conditions can significantly impact patients’ quality of life in terms of physical health, emotional well-being, and the unpredictability of symptom onset.</w:t>
      </w:r>
    </w:p>
    <w:p>
      <w:pPr>
        <w:spacing w:after="0" w:line="24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IBD affects millions of individuals worldwide, with increasing prevalence and incidence in both developed and developing countries. In the United States, it is estimated that approximately 1.7 million individuals currently have IBD, with approximately 70,000 patients newly diagnosed every year. The prevalence of UC in the United States is approximately 900,000 individuals, and the prevalence of CD in the United States is approximately 800,000 individuals. Based on research from the Crohn’s and Colitis Foundation of America, the market for IBD therapeutics is expected to experience steady growth, driven by rising disease prevalence, increasing diagnosis rates, and evolving treatment paradigms.</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 range of pharmaceutical options exists, including anti-inflammatory drugs, immunosuppressants, and biologics. Treatment plans are often tailored to the individual patient’s disease severity, location, and response to therapy. In some cases, surgical interventions such as bowel resection or ostomy formation may be necessary to manage complications or improve quality of life.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Despite available treatments, there remain substantial unmet needs in IBD management, including:</w:t>
      </w:r>
    </w:p>
    <w:p>
      <w:pPr>
        <w:spacing w:after="0" w:line="13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response or loss of response to existing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Side effects and safety concerns associated with long-term medication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options for patients with refractory or severe disease,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Adherence to frequent and/or inconvenient dosing regimens.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Portfolio</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advancing a broad pipeline of potentially best-in-class monoclonal antibodies (“mAbs”) for the treatment of IBD in connection with the research programs with respect to which we have exercised the Option to exclusively license all of Paragon’s right, title, and interest in, including all intellectual property license rights to, or have the Option to acquire such intellectual property and other rights to pursuant to the Paragon Agreement and plan to develop patient selection approaches for each program. The following table summarizes these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43500" cy="22542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right="40" w:hanging="224"/>
        <w:spacing w:after="0" w:line="219" w:lineRule="auto"/>
        <w:tabs>
          <w:tab w:leader="none" w:pos="34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i w:val="1"/>
          <w:iCs w:val="1"/>
          <w:color w:val="auto"/>
        </w:rPr>
        <w:t>We exercised our Option to license worldwide rights from Paragon for the SPY001 program. We continue to hold the Option to license similar rights from Paragon for certain other programs. We expect the SPY003 license to be restricted to IBD, and we expect other potential program licenses related to the Option to be indication agnostic.</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Although we hold the Option to acquire intellectual property license rights related to the SPY002, SPY003 and SPY004 programs, such Option remains unexercised.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discussion of the risks associated with our portfolio, see the section of this prospectus entitled “Risk Factors.”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SPY001 – anti-</w:t>
      </w:r>
      <w:r>
        <w:rPr>
          <w:rFonts w:ascii="Arial" w:cs="Arial" w:eastAsia="Arial" w:hAnsi="Arial"/>
          <w:sz w:val="18"/>
          <w:szCs w:val="18"/>
          <w:color w:val="auto"/>
        </w:rPr>
        <w:t>α</w:t>
      </w:r>
      <w:r>
        <w:rPr>
          <w:rFonts w:ascii="Arial" w:cs="Arial" w:eastAsia="Arial" w:hAnsi="Arial"/>
          <w:sz w:val="18"/>
          <w:szCs w:val="18"/>
          <w:i w:val="1"/>
          <w:iCs w:val="1"/>
          <w:color w:val="auto"/>
        </w:rPr>
        <w:t>4ß7 mAb</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most advanced product candidate, SPY001, is a highly potent, highly selective, and fully human monoclonal immunoglobulin G1 antibody designed to bind selectively to the α4ß7 integrin. The α4ß7 integrin is a protein found on the surface of immune cells known as lymphocytes. This integrin regulates the migration of lymphocytes to the gut where they contribute to the inflammatory process in IBD. By selectively binding to the α4ß7 integrin, SPY001 is designed to prevent the interaction of these lymphocytes with MAdCAM-1, a molecule expressed on endothelial cells lining the blood vessels in the gut. This interaction is responsible for guiding lymphocytes from the bloodstream into the gut tissue, where they cause inflammation. By blocking the interaction between α4ß7 integrin and MAdCAM-1, SPY001 aims to reduce the recruitment of lymphocytes to the gut, leading to a decrease in inflammation. Since it specifically targets the gut immune system, SPY001 is designed to help minimize systemic immunosuppressive effects unrelated to IBD pathology. SPY001 is currently progressing through IND-enabling studies and is expected to enter first-in-human (“FIH”) studies in the first half of 2024. Interim data from a healthy volunteer study are expected by the end of 2024.</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SPY002 – anti-TL1A mAb</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co-lead product candidate, SPY002, is a highly potent, highly selective, and fully human mAb designed to bind to tumor necrosis factor-like ligand 1A (“TL1A”). TL1A is a protein that plays a role in regulating the immune system and is elevated in the gut tissue of individuals with IBD. TL1A interacts with its receptor, death receptor 3 (“DR3”), which is expressed in various immune cells, including T cells. This interaction triggers signaling pathways that contribute to inflammation and immune system activation, leading to IBD symptomology. SPY002 has been designed to block the interaction between TL1A and DR3 and thereby inhibit the downstream signaling events and dampen the inflammatory response. By neutralizing TL1A, we believe SPY002 has the potential to modulate the immune response in IBD patients, potentially reducing disease activity and promoting mucosal healing. Our extensive discovery campaign has identified lead clones which bind TL1A monomers and trimers with picomolar affinity and exhibit extended pharmacokinetic half-lives relative to competitive molecules in clinical development. We expect to begin FIH studies of the SPY002 program in the second half of 2024 with healthy volunteer interim data expected in the first half of 2025.</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SPY003 – anti-IL-23 mAb</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third program, SPY003, is a discovery stage program designed to bind to Interleukin 23 (“IL-23”). IL-23 is a cytokine that is produced by immune cells and is involved in immune response regulation. IL-23 promotes the survival, expansion, and activity of Th17 cells. Th17 cells produce other inflammatory cytokines, such as IL-17, which contribute to the inflammation seen in IBD. IL-23 also helps in the recruitment and activation of other immune cells, such as neutrophils, which further contribute to tissue damage in the gut. We are continuing our preclinical development efforts with the SPY003 program.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SPY004 – novel MOA mAb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SPY004 is an undisclosed novel mechanism of action (“MOA”) and incorporates half-life extension modifications.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combination programs – SPY120, SPY130, and SPY230</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aim to advance certain rational combinations of our therapeutic antibodies into clinical studies. SPY120 combines SPY001 (α4ß7) and SPY002 (TL1A), SPY130 combines SPY001 (α4ß7) and SPY003 (IL-23),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SPY230 combines SPY002 (TL1A) and SPY003 (IL-23). We believe these combinations target orthogonal biology and could lead to greater remission rates in IBD.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Precision Immunology Approach</w:t>
      </w:r>
    </w:p>
    <w:p>
      <w:pPr>
        <w:spacing w:after="0" w:line="121"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We aim to develop genetic- or biomarker-based patient selection approaches across our portfolio of therapeutics to aid patients and physicians in selecting the optimal treatment regimen. We are in discussions with potential partners with access to large scale IBD biobanks to support CDx development across our portfolio.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As of November 9, 2023, we had 26 employees, all of whom were employed full time. We also engage temporary employees and consultants to augment our existing workforce. None of our employees are represented by a labor union or covered under a collective bargaining agreement. We consider our relationship with our employees to be good.</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are committed to providing our employees with a work environment that is free of unlawful discrimination, including any harassment on the basis of any legally protected status. Accordingly, we do not and will not tolerate any form of unlawful harassment against our employees, whether by executives, managers, co-workers, or by third parties, such as vendors, or other third parties with whom our employees interact. In addition, we provide equal employment opportunity to all employees and applicants for employment and do not discriminate on any basis prohibited by law, including race, color, sex, gender, sexual orientation, pregnancy, age, religion, national origin, disability, marital status, and veteran status.</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recognize that attracting, motivating, and retaining talent at all levels is vital to continuing our success. We invest in our employees through high-quality benefits and various health and wellness initiatives and offer competitive compensation packages (base salary and incentive plans), ensuring fairness in internal compensation practices. The principal purposes of our incentive plans (bonus and equity) are to align with the long-term interests of our stakeholders and stockholders.</w:t>
      </w:r>
    </w:p>
    <w:p>
      <w:pPr>
        <w:spacing w:after="0" w:line="18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To further engage and incentivize our workforce, we offer a wide range of opportunities to support professional development and growth. For our talent pipeline assessment and development, we work closely with individual business functional leaders to identify our high-performing and high-potential employees, by conducting a company-wide talent assessment utilizing a Performance/Potential Matrix assessment tool. This assessment is completed annually to ensure we tie together our incentives, development, and recognition to retain and attract the people we need to drive our success.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w:t>
      </w:r>
    </w:p>
    <w:p>
      <w:pPr>
        <w:spacing w:after="0" w:line="12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Should any of our product candidates be approved for commercialization, we intend to develop a plan to commercialize them in the United States and other key markets, through internal infrastructure and/or external partnerships in a manner that will enable us to realize the full commercial value of our programs. Given our stage of development, we have not yet established a commercial organization or distribution capabilities.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do not currently own or operate facilities for product manufacturing, testing, storage, and distribution. We are currently in the process of novating certain agreements with third parties for the performance of future clinical manufacturing and toxicology activities from Paragon to us. The initial forms of these agreements are generally non-specific master services agreements that allow an entity to begin the process of future manufacturing or toxicology services, respectively. As clinical development activities are commenced by us, the agreements will be revised to provide for the specific deliverables and associated costs that are needed under our development plan.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Pursuant to a Novation Agreement dated September 19, 2023 (the “Novation Agreement”), by and between us, Paragon and WuXi Biologics (Hong Kong) Limited (“WuXi Biologics”), we novated (i) a Biologics Master Services Agreement (the “WuXi Biologics MSA”) and (ii) a Cell Line License Agreement (the “Cell Line License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Biologics Master Services Agreement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April 2023, Paragon and WuXi Biologics entered into the WuXi Biologics MSA, which was subsequently novated to us by Paragon on September 19, 2023 pursuant to the Novation Agreement. The WuXi Biologics MSA governs certain development activities and GMP manufacturing and testing for the SPY001 program, as well as potential future programs, on a work order basis. Under the WuXi Biologics MSA, we are obligated to pay WuXi Biologics a service fee and all non-cancellable obligations in the amount specified in each work order associated with the agreement for the provision of services.</w:t>
      </w:r>
    </w:p>
    <w:p>
      <w:pPr>
        <w:spacing w:after="0" w:line="18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WuXi Biologics MSA terminates on the later of (i) June 20, 2027 or (ii) the completion of services under all work orders executed by the parties prior to June 20, 2027,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(i) at any time upon six months’ prior notice with reasonable cause, provided however that if WuXi Biologics terminates a work order in such manner, no termination or cancellation fees shall be paid by us and (ii) immediately for cause upon (a) the other party’s material breach that remains uncured for 30 days after notice of such breach, (b) the other party’s bankruptcy or (c) a force majeure event that prevents performance for a period of at least 90 days.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Cell Line License Agreement</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April 2023, Paragon and WuXi Biologics entered into the Cell Line License Agreement, which was subsequently novated to us by Paragon pursuant to the Novation Agreement. Under the Cell Line License Agreement, we received a non-exclusive, worldwide, sublicensable license to certain of WuXi Biologics’s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SPY001 program.</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less than one percent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spacing w:after="0" w:line="1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Cell Line License Agreement will continue indefinitely unless terminated (i) by us upon six months’ prior written notice and our payment of all undisputed amounts due to WuXi Biologics through the effective date of termination, (ii) by WuXi Biologics for a material breach by us that remains uncured for 60 days after written notice, (iii) by WuXi Biologics if we fail to make a payment and such failure continues for 30 days after receiving notice of such failure, or (iv) by either party upon the other party’s bankruptcy.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expect to face intense competition from other biopharmaceutical companies that are developing agents for the treatment of inflammatory diseases. If approved for the treatment of patients with moderate-to-severe IBD, our portfolio of products would compete with TNF antibodies including Humira (AbbVie), Remicade (Johnson &amp; Johnson), and Simponi (Johnson &amp; Johnson); IL-12/23 and IL-23 antibodies including Stelara (Johnson &amp; Johnson) and Skyrizi (AbbVie); α4ß7 antibody Entyvio (Takeda); JAK inhibitors including Xeljanz (Pfizer), Rinvoq (AbbVie); and S1P1 receptor modulating therapies including Zeposia (Bristol Myers Squibb).</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are aware of several companies with product candidates in development for the treatment of patients with IBD, including Merck’s MK-7240, Roivant’s RVT-3101, and Teva’s TEV-48574 TL1A antibodies; additional IL-23s including Tremfya (Johnson &amp; Johnson) and mirikizumab (Lilly); additional S1P1 modulator etrasimod (Pfizer); and oral anti-integrin agents including Morphic Therapeutic’s MORF-057, and Gilead’s GS-1427, and a discovery program at Dice Therapeutics (Lilly).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requirements of the governing regulatory agencies of the countries in which we wish to conduct studies or seek approval or licensure of our product candidates. Failure to comply with the applicable United States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Biologics Regulation</w:t>
      </w:r>
    </w:p>
    <w:p>
      <w:pPr>
        <w:spacing w:after="0" w:line="121"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In the United States, biological products are subject to regulation under the Federal Food, Drug, and Cosmetic Act (“FDCA”) and the Public Health Service Act (“PHSA”) and their implementing regulations, as well as other federal, state, local, and foreign statutes and regulations. The process required by the FDA before biologic product candidates may be marketed in the United States generally involves the following:</w:t>
      </w:r>
    </w:p>
    <w:p>
      <w:pPr>
        <w:spacing w:after="0" w:line="71" w:lineRule="exact"/>
        <w:rPr>
          <w:sz w:val="20"/>
          <w:szCs w:val="20"/>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applicable regulations, including the FDA’s current Good Laboratory Practices;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site before the trial may be commenced;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manufacture of the proposed biologic candidate in accordance with current Good Manufacturing Practices (“cGMPs”);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current Good Clinical Practice (“cGCP”) requirements and other clinical-trial related regulations to establish the safety, purity and potency of the proposed biologic product candidate for its intended purpose;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potential audit of selected clinical investigation sites to assess compliance with cGCPs;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waiver is applicable;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review and approval of a BLA to permit commercial marketing of the product for a particular indication(s) for use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and Clinical Development</w:t>
      </w:r>
    </w:p>
    <w:p>
      <w:pPr>
        <w:spacing w:after="0" w:line="117"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Similar processes exist in countries outside the United States that we will be required to follow if we choose to execute trials in other countries.</w:t>
      </w:r>
    </w:p>
    <w:p>
      <w:pPr>
        <w:spacing w:after="0" w:line="18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w:t>
      </w:r>
    </w:p>
    <w:p>
      <w:pPr>
        <w:spacing w:after="0" w:line="19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recommend halting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 Sponsors of clinical trials of FDA-regulated products, including biological products, are required to register and disclose certain clinical trial information, which is publicly available at www.clinicaltrials.gov.</w:t>
      </w:r>
    </w:p>
    <w:p>
      <w:pPr>
        <w:spacing w:after="0" w:line="1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sponsor may submit data from the clinical trial to the FDA in support of a BLA. The FDA will accept a well-designed and well-conducted foreign clinical trial not conducted under an IND if the trial was conducted in accordance with cGCP requirements and the FDA is able to validate the data through an onsite inspection if deemed necessary.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BLA approval, human clinical trials are typically conducted in three sequential phases that may overlap.</w:t>
      </w:r>
    </w:p>
    <w:p>
      <w:pPr>
        <w:spacing w:after="0" w:line="131" w:lineRule="exact"/>
        <w:rPr>
          <w:sz w:val="20"/>
          <w:szCs w:val="20"/>
          <w:color w:val="auto"/>
        </w:rPr>
      </w:pPr>
    </w:p>
    <w:p>
      <w:pPr>
        <w:jc w:val="both"/>
        <w:ind w:left="1080" w:right="300" w:hanging="424"/>
        <w:spacing w:after="0" w:line="31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and the side effects associated with increasing doses, and, if possible, to gain early evidence on effectiveness.</w:t>
      </w:r>
    </w:p>
    <w:p>
      <w:pPr>
        <w:spacing w:after="0" w:line="54" w:lineRule="exact"/>
        <w:rPr>
          <w:rFonts w:ascii="Arial" w:cs="Arial" w:eastAsia="Arial" w:hAnsi="Arial"/>
          <w:sz w:val="16"/>
          <w:szCs w:val="16"/>
          <w:color w:val="auto"/>
        </w:rPr>
      </w:pPr>
    </w:p>
    <w:p>
      <w:pPr>
        <w:ind w:left="1080" w:right="180" w:hanging="424"/>
        <w:spacing w:after="0" w:line="31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54" w:lineRule="exact"/>
        <w:rPr>
          <w:rFonts w:ascii="Arial" w:cs="Arial" w:eastAsia="Arial" w:hAnsi="Arial"/>
          <w:sz w:val="16"/>
          <w:szCs w:val="16"/>
          <w:color w:val="auto"/>
        </w:rPr>
      </w:pPr>
    </w:p>
    <w:p>
      <w:pPr>
        <w:ind w:left="1080" w:right="18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Written IND safety reports must be promptly submitted to the FDA and the investigators for serious and unexpected suspected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BLA Submission and Review</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studies and clinical trials are submitted to the FDA as part of a BLA requesting approval to market the product for one or more indications. FDA approval of a BLA must be obtained before a biologic may be marketed in the United States. The BLA must include all relevant data available from pertinent preclinical studies and clinical trials, including negative or ambiguous results as well as positive findings, together with detailed information relating to the product’s chemistry, manufacturing, controls,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p>
    <w:p>
      <w:pPr>
        <w:spacing w:after="0" w:line="184"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if there is no such meeting, as early as practicable before the initiation of the Phase 3 or Phase 2/3 study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any biological product for an indication for which orphan designation has been granted.</w:t>
      </w:r>
    </w:p>
    <w:p>
      <w:pPr>
        <w:spacing w:after="0" w:line="18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spacing w:after="0" w:line="181" w:lineRule="exact"/>
        <w:rPr>
          <w:sz w:val="20"/>
          <w:szCs w:val="20"/>
          <w:color w:val="auto"/>
        </w:rPr>
      </w:pPr>
    </w:p>
    <w:p>
      <w:pPr>
        <w:ind w:left="120" w:right="220"/>
        <w:spacing w:after="0" w:line="254" w:lineRule="auto"/>
        <w:rPr>
          <w:sz w:val="20"/>
          <w:szCs w:val="20"/>
          <w:color w:val="auto"/>
        </w:rPr>
      </w:pPr>
      <w:r>
        <w:rPr>
          <w:rFonts w:ascii="Arial" w:cs="Arial" w:eastAsia="Arial" w:hAnsi="Arial"/>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typically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If a Complete Response Letter is issued, the applicant may either resubmit the BLA, addressing all of the deficiencies identified in the letter, or withdraw the application or request an opportunity for a hearing. The FDA may delay or refuse approval of a BLA if applicable regulatory criteria are not satisfied, require additional testing or information and/or require post-marketing testing and surveillance to monitor safety or efficacy of a product.</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FDA offers several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78"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with due diligence to verify and describe the anticipated effect on irreversible morbidity or mortality or other clinical benefit. Under the Food and Drug Omnibus Reform Act of 2022 (“FDORA”) the FDA may require, as appropriate, that such studies be underway prior to approval or within a specific time period after the date of approval for a product granted accelerated approval. Under FDORA, the FDA has increased authority for expedited procedures to withdraw approval of a product or indication approved under accelerated approval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72"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9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distribution restrictions or other restrictions under a REMS program. Other potential consequences include, among other things:</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Reference Product Exclusivity</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ACA, includes a subtitle called the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In September 2021, the FDA issued two guidance documents intended to inform prospective applicants and facilitate the development of proposed</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biosimilars and interchangeable biosimilars, as well as to describe the FDA’s interpretation of certain statutory requirements added by the BPCIA.</w:t>
      </w:r>
    </w:p>
    <w:p>
      <w:pPr>
        <w:spacing w:after="0" w:line="23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FDA-approved interchangeable biosimilars may be substituted for the reference product without the intervention of the prescribing health care provider, subject to state laws, which differ by state.</w:t>
      </w:r>
    </w:p>
    <w:p>
      <w:pPr>
        <w:spacing w:after="0" w:line="17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BPCIA is complex and continues to be interpreted and implemented by the FDA. In July 2018, the FDA announced an action plan to encourage the development and efficient review of biosimilars, including the establishment of a new office within the agency that will focus on therapeutic biologics and biosimilars.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discussed below, the Inflation Reduction Act of 2022 (“IRA”) is a significant new law that intends to foster generic and biosimilar competition and to lower drug and biologic costs.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 and Compliance Requirements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w:t>
      </w:r>
    </w:p>
    <w:p>
      <w:pPr>
        <w:spacing w:after="0" w:line="18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AKS prohibits, among other things, persons and entities from knowingly and willfully soliciting, receiving, offering or paying remuneration, to induce, or in return for, either the referral of an individual, or the purchase, lease, order, arrangement,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activities from AKS prosecution, but they are drawn narrowly and practices that involve remuneration, such as consulting agreements,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does not make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conduct per se illegal under the AKS. Instead, the legality of the arrangement will be evaluated on a case-by-case basis based on a cumulative review of all of its facts and circumstances.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AKS constitutes a false or fraudulent claim for purposes of the FCA or federal civil monetary penalties.</w:t>
      </w:r>
    </w:p>
    <w:p>
      <w:pPr>
        <w:spacing w:after="0" w:line="18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Civil and criminal false claims laws, including the FCA, and civil monetary penalty laws, which impose criminal and civil penalties and can be enforced through civil whistleblower or qui tam actions, prohibit, among other things, individuals or entities from knowingly presenting, or causing to be presented, claims for payment of federal government funds, including in federal healthcare programs,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16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HIPAA created additional federal criminal statutes that prohibit, among other things, executing a scheme to defraud any healthcare benefit program, including private third-party payors, and knowingly and willfully falsifying, concealing or covering up by any trick or device a material fact or making any materially false statements or representations relating to healthcare matters.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w:t>
      </w:r>
    </w:p>
    <w:p>
      <w:pPr>
        <w:spacing w:after="0" w:line="18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 United States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made to various healthcare professionals including physicians, certain other licensed health care practitioners,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w:t>
      </w:r>
    </w:p>
    <w:p>
      <w:pPr>
        <w:spacing w:after="0" w:line="16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are also subject to additional similar United States state and foreign law equivalents of each of the above federal laws,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Data Privacy and Security</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Numerous state, federal, and foreign laws govern the collection, dissemination, use, access to, confidentiality, and security of personal information, including health-related information. In the United States, numerous federal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and state laws and regulations, including state data breach notification laws, state health information privacy laws, and federal and state consumer protection laws and regulations, govern the collection, use, disclosure, and protection of health-related and other personal information could apply to our operations or the operations of our partners. For example, HIPAA, as amended by the Health Information Technology for Economic and Clinical Health, and their respective implementing regulations imposes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health information for or on behalf of such covered entities. 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18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5(a) of the Federal Trade Commission Act.</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state laws govern the privacy and security of personal information, including health-related information, in certain circumstances. Failure to comply with these laws, where applicable, can result in the imposition of significant civil and/or criminal penalties and private litigation. For example, the California Consumer Privacy Act, which went into effect on January 1, 2020, has created new data privacy obligations for covered companies and provided new privacy rights to California residents.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reimbursement will be applied consistently or obtained in the first instance. Factors payors consider in determining reimbursement are based on whether the product is:</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76"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6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16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Finally,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its product candidates. Historically, products launched in the EU do not follow price structures of the United States and generally prices tend to be significantly lower.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Healthcare reform</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6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ACA, which was enacted in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Since its enactment, there have been judicial and Congressional challenges to certain aspects of the ACA, and we expect there will be additional challenges and amendments to the ACA in the future.</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Other legislative changes have been proposed and adopted since the ACA was enacted. For example, the Budget Control Act of 2011 and subsequent legislation, among other things, created measures for spending reductions by Congress that include aggregate reductions of Medicare payments to providers of 2% per fiscal year, which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 The United States American Taxpayer Relief Act of 2012 further reduced Medicare payments to several types of providers and increased the statute of limitations period for the government to recover overpayments to providers from three to five years.</w:t>
      </w:r>
    </w:p>
    <w:p>
      <w:pPr>
        <w:spacing w:after="0" w:line="16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the Bipartisan Budget Act of 2018, among other things, amended the Medicare Act (as amended by the ACA) to increase the point-of-sale discounts that manufacturers must agree to offer under the Medicare Part D coverage discount program to 70% off negotiated prices of applicable brand drugs to eligible beneficiaries during their coverage gap period, as a condition for the manufacturer’s outpatient drugs being covered under Medicare Part D.</w:t>
      </w:r>
    </w:p>
    <w:p>
      <w:pPr>
        <w:spacing w:after="0" w:line="18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addition, the United States government, state legislatures and foreign governments have continued implementing cost-containment programs, including price controls, restrictions on coverage and reimbursement and requirements for substitution of generic products. The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United States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These provisions will take effect progressively starting in fiscal year 2023, although the Medicare drug price negotiation program is currently subject to legal challenges. The effects of the IRA on its business and the healthcare industry in general is not yet known.</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President Biden has also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Notwithstanding the IRA and President Biden’s executive orders, continued legislative and enforcement interest exists in the United States with respect to specialty drug pricing practices. Specifically, we expect regulators to continue pushing for transparency to drug pricing, reducing the cost of prescription drugs under Medicare, reviewing the relationship between pricing and manufacturer patient programs, and reforming government program reimbursement methodologies for drugs.</w:t>
      </w:r>
    </w:p>
    <w:p>
      <w:pPr>
        <w:spacing w:after="0" w:line="18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Government and Regulation Outside of the United States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addition to regulations in the United States, we are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our products. Because biologically sourced raw materials are subject to unique contamination risks, their use may be restricted in some countries.</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an IND prior to the commencement of human clinical trials.</w:t>
      </w:r>
    </w:p>
    <w:p>
      <w:pPr>
        <w:spacing w:after="0" w:line="16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collection and use of personal health data and other personal data regarding individuals in the EEA is governed by the provisions of the European General Data Protection Regulation (EU) 2016/679 (“EU GDPR”) and related data protection laws in individual EEA member states, including additional requirements relating to health, genetic and biometric data implemented through national legislation. Similar processing of personal health data and other personal data regarding individuals in the UK is governed by the UK General Data Protection Regulation (“UK GDPR”) and the UK Data Protection Act 2018. In this document, “GDPR” refers to both the EU GDPR and the UK GDPR, unless specified otherwise.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notification obligations to the national data protection authorities, and the security and confidentiality of the personal data.</w:t>
      </w:r>
    </w:p>
    <w:p>
      <w:pPr>
        <w:spacing w:after="0" w:line="16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addition, the GDPR imposes specific restrictions on the transfer of personal data to countries outside of the EEA/UK that are not considered by the European Commission (“EC”) and the UK government as providing an adequate level of data protection (third countries), including the United States. Appropriate safeguards are required to enable such transfers. Among the appropriate safeguards that can be used, the data exporter may use the EC approved standard contractual clauses (“SCCs”) and the UK International Data Transfer Agreement/Addendum (“UK IDTA”). Where relying on the SCCs or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effort and cost and may result in us needing to make strategic considerations around where EEA/UK personal data is located and which service providers we can utilize for the processing of EEA/UK personal data. Although the UK is regarded as a third country under the EU GDPR, the EC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The UK government has also now introduced a Data Protection and Digital Information Bill (“UK Data Protection Bill”) into the UK legislative process with the intention for this bill to reform the UK’s data protection regime following Brexit. If passed, the final version of the UK Data Protection Bill may have the effect of further altering the similarities between the UK and EU data protection regime.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182"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On March 25, 2022, the EC and the United States announced that they have agreed in principle on a new Trans-Atlantic Data Privacy Framework. Following this statement, on October 7, 2022, President Biden signed an Executive Order on ‘Enhancing Safeguards for United States Signals Intelligence Activities’, which implemented the agreement in principle. On that basis, the EC prepared a draft Adequacy Decision and launched its adoption procedure. While this new EU-United States privacy framework is expected to enter into force in 2023, there is still some uncertainty around the new framework.</w:t>
      </w:r>
    </w:p>
    <w:p>
      <w:pPr>
        <w:spacing w:after="0" w:line="18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Failure to comply with the requirements of the GDPR and the related national data protection laws of the EEA member states/UK may result in significant monetary fines for noncompliance of up to €20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(£17.5 million for the UK) or 4% of the annual global revenues of the noncompliant company, whichever is greater,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EEA member states/UK may still implement certain variations, enforce the GDPR and national data protection laws differently, and introduce additional national regulations and guidelines, which adds to the complexity of processing personal data subject to the EEA/UK data protection regimes. Guidance developed at both the EU level and at the national level in individual EU member states concerning implementation and compliance practices are often updated or otherwise revised.</w:t>
      </w:r>
    </w:p>
    <w:p>
      <w:pPr>
        <w:spacing w:after="0" w:line="16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Compliance with the GDPR is a rigorous and time-intensive process that may increase our cost of doing business or require us to change our business practices, and despite those efforts, there is a risk that we may be subject to fines, penalties and litigation in connection with European activities, which could in turn have a negative effect on our reputation and materially harm our business.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Furthermore, there is a growing trend towards the required public disclosure of clinical trial data in the EU, which adds to the complexity of obligations relating to processing health data from clinical trials. Such public disclosure obligations are provided in the new EU Clinical Trials Regulation (EU) No. 536/2014 (the “CTR”), European Medical Agency (“EMA”) disclosure initiatives and voluntary commitments by industry. Failure to comply with these obligations could lead to government enforcement actions and significant penalties against us, harm to our reputation, and adversely impact our business and operating results. The uncertainty regarding the interplay between different regulatory frameworks, such as the CTR and the GDPR, further adds to the complexity that we face with regard to data protection regulation.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Drug and Biologic Development Process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Regardless of where they are conducted, all clinical trials included in applications for marketing authorization for human medicines in the EU must have been carried out in accordance with EU regulations. This means that clinical trials conducted in the EU have to comply with EU clinical trial legislation but also that clinical trials conducted outside the EU have to comply with ethical principles equivalent to those set out in the EU,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w:t>
      </w:r>
    </w:p>
    <w:p>
      <w:pPr>
        <w:spacing w:after="0" w:line="19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Under the former regime, which will expire after a transition period of one or three years, respectively, as outlined below in more detail, before a clinical trial can be initiated it must be approved in each EU member state where there is a site at which the clinical trial is to be conducted. The approval must be obtained from two separate entities: the national competent authority in the applicable EU member state(s) and one or more ethics committees. The national competent authority of all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the trial protocol or other information submitted with the clinical trial applications must be submitted to or approved by the relevant national competent authorities and ethics committees. Under the current regime all suspected unexpected serious adverse reactions to the investigated drug that occur during the clinical trial must be reported to the national competent authority and to the ethics committees of the EU member state where they occur.</w:t>
      </w:r>
    </w:p>
    <w:p>
      <w:pPr>
        <w:spacing w:after="0" w:line="181" w:lineRule="exact"/>
        <w:rPr>
          <w:sz w:val="20"/>
          <w:szCs w:val="20"/>
          <w:color w:val="auto"/>
        </w:rPr>
      </w:pPr>
    </w:p>
    <w:p>
      <w:pPr>
        <w:jc w:val="both"/>
        <w:ind w:left="120" w:right="360"/>
        <w:spacing w:after="0" w:line="311" w:lineRule="auto"/>
        <w:rPr>
          <w:sz w:val="20"/>
          <w:szCs w:val="20"/>
          <w:color w:val="auto"/>
        </w:rPr>
      </w:pPr>
      <w:r>
        <w:rPr>
          <w:rFonts w:ascii="Arial" w:cs="Arial" w:eastAsia="Arial" w:hAnsi="Arial"/>
          <w:sz w:val="16"/>
          <w:szCs w:val="16"/>
          <w:color w:val="auto"/>
        </w:rPr>
        <w:t>A more unified procedure applies under the CTR. A sponsor can submit a single application for approval of a clinical trial through a centralized EU clinical trials portal (the “CTIS”). One national competent authority (the reporting EU member state proposed by the applicant) will take the lead in validating and evaluating the application, and will consult and coordinate with the other concerned EU member states. If an application is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The CTR foresees a three-year transition period. On January 31, 2023, submission of initial clinical trial applications via CTIS became mandatory, and by January 31, 2025, all ongoing trials approved under the former Clinical Trials Directive will need to comply with the CTR and have to be transitioned to CTIS.</w:t>
      </w:r>
    </w:p>
    <w:p>
      <w:pPr>
        <w:spacing w:after="0" w:line="16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Under both the former regime and the CTR, national laws, regulations, and the applicable Good Clinical Practice and Good Laboratory Practice standards must also be respected during the conduct of the trials, including the International Council for Harmonization of Technical Requirements for Pharmaceuticals for Human Use guidelines on Good Clinical Practice and the ethical principles that have their origin in the Declaration of Helsinki.</w:t>
      </w:r>
    </w:p>
    <w:p>
      <w:pPr>
        <w:spacing w:after="0" w:line="14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for the product concerned.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Drug Marketing Authorization</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EU, medicinal products are subject to extensive pre- and post-market regulation by regulatory authorities at both the EU and national levels. To obtain regulatory approval of a product under the EU regulatory systems, we must submit an MAA under either the EU centralized procedure, or one of the national procedures in the EU.</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Centralized Authorization Procedure</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centralized procedure provides for the grant of a single marketing authorization (“MA”) that is issued by the EC following the scientific assessment of the application by the EMA and that is valid for all EU member states as well as in the three additional EEA member states (Norway, Iceland and Liechtenstein). The centralized procedure is compulsory for certain types of medicinal products, including for medicines developed by means of certain biotechnological processes, products designated as orphan medicinal products, advanced therapy medicinal products (gene therapy, somatic cell therapy or tissue-engineered medicines)and medicinal products with a new active substance indicated for the treatment of certain diseases (HIV/AIDS, cancer, neurodegenerative disorders, diabetes, auto-immune and other immune dysfunctions and viral diseases). The centralized procedures is option for medicinal products containing a new active substance not yet authorized in the EU, or for products that constitute a significant therapeutic, scientific or technical innovation or for which the grant of an MA through the centralized procedure would be in the interest of public health at EU level.</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the MA within 67 days after receipt of the CHMP opinion.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Decentralized and Mutual Recognition Procedures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Medicines that fall outside the mandatory scope of the centralized procedure can be authorized under a decentralized procedure where an applicant applies for simultaneous authorization in more than one EU member state, or they can be authorized in an EU member state in accordance with that state’s national procedures and then be authorized in other EU countries by a procedure whereby the countries concerned agree to recognize the validity of the original, national marketing authorization (mutual recognition procedure).</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decentralized procedure permits companies to file identical MA applications for a medicinal product to the competent authorities in various EU member states simultaneously if such medicinal product has not received marketing approval in any EU member state before. The competent authority of a single EU member state, the reference member state, is appointed to review the application and provide an assessment report. The competent authorities of the other EU member states, the concerned member states, are subsequently required to grant a marketing authorization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 Management Plan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RMPs and Periodic Safety Update Reports (“PSURs”) are routinely available to third parties requesting access, subject to limited redactions.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 Validity Period</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 the EU, an MA has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Exceptional Circumstances/Conditional Approval</w:t>
      </w:r>
    </w:p>
    <w:p>
      <w:pPr>
        <w:spacing w:after="0" w:line="117"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Similar to accelerated approval regulations in the United States, conditional MAs can be granted in the EU for medicines intended for treating, preventing or diagnosing seriously debilitating or life-threatening diseases, or in a public health emergency. A conditional MA can be granted for medicinal products where, although comprehensive clinical data referring to the safety and efficacy of the medicinal product have not been supplied,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following criteria are fulfilled: (i) the benefit/risk balance of the product is positive, (ii) it is likely that the applicant will be in a position to provide the comprehensive clinical data post-authorization,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fulfill specific obligations within defined timelines. A conditional MA must be renewed annually, but can be converted into a standard MA once the MA holder fulfills the obligations imposed and the complete data confirm that the medicine’s benefits continue to outweigh its risks.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Data and Market Exclusivity</w:t>
      </w:r>
    </w:p>
    <w:p>
      <w:pPr>
        <w:spacing w:after="0" w:line="117"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an MA or placing the product on the market. Innovative medicinal products (sometimes referred to as new chemical entities (“NCEs”)) approved in the EU generally qualify for eight years of data exclusivity and 10 years of marketing exclusivity.</w:t>
      </w:r>
    </w:p>
    <w:p>
      <w:pPr>
        <w:spacing w:after="0" w:line="16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If granted, the data exclusivity period begins on the date of the product’s first MA in the EU and prevents generic or biosimilar applicants from referencing the innovator’s preclinical and clinical trial data contained in the dossier of the reference product when applying for a generic or biosimilar marketing authorization in the EU. After eight years, a generic product application may be submitted and generic companies may rely on the MA holder’s data. However, a generic product cannot launch until two years later (or a total of 10 years after the first MA in the EU of the innovator product). An additional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 Additionally, a standalone one-year period of data exclusivity can be granted where an application is made for a new indication for a well-established substance, provided that significant pre-clinical or clinical studies were carried out in relation to the new indication.</w:t>
      </w:r>
    </w:p>
    <w:p>
      <w:pPr>
        <w:spacing w:after="0" w:line="19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Where a change of classification of a pharmaceutical product has been authorized on the basis of significant pre-trial tests or clinical trials, when examining an application by another applicant for or holder of an MA for a change of classification of the same substance the competent authority will not refer to the results of those tests or trials for one year after the initial change was authorized.</w:t>
      </w:r>
    </w:p>
    <w:p>
      <w:pPr>
        <w:spacing w:after="0" w:line="18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Products may not be granted data exclusivity since there is no guarantee that a product will be considered by the EU’s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Development</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the EU, companies developing a new medicinal product are obligated to study their product in children and must therefore submit a pediatric investigation plan (“PIP”) together with a request for agreement to the EMA, unless the EMA has granted a product-specific waiver, a class waiver, or a deferral for one or more of the measures included in the PIP. The EMA issues a decision on the PIP based on an opinion of the EMA’s Pediatric Committee.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of all information collected in compliance with the approved PIP, unless such a waiver or a deferral has been granted. Medicinal products that are granted an MA on the basis of the pediatric clinical trials conducted in accordance with the approved PIP are eligible for a six month extension of the protection under a supplementary protection certificate (“SPC”), provided an application for such extension is made at the same time as filing the SPC application for the product, or at any point up to two years before the SPC expires,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an MA holder wants to add a new indication, medicinal form or route of administration for a medicine that is already authorized and covered by intellectual property rights.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PRIME Designation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marketing authorization application assessment once a dossier has been submitted. Importantly, once a candidate medicine has been selected for the PRIME scheme, a dedicated contact point and rapporteur from the CHMP or from the Committee for Advanced Therapeutics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medicinal products.</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Failure by us or by any of our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6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holder of an MA for a medicinal product must also comply with EU pharmacovigilance legislation and its related regulations and guidelines, which entail many requirements for conducting pharmacovigilance, or the assessment and monitoring of the safety of medicinal products.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PSURs in relation to medicinal products for which they hold MAs. The EMA reviews PSURs for medicinal products authorized through the centralized procedure. If the EMA has concerns that the risk benefit profile of a product has varied, it can adopt an opinion advising that the existing MA for the product be suspended, withdrawn or varied. The EMA can advise that the MA holder be obliged to conduct post-authorization Phase IV safety studies. If the EC agrees with the opinion, it can adopt a decision varying the existing MA. Failure by the MA holder to fulfill the obligations for which the EC’s decision provides can undermine the ongoing validity of the MA.</w:t>
      </w:r>
    </w:p>
    <w:p>
      <w:pPr>
        <w:spacing w:after="0" w:line="17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More generally, non-compliance with pharmacovigilance obligations can lead to the variation, suspension or withdrawal of the MA for the product or imposition of financial penalties or other enforcement measures.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(“GMP”). These requirements include compliance with GMP standards when manufacturing pharmaceutical products and active pharmaceutical ingredients, including the manufacture of active pharmaceutical ingredients outside of the EU with the intention to import the active pharmaceutical ingredients into the EU. 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 Regulations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advertising and promotion of our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Summary of Product Characteristics (“SmPC”) as approved by the national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which is prohibited in the EU. Direct-to-consumer advertising of prescription-only medicines is also prohibited in the EU. Violations of the rules governing the promotion of medicinal products in the EU could be penalized by administrative measures, fines and imprisonment.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Anti-Corruption Legislation</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Markets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UK formally left the EU on January 31, 2020 and the transition period, during which EU laws continued to apply to the UK, expired on December 31, 2020. This means EU laws now only apply to the UK in respect of Northern Ireland as laid out in the Northern Ireland Protocol. Following the end of the transition period, the EU and the UK concluded a trade and cooperation agreement (“TCA”), which applied provisionally from January 1, 2021 and entered into force on May 1, 2021.</w:t>
      </w:r>
    </w:p>
    <w:p>
      <w:pPr>
        <w:spacing w:after="0" w:line="18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Except in respect of the new CTR,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framework which will be put in place by the Medicines and Healthcare products Regulatory Agency (“MHRA”), from January 1, 2024, the MHRA has stated that it will take into account decisions on the approval of marketing authorizations from the EMA (and certain other regulators) when considering an application for a Great Britain marketing authorization.</w:t>
      </w:r>
    </w:p>
    <w:p>
      <w:pPr>
        <w:spacing w:after="0" w:line="18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February 27, 2023, the UK government and the EC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 UK Joint Committee on March 24, 2023, so the UK government and the EU will enact legislative measures to bring it into law.</w:t>
      </w:r>
    </w:p>
    <w:p>
      <w:pPr>
        <w:spacing w:after="0" w:line="166"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cGCPs and the applicable regulatory requirements and the ethical principles that have their origin in the Declaration of Helsinki.</w:t>
      </w:r>
    </w:p>
    <w:p>
      <w:pPr>
        <w:spacing w:after="0" w:line="14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are a fully remote company and do not maintain physical corporate offices. Our employees work remotely. We believe these arrangements support our current needs. We maintain a mailing address at 221 Crescent St., Building 23, Suite 105, Waltham, MA. As we expand, we believe that suitable additional alternative spaces will be available in the future on commercially reasonable terms, if required.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20"/>
          </w:cols>
          <w:pgMar w:left="320" w:top="459" w:right="6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board of directors currently consists of seven directors and is divided into three classes. Each class serves for three years, with the terms of office of the respective classes expiring in successive years. Directors in Class I will stand for election at our Annual Meeting expected to be held in June 2026. The terms of office of directors in Class II and Class III do not expire until the annual meetings of stockholders held in 2024 and 2025, respectively. Peter Harwin and Tomas Kiselak were designated by entities affiliated with Fairmount.</w:t>
      </w:r>
    </w:p>
    <w:p>
      <w:pPr>
        <w:spacing w:after="0" w:line="187"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Our current directors, and their ages, occupations and length of board service as of September 30, 2023, are provided in the table below. Additional biographical descriptions of each director are set forth in the text below the table. These descriptions include the primary individual experience, qualifications, qualities and skills of each of our directors.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3120" w:type="dxa"/>
            <w:vAlign w:val="bottom"/>
            <w:vMerge w:val="restart"/>
          </w:tcPr>
          <w:p>
            <w:pPr>
              <w:spacing w:after="0"/>
              <w:rPr>
                <w:sz w:val="14"/>
                <w:szCs w:val="14"/>
                <w:color w:val="auto"/>
              </w:rPr>
            </w:pPr>
          </w:p>
        </w:tc>
        <w:tc>
          <w:tcPr>
            <w:tcW w:w="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2320" w:type="dxa"/>
            <w:vAlign w:val="bottom"/>
            <w:vMerge w:val="restart"/>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2"/>
              </w:rPr>
              <w:t>Principal Occupation</w:t>
            </w:r>
          </w:p>
        </w:tc>
        <w:tc>
          <w:tcPr>
            <w:tcW w:w="2340" w:type="dxa"/>
            <w:vAlign w:val="bottom"/>
            <w:vMerge w:val="restart"/>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5"/>
        </w:trPr>
        <w:tc>
          <w:tcPr>
            <w:tcW w:w="42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Class I Directors:</w:t>
            </w:r>
          </w:p>
        </w:tc>
        <w:tc>
          <w:tcPr>
            <w:tcW w:w="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Alison Lawton (1)</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Director, ProQR Therapeutics N.V; Director, Magenta Therapeutics, Inc;</w:t>
            </w:r>
          </w:p>
        </w:tc>
        <w:tc>
          <w:tcPr>
            <w:tcW w:w="52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Director X4 Pharmaceuticals Inc.</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Hunter C. Smith, M.B.A. (2)</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and Treasurer of Rhythm Pharmaceuticals, Inc.</w:t>
            </w:r>
          </w:p>
        </w:tc>
        <w:tc>
          <w:tcPr>
            <w:tcW w:w="52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310"/>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Class II Directors:</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Russell J. Cox (3)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President and Chief Executive Officer, Epirium Bio, Inc.</w:t>
            </w:r>
          </w:p>
        </w:tc>
        <w:tc>
          <w:tcPr>
            <w:tcW w:w="52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Ivana Magovcevic-Liebisch, Ph.D. (2)</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President and Chief Executive Officer, Vigil Neuroscience, Inc.</w:t>
            </w:r>
          </w:p>
        </w:tc>
        <w:tc>
          <w:tcPr>
            <w:tcW w:w="520" w:type="dxa"/>
            <w:vAlign w:val="bottom"/>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Tomas Kiselak (3)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w w:val="96"/>
              </w:rPr>
              <w:t>Managing Member, Fairmount Funds Management LLC; Director, Dianthus</w:t>
            </w:r>
          </w:p>
        </w:tc>
        <w:tc>
          <w:tcPr>
            <w:tcW w:w="52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w w:val="99"/>
              </w:rPr>
              <w:t>Therapeutics, Inc.; Director, Viridian Therapeutics, Inc.; Director, Apogee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Therapeutics, Inc.; and Director, Paragon Therapeutics, Inc.</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Class III Directors:</w:t>
            </w: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Peter Harwin (1)(2)</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w w:val="98"/>
              </w:rPr>
              <w:t>Managing Member, Fairmount Funds Management LLC; Director, Cogent</w:t>
            </w:r>
          </w:p>
        </w:tc>
        <w:tc>
          <w:tcPr>
            <w:tcW w:w="52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Biosciences, Inc.; Director, Viridian Therapeutics, Inc.; Director, Apogee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Therapeutics, Inc.; and Director, Paragon Therapeutics, Inc.</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Michael Henderson (1)(3)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598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 of Apogee Therapeutics, Inc.</w:t>
            </w:r>
          </w:p>
        </w:tc>
        <w:tc>
          <w:tcPr>
            <w:tcW w:w="52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1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i w:val="1"/>
          <w:iCs w:val="1"/>
          <w:color w:val="auto"/>
        </w:rPr>
        <w:t>Russell J. Cox</w:t>
      </w:r>
      <w:r>
        <w:rPr>
          <w:rFonts w:ascii="Arial" w:cs="Arial" w:eastAsia="Arial" w:hAnsi="Arial"/>
          <w:sz w:val="18"/>
          <w:szCs w:val="18"/>
          <w:color w:val="auto"/>
        </w:rPr>
        <w:t>. Mr. Cox has served as a director since June 2015 and has served as Chair of our board of directors since January 2019. Mr. Cox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and Chief Executive Officer of Epirium Bio, Inc. since July 2019. Mr. Cox previously served as Chief Executive Officer at Vital Therapies, Inc. from January 2018 to January 2019. Additionally, Mr. Cox served as Executive Vice President and Chief Operating Officer at Jazz Pharmaceuticals plc, a publicly traded biopharmaceutical company, from May 2014 to January 2018, where he also served as Executive Vice President and Chief Commercial Officer from March 2012 to May 2014 and as Senior Vice President, Sales and Marketing from July 2010 until February 2012. Prior to that, Mr. Cox served in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9" w:right="4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 variety of senior management roles since joining Jazz Pharmaceuticals, Inc. (the predecessor to Jazz Pharmaceuticals plc) in July 2010. From January 2009 to January 2010, he served as Senior Vice President and Chief Commercial Officer of Ipsen Group, a publicly traded pharmaceutical company, and from 2007 until December 2008, he served as Vice President of Marketing at Tercica, Inc. (acquired by Ipsen Group), a biotechnology company. From 2003 to 2007, Mr. Cox was with Scios Inc. (acquired by Johnson and Johnson in 2003), where he also served as Vice President, Marketing. Prior to 2003, Mr. Cox was with Genentech, Inc. for 12 years, where he was a Product Team Leader responsible for the Growth Hormone franchise and led numerous product launches as a Group Product Manager. Mr. Cox currently serves on the boards of directors of Epirium Bio, Inc. and Gossamer Bio, Inc. Mr. Cox received a B.S. in Biomedical Science from Texas A&amp;M University.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Mr. Cox is qualified to serve on our board of directors due to his commercial and operating experience in the biopharmaceutical industry.</w:t>
      </w:r>
    </w:p>
    <w:p>
      <w:pPr>
        <w:spacing w:after="0" w:line="24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i w:val="1"/>
          <w:iCs w:val="1"/>
          <w:color w:val="auto"/>
        </w:rPr>
        <w:t>Ivana Magovcevic-Liebisch, Ph.D</w:t>
      </w:r>
      <w:r>
        <w:rPr>
          <w:rFonts w:ascii="Arial" w:cs="Arial" w:eastAsia="Arial" w:hAnsi="Arial"/>
          <w:sz w:val="17"/>
          <w:szCs w:val="17"/>
          <w:color w:val="auto"/>
        </w:rPr>
        <w:t>. Dr. Magovcevic-Liebisch has served as a director since March 2018 and has served as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Vigil Neuroscience since July 2020. Dr. Magovcevic-Liebisch previously served as Executive Vice President, Chief Business Officer for Ipsen from March 2018 to March 2020. From May 2017 through March 2018, Dr. Magovcevic-Liebisch served as Executive Vice President, Chief Strategy and Corporate Development Officer for Axcella Health Inc. From April 2013 through May 2017, Dr. Magovcevic-Liebisch served as Senior Vice President, Head of Global Business Development for Teva Pharmaceutical Industries Ltd. Prior to joining Teva, Dr. Magovcevic-Liebisch held several senior positions within Dyax Corp. from April 2001 through March 2013, most recently serving as Executive Vice President and Chief Operating Officer. Dr. Magovcevic-Liebisch served on the board of directors of several private and public companies. Dr. Magovcevic-Liebisch received her J.D. from Suffolk University Law School and her Ph.D. in genetics from Harvard University.</w:t>
      </w:r>
    </w:p>
    <w:p>
      <w:pPr>
        <w:spacing w:after="0" w:line="1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believe that Dr. Magovcevic-Liebisch is qualified to serve on our board of directors due to her extensive experience in biopharmaceutical business development and operations.</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Alison Lawton</w:t>
      </w:r>
      <w:r>
        <w:rPr>
          <w:rFonts w:ascii="Arial" w:cs="Arial" w:eastAsia="Arial" w:hAnsi="Arial"/>
          <w:sz w:val="16"/>
          <w:szCs w:val="16"/>
          <w:color w:val="auto"/>
        </w:rPr>
        <w:t>. Ms. Lawton has served as a director since December 2020. Ms. Lawton served as a special advisor at Kaleido Biosciences, Inc.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2020 to December 2020. Ms. Lawton previously served as President and Chief Executive Officer of Kaleido Biosciences, Inc. from August 2018 to June 2020, and served as President and Chief Operating Officer from December 2017 to August 2018. Prior to joining Kaleido Biosciences, Inc.,</w:t>
      </w:r>
    </w:p>
    <w:p>
      <w:pPr>
        <w:spacing w:after="0" w:line="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Ms. Lawton served as Chief Operating Officer at Aura Biosciences, Inc., an oncology therapeutics company, from January 2015 until December 2017, and, prior to joining Aura, served as a consultant to Aura from March 2014 to December 2014. From January 2013 to January 2014, Ms. Lawton served as Chief Operating Officer at OvaScience Inc., a life sciences company. From 2014 to 2017, Ms. Lawton served as a biotech consultant for various companies, including as Chief Operating Officer consultant at X4 Pharmaceuticals Inc. Prior to that, Ms. Lawton spent more than 20 years in various positions of increasing responsibility including Senior VP and General Manager of Biosurgery and prior to that, Senior VP of Market Access at Genzyme Corporation, a global biopharmaceutical company, and subsequently at Sanofi S.A., also a global biopharmaceutical company, following the acquisition of Genzyme by Sanofi in 2011. Additionally, Ms. Lawton previously served two terms as the industry representative on the U.S. Food &amp; Drug Administration’s Cell &amp; Gene Therapy Advisory Committee and as Chair of the Board of the Regulatory Affairs Professional Society. Ms. Lawton currently serves on the boards of directors of ProQR Therapeutics N.V., Magenta Therapeutics, Inc., X4 Pharmaceuticals and three other private companies. Ms. Lawton previously served on the boards of directors of Kaleido Biosciences, Verastem, Inc., CoLucid Pharmaceuticals, Inc., Cubist Pharmaceuticals, Inc. Ms. Lawton received a B.Sc. in pharmacology from Kings College, University of London.</w:t>
      </w:r>
    </w:p>
    <w:p>
      <w:pPr>
        <w:spacing w:after="0" w:line="174"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color w:val="auto"/>
        </w:rPr>
        <w:t>We believe that Ms. Lawton is qualified to serve on our board of directors due to her extensive commercial and operating experience in the biopharmaceutical industry.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i w:val="1"/>
          <w:iCs w:val="1"/>
          <w:color w:val="auto"/>
        </w:rPr>
        <w:t>Hunter C. Smith, M.B.A</w:t>
      </w:r>
      <w:r>
        <w:rPr>
          <w:rFonts w:ascii="Arial" w:cs="Arial" w:eastAsia="Arial" w:hAnsi="Arial"/>
          <w:sz w:val="17"/>
          <w:szCs w:val="17"/>
          <w:color w:val="auto"/>
        </w:rPr>
        <w:t>. Mr. Smith has served as a director since November 2021. Mr. Smith has served as Chief Financial Officer of Rhythm</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Pharmaceuticals, Inc. since July 2017 and Treasurer since August 2017. He has more than 25 years of global finance and management experience across multiple industries and financial disciplines, including expertise in business analysis and planning, mergers and acquisitions, capital raising and investor relations. Previously, he was Vice President, Finance and Chief Financial Officer of the Inflammation and Immunology Business Unit at Celgene Corporation from 2013 to July 2017. Before joining Celgene, Mr. Smith worked in roles of increasing responsibility at Bunge Limited from 1999 to 2013, including Director of Investor Relations, Chief Financial Officer-Asia, Corporate Treasurer, and Chief Financial Officer of Bunge’s Sugar and Bioenergy Segment. Mr. Smith served previously as an independent director of Genessee &amp; Wyoming Inc. and was a member of its compensation and nominating and governance committees. Mr. Smith holds an MBA in Finance from New York University’s Stern School of Business and a B.A. in History, with honors, from Northwestern University.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Mr. Smith is qualified to serve on our board of directors because of his business and leadership experience in the life sciences industry.</w:t>
      </w:r>
    </w:p>
    <w:p>
      <w:pPr>
        <w:spacing w:after="0" w:line="248"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i w:val="1"/>
          <w:iCs w:val="1"/>
          <w:color w:val="auto"/>
        </w:rPr>
        <w:t>Peter Harwin</w:t>
      </w:r>
      <w:r>
        <w:rPr>
          <w:rFonts w:ascii="Arial" w:cs="Arial" w:eastAsia="Arial" w:hAnsi="Arial"/>
          <w:sz w:val="17"/>
          <w:szCs w:val="17"/>
          <w:color w:val="auto"/>
        </w:rPr>
        <w:t>. Peter Harwin has served as a director since June 2023. Mr. Harwin is a Managing Member at Fairmount Funds Management LLC, a</w:t>
      </w:r>
      <w:r>
        <w:rPr>
          <w:rFonts w:ascii="Arial" w:cs="Arial" w:eastAsia="Arial" w:hAnsi="Arial"/>
          <w:sz w:val="17"/>
          <w:szCs w:val="17"/>
          <w:i w:val="1"/>
          <w:iCs w:val="1"/>
          <w:color w:val="auto"/>
        </w:rPr>
        <w:t xml:space="preserve"> </w:t>
      </w:r>
      <w:r>
        <w:rPr>
          <w:rFonts w:ascii="Arial" w:cs="Arial" w:eastAsia="Arial" w:hAnsi="Arial"/>
          <w:sz w:val="17"/>
          <w:szCs w:val="17"/>
          <w:color w:val="auto"/>
        </w:rPr>
        <w:t>healthcare investment firm he co-founded in April 2016. Prior to Fairmount, Mr. Harwin was a member of the investment team at Boxer Capital, LLC, an investment fund that was part of the Tavistock Group, based in San Diego. Mr. Harwin also serves as chairman of the board of directors of Cogent Biosciences, Inc. (Nasdaq: COGT) and is a director of Viridian Therapeutics, Inc. (Nasdaq: VRDN), Apogee Therapeutics, Inc. (Nasdaq: APGE) and Paragon Therapeutics, Inc. Mr. Harwin holds a B.B.A. from Emory University.</w:t>
      </w:r>
    </w:p>
    <w:p>
      <w:pPr>
        <w:spacing w:after="0" w:line="1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believe Mr. Harwin is qualified to serve on our board of directors because of his experience serving as a director of biotechnology companies and as a manager of funds specializing in the area of life sciences.</w:t>
      </w:r>
    </w:p>
    <w:p>
      <w:pPr>
        <w:spacing w:after="0" w:line="170"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i w:val="1"/>
          <w:iCs w:val="1"/>
          <w:color w:val="auto"/>
        </w:rPr>
        <w:t>Tomas Kiselak</w:t>
      </w:r>
      <w:r>
        <w:rPr>
          <w:rFonts w:ascii="Arial" w:cs="Arial" w:eastAsia="Arial" w:hAnsi="Arial"/>
          <w:sz w:val="16"/>
          <w:szCs w:val="16"/>
          <w:color w:val="auto"/>
        </w:rPr>
        <w:t>. Tomas Kiselak has served as a director since June 2023. Mr. Kiselak is a Managing Member at Fairmount Funds Management LLC, a</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investment firm he co-founded in April 2016. Prior to Fairmount, Mr. Kiselak was a managing director at RA Capital Management, LLC, a healthcare and life science investment firm. Mr. Kiselak currently serves as the chairman of the board of directors of Viridian Therapeutics, Inc.</w:t>
      </w:r>
    </w:p>
    <w:p>
      <w:pPr>
        <w:spacing w:after="0" w:line="2"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color w:val="auto"/>
        </w:rPr>
        <w:t>(Nasdaq: VRDN) and as a director for Apogee Therapeutics, Inc. (Nasdaq: APGE), Dianthus Therapeutics, Inc. (Nasdaq: DNTH) as well as several private companies. He received a B.S. in neuroscience and economics from Amherst College.</w:t>
      </w:r>
    </w:p>
    <w:p>
      <w:pPr>
        <w:spacing w:after="0" w:line="18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believe Mr. Kiselak is qualified to serve on our board of directors because of his experience advising biotechnology companies and as a manager of funds specializing in the area of life sciences.</w:t>
      </w:r>
    </w:p>
    <w:p>
      <w:pPr>
        <w:spacing w:after="0" w:line="170"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i w:val="1"/>
          <w:iCs w:val="1"/>
          <w:color w:val="auto"/>
        </w:rPr>
        <w:t>Michael Henderson, M.D</w:t>
      </w:r>
      <w:r>
        <w:rPr>
          <w:rFonts w:ascii="Arial" w:cs="Arial" w:eastAsia="Arial" w:hAnsi="Arial"/>
          <w:sz w:val="17"/>
          <w:szCs w:val="17"/>
          <w:color w:val="auto"/>
        </w:rPr>
        <w:t>. Michael Henderson, M.D. has served as a director since June 2023. Dr. Henderson is Chief Executive Officer of Apogee</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Inc. (Nasdaq: APGE), a biotechnology company, since September 2022 as well as a member of its board of directors since June 2023. Dr. Henderson is an experienced biotechnology executive with expertise in business leadership, drug development, and commercial strategy. He has overseen the creation of multiple companies, launched a significant number of drug development programs, and led teams to two FDA approvals, to date. Prior to joining Apogee, Dr. Henderson served as Chief Business Officer of BridgeBio Pharma, Inc. (Nasdaq: BBIO), a commercial-stage biopharmaceutical company, from January 2020 to September 2022, where he was responsible for furthering the overarching strategy of BridgeBio, identifying and investing in new technologies and running business development and operations. Prior to holding that position, he spent two years serving as BridgeBio’s Senior Vice President, Asset Acquisition, Strategy and Operations, where he was responsible for business development, strategy and operations. Dr. Henderson joined BridgeBio as Vice President of Asset Acquisition, Strategy and Operations in April 2016. Dr. Henderson also served as the Chief Executive Officer of a number of BridgeBio’s subsidiaries. Prior to BridgeBio, Dr. Henderson worked at McKinsey &amp; Company, a global management consulting firm, from January 2015 to</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April 2016 and prior to that, he co-founded PellePharm, Inc., a biotechnology company, in August 2011. Dr. Henderson has served on the board of directors of ARYA Sciences Acquisition Corp IV (Nasdaq: ARYD), a special purpose acquisition company focused on the healthcare industry, since February 2021. Dr. Henderson received his B.A. in global health from Harvard University and his M.D. from Stanford University.</w:t>
      </w:r>
    </w:p>
    <w:p>
      <w:pPr>
        <w:spacing w:after="0" w:line="14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We believe Dr. Henderson is qualified to serve on our board of directors because of his experience in business leadership, drug development, and commercial strategy in the area of life sciences.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Our board of directors determines the independence of our directors by applying the applicable rules, regulations and listing standards of Nasdaq. These provide that a director is independent only if the board affirmatively determines that the director does not have a relationship with the company which, in the opinion of the board of directors, would interfere with the exercise of his or her independent judgment in carrying out the responsibilities of a director. They also specify various relationships that preclude a determination of director independence. Such relationships may include employment, commercial, accounting, family and other business, professional and personal relationships.</w:t>
      </w:r>
    </w:p>
    <w:p>
      <w:pPr>
        <w:spacing w:after="0" w:line="17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Applying these standards, the board reviews the independence of our directors, taking into account all relevant facts and circumstances. After considering the foregoing factors, our board of directors has determined that the following members of our board are currently independent as determined under applicable rules, regulations and listing standards of Nasdaq: Mr. Russell Cox, Dr. Ivana Magovcevic-Liebisch, Ms. Alison Lawton, Mr. Hunter Smith, Mr. Peter Harwin, Mr. Tomas Kiselak and Dr. Michael Henderson.</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All members of our audit committee, compensation committee and nominating and corporate governance committee must be independent directors under the applicable rules, regulations and listing standards of Nasdaq. Members of the audit committee also must satisfy the independence criteria set forth in Rule 10A-3 under the Exchange Act. Members of the compensation committee also must satisfy the independence criteria set forth in Rule 10C under the Exchange Act, and related Nasdaq listing standards with respect to their affiliation with Aeglea and any consulting, advisory or other fees they may have received from Aeglea. Our board of directors has determined that all members of our audit committee, compensation committee and nominating and corporate governance committee are independent and satisfy the relevant SEC, Exchange Act and Nasdaq independence requirements for such committees.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names of our current executive officers, their ages as of September 30, 2023, and their positions are shown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80" w:type="dxa"/>
            <w:vAlign w:val="bottom"/>
          </w:tcPr>
          <w:p>
            <w:pPr>
              <w:spacing w:after="0"/>
              <w:rPr>
                <w:sz w:val="14"/>
                <w:szCs w:val="14"/>
                <w:color w:val="auto"/>
              </w:rPr>
            </w:pPr>
          </w:p>
        </w:tc>
        <w:tc>
          <w:tcPr>
            <w:tcW w:w="3800" w:type="dxa"/>
            <w:vAlign w:val="bottom"/>
            <w:gridSpan w:val="2"/>
          </w:tcPr>
          <w:p>
            <w:pPr>
              <w:ind w:left="3280"/>
              <w:spacing w:after="0"/>
              <w:rPr>
                <w:sz w:val="20"/>
                <w:szCs w:val="20"/>
                <w:color w:val="auto"/>
              </w:rPr>
            </w:pPr>
            <w:r>
              <w:rPr>
                <w:rFonts w:ascii="Arial" w:cs="Arial" w:eastAsia="Arial" w:hAnsi="Arial"/>
                <w:sz w:val="14"/>
                <w:szCs w:val="14"/>
                <w:b w:val="1"/>
                <w:bCs w:val="1"/>
                <w:color w:val="auto"/>
                <w:w w:val="90"/>
              </w:rPr>
              <w:t>Position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Chief Operating Officer</w:t>
            </w: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color w:val="auto"/>
              </w:rPr>
              <w:t>Cameron Turtle, DPhil</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c>
          <w:tcPr>
            <w:tcW w:w="8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Scott Burrows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38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Heidy King-Jones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3800" w:type="dxa"/>
            <w:vAlign w:val="bottom"/>
            <w:gridSpan w:val="2"/>
          </w:tcPr>
          <w:p>
            <w:pPr>
              <w:ind w:left="80"/>
              <w:spacing w:after="0"/>
              <w:rPr>
                <w:sz w:val="20"/>
                <w:szCs w:val="20"/>
                <w:color w:val="auto"/>
              </w:rPr>
            </w:pPr>
            <w:r>
              <w:rPr>
                <w:rFonts w:ascii="Arial" w:cs="Arial" w:eastAsia="Arial" w:hAnsi="Arial"/>
                <w:sz w:val="18"/>
                <w:szCs w:val="18"/>
                <w:color w:val="auto"/>
              </w:rPr>
              <w:t>Chief Legal Officer and Corporate Secretary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chooses executive officers, who then serve at the board’s discretion.</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 xml:space="preserve">Cameron Turtle, DPhil. </w:t>
      </w:r>
      <w:r>
        <w:rPr>
          <w:rFonts w:ascii="Arial" w:cs="Arial" w:eastAsia="Arial" w:hAnsi="Arial"/>
          <w:sz w:val="18"/>
          <w:szCs w:val="18"/>
          <w:color w:val="auto"/>
        </w:rPr>
        <w:t>Dr. Turtle joined as our Chief Operating Officer in June 2023. Dr. Turtle is an experienced leader in building, financing,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shaping biopharma organizations from preclinical development to late-stage clinical trials and commercialization. Prior to joining Aeglea, Dr. Turtle was an advisor to Spyre Therapeutics, Inc. from May 2023 to June 2023. Previously, he served as Venture Partner at Foresite Labs, a life sciences investment firm, from July 2022 to May 2023; Chief Strategy Officer of BridgeBio Pharma (NASDAQ: BBIO), a biotechnology company, from January 2021 to April 2022; and Chief Business Officer of Eidos Therapeutics (NASDAQ: EIDX), a biopharmaceutical company, from November 2018 to January 2021, where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he led business development, investor relations, and multiple operational functions as the company advanced an investigational medicine for a form of heart failure. Prior to joining Eidos and BridgeBio, he was a consultant at McKinsey &amp; Company, where he worked with pharmaceutical and medical device companies on topics including M&amp;A, growth strategy, clinical trial strategy, and sales force optimization. Dr. Turtle received his B.S. with honors in Bioengineering from the University of Washington and his D.Phil. in Cardiovascular Medicine from the University of Oxford, St. John’s College. He is the recipient of several awards, including a Rhodes Scholarship, Goldwater Scholarship, Forbes 30 Under 30, San Francisco Business Times 40 Under 40, and the Biocom Life Sciences Catalyst Award.</w:t>
      </w:r>
    </w:p>
    <w:p>
      <w:pPr>
        <w:spacing w:after="0" w:line="178"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i w:val="1"/>
          <w:iCs w:val="1"/>
          <w:color w:val="auto"/>
        </w:rPr>
        <w:t xml:space="preserve">Scott Burrows. </w:t>
      </w:r>
      <w:r>
        <w:rPr>
          <w:rFonts w:ascii="Arial" w:cs="Arial" w:eastAsia="Arial" w:hAnsi="Arial"/>
          <w:sz w:val="16"/>
          <w:szCs w:val="16"/>
          <w:color w:val="auto"/>
        </w:rPr>
        <w:t>Mr. Burrows joined as our Chief Financial Officer in September 2023. Prior to becoming Chief Financial Officer, Mr. Burrows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served as the Chief Financial Officer of Arcutis Biotherapeutics, Inc. (“Arcutis”) (Nasdaq: ARQT) where he helped lead Arcutis through a successful initial public offering, several further equity and debt financings, and the transition to a fully integrated commercial-stage company. Prior to Arcutis, Mr. Burrows was the head of international investor relations for Shire, plc based in Switzerland. Earlier in his career, he spent 15 years at Amgen, Inc. in roles of increasing responsibility across financial planning and analysis, treasury and investor relations. Mr. Burrows began his career at Arthur Andersen as a consultant after earning his B.A. and M.B.A. from the University of California, Los Angeles, and is a licensed C.P.A. (inactive).</w:t>
      </w:r>
    </w:p>
    <w:p>
      <w:pPr>
        <w:spacing w:after="0" w:line="164" w:lineRule="exact"/>
        <w:rPr>
          <w:sz w:val="20"/>
          <w:szCs w:val="20"/>
          <w:color w:val="auto"/>
        </w:rPr>
      </w:pPr>
    </w:p>
    <w:p>
      <w:pPr>
        <w:ind w:left="120"/>
        <w:spacing w:after="0" w:line="262" w:lineRule="auto"/>
        <w:rPr>
          <w:sz w:val="20"/>
          <w:szCs w:val="20"/>
          <w:color w:val="auto"/>
        </w:rPr>
      </w:pPr>
      <w:r>
        <w:rPr>
          <w:rFonts w:ascii="Arial" w:cs="Arial" w:eastAsia="Arial" w:hAnsi="Arial"/>
          <w:sz w:val="16"/>
          <w:szCs w:val="16"/>
          <w:i w:val="1"/>
          <w:iCs w:val="1"/>
          <w:color w:val="auto"/>
        </w:rPr>
        <w:t xml:space="preserve">Heidy King-Jones. </w:t>
      </w:r>
      <w:r>
        <w:rPr>
          <w:rFonts w:ascii="Arial" w:cs="Arial" w:eastAsia="Arial" w:hAnsi="Arial"/>
          <w:sz w:val="16"/>
          <w:szCs w:val="16"/>
          <w:color w:val="auto"/>
        </w:rPr>
        <w:t>Ms. King-Jones joined as our Chief Legal Officer and Corporate Secretary in September 2023. Ms. King-Jones most recently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Chief Legal Officer and Corporate Secretary at Provention Bio, Inc. through various financings, the approval of Tzield</w:t>
      </w:r>
      <w:r>
        <w:rPr>
          <w:rFonts w:ascii="Arial" w:cs="Arial" w:eastAsia="Arial" w:hAnsi="Arial"/>
          <w:sz w:val="23"/>
          <w:szCs w:val="23"/>
          <w:color w:val="auto"/>
          <w:vertAlign w:val="superscript"/>
        </w:rPr>
        <w:t>®</w:t>
      </w:r>
      <w:r>
        <w:rPr>
          <w:rFonts w:ascii="Arial" w:cs="Arial" w:eastAsia="Arial" w:hAnsi="Arial"/>
          <w:sz w:val="16"/>
          <w:szCs w:val="16"/>
          <w:color w:val="auto"/>
        </w:rPr>
        <w:t>, the companies successful transition from clinical-stage to commercial-stage as well as its acquisition by Sanofi in April 2023. Prior to her leadership role at Provention Bio, she was a Senior Vice President, General Counsel and Corporate Secretary at Axcella Health Inc. where she was responsible for Axcella’s corporate legal function and strategy. From 2013 to 2018, she held positions of increasing responsibility in the legal department at Sarepta Therapeutics, Inc., including overseeing all Corporate Law matters as Senior Director, Corporate Law. While at Sarepta, she served as a member of the company’s commercial readiness working group and was responsible for the development of the compliance program, contract and other legal work for the launch of its first product, Exondys 51</w:t>
      </w:r>
      <w:r>
        <w:rPr>
          <w:rFonts w:ascii="Arial" w:cs="Arial" w:eastAsia="Arial" w:hAnsi="Arial"/>
          <w:sz w:val="23"/>
          <w:szCs w:val="23"/>
          <w:color w:val="auto"/>
          <w:vertAlign w:val="superscript"/>
        </w:rPr>
        <w:t>®</w:t>
      </w:r>
      <w:r>
        <w:rPr>
          <w:rFonts w:ascii="Arial" w:cs="Arial" w:eastAsia="Arial" w:hAnsi="Arial"/>
          <w:sz w:val="16"/>
          <w:szCs w:val="16"/>
          <w:color w:val="auto"/>
        </w:rPr>
        <w:t>. Ms. King-Jones began her legal career in the Securities &amp; Public Companies Practice Group at Ropes &amp; Gray LLP, where she represented private and publicly traded companies in the pharmaceutical, utility and technology industries. She holds a J.D. and LL.M in International and Comparative Law from Cornell Law School, and a B.A. from Dartmouth College.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All of the information contained in the sections below generally relates to compensation for our fiscal year 2022 and was included in our proxy statement for the 2023 annual meeting of stockholders (the “2023 Annual Proxy”) filed with the SEC on April 17, 2023. Such information has not been adjusted to reflect the effects of the Reverse Split. Since the date of the 2023 Annual Proxy, there have been several changes to senior management, including the following:</w:t>
      </w:r>
    </w:p>
    <w:p>
      <w:pPr>
        <w:spacing w:after="0" w:line="92"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Jeffrey Goldberg’s termination as President and Chief Executive Officer, effective May 16,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Jim Kastenmayer’s termination as General Counsel and Corporate Secretary, effective May 16,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Jonathan Alspaugh’s termination as President and Chief Financial Officer, effective August 31,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Cameron Turtle’s appointment as Chief Operating Officer, effective June 22,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Scott Burrows’ appointment as Chief Financial Officer, effective September 1, 2023;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Heidy King-Jones’ appointment as Chief Legal Officer and Corporate Secretary, effective September 1, 2023.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section provides an overview of the material components of our executive compensation program for our Chief Executive Officer, including anyone who served as Chief Executive Officer during any part of fiscal year 2022, and each of our two other most highly compensated executive officers (our “Named Executive Officers”) during fiscal year 2022. The compensation provided to our Named Executive Officers for fiscal year 2022 is set forth in detail in the Summary Compensation Table and other tables that follow in this section, as well as the accompanying footnotes and narratives relating to those tables.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for fiscal year 2022 were:</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Jeffrey M. Goldberg, our Former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Jim Kastenmayer, our Former General Counsel, Corporate Secretary and Interim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Anthony G. Quinn, M.B Ch.B, Ph.D., our Former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Jonathan Alspaugh, our Former Chief Financial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Leslie Sloan, Ph.D., our Former Chief Operating Officer.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40"/>
          </w:cols>
          <w:pgMar w:left="320" w:top="459" w:right="5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provides information regarding all plan and non-plan compensation awarded to, earned by or paid to each of our Named Executive Officers for the fiscal years ended December 31, 2022 and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Nonequity</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0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9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rPr>
              <w:t>($) (1)</w:t>
            </w:r>
          </w:p>
        </w:tc>
        <w:tc>
          <w:tcPr>
            <w:tcW w:w="24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(2)</w:t>
            </w:r>
          </w:p>
        </w:tc>
        <w:tc>
          <w:tcPr>
            <w:tcW w:w="2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M. Goldberg (4)</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2022</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54,616</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1,774,952</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2,917</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1,832,485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Former President and Chief Executive Officer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Jim Kastenmayer (4)(6)</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2022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443,943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155,694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253,948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12,200</w:t>
            </w:r>
          </w:p>
        </w:tc>
        <w:tc>
          <w:tcPr>
            <w:tcW w:w="680" w:type="dxa"/>
            <w:vAlign w:val="bottom"/>
          </w:tcPr>
          <w:p>
            <w:pPr>
              <w:ind w:left="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865,785</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i w:val="1"/>
                <w:iCs w:val="1"/>
                <w:color w:val="auto"/>
                <w:w w:val="96"/>
              </w:rPr>
              <w:t>Former General Counsel, Corporate Secretary and Interim</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G. Quinn, M.B Ch.B, Ph.D. (4)</w:t>
            </w: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424,429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779,625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1,188,200</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2,392,254</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Former President and Chief Executive Officer</w:t>
            </w: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560,000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1,701,525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29,661</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2,623,186</w:t>
            </w:r>
          </w:p>
        </w:tc>
        <w:tc>
          <w:tcPr>
            <w:tcW w:w="0" w:type="dxa"/>
            <w:vAlign w:val="bottom"/>
          </w:tcPr>
          <w:p>
            <w:pPr>
              <w:spacing w:after="0"/>
              <w:rPr>
                <w:sz w:val="1"/>
                <w:szCs w:val="1"/>
                <w:color w:val="auto"/>
              </w:rPr>
            </w:pP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Jonathan Alspaugh (7)</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2022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425,001</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130,560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443,285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12,994</w:t>
            </w:r>
          </w:p>
        </w:tc>
        <w:tc>
          <w:tcPr>
            <w:tcW w:w="680" w:type="dxa"/>
            <w:vAlign w:val="bottom"/>
          </w:tcPr>
          <w:p>
            <w:pPr>
              <w:ind w:left="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1,011,840</w:t>
            </w: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Leslie Sloan, Ph.D. (8)</w:t>
            </w: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2022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435,000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465,560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13,323</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1,087,882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Operating Officer</w:t>
            </w:r>
          </w:p>
        </w:tc>
        <w:tc>
          <w:tcPr>
            <w:tcW w:w="8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410,000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822,496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16,940</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bonuses earned in 2022 and paid in 2023, based in part on achievement of specified milestones and performance objectives.</w:t>
      </w:r>
    </w:p>
    <w:p>
      <w:pPr>
        <w:spacing w:after="0" w:line="23"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amounts reported in this column represent the aggregate grant date fair value of the awards granted to our Named Executive Officers during the year ended December 31, 2022, as computed in accordance with Accounting Standards Codification Topic 718 (“ASC 718”). The assumptions used in calculating the grant date fair value of the awards reported in the Option Awards column are set forth in Note 10 to our 2022 Annual Financials included elsewhere in this prospectus. Note that the amounts reported in this column reflect the aggregate accounting cost for these awards, and do not necessarily correspond to the actual economic value that may be received by the Named Executive Officers from the awards. As of the date of grant, the achievement of the performance goals applicable to the performance-based options granted to Dr. Quinn during the year ended December 31, 2022 was not deemed to be probable, and therefore, the grant date fair value ascribed to such options in accordance with ASC 718, and reported in this column, is $0. The maximum grant date fair value of such performance-based options, assuming full achievement of the performance conditions to which such options are subject, is $78,066.61.</w:t>
      </w:r>
    </w:p>
    <w:p>
      <w:pPr>
        <w:spacing w:after="0" w:line="1" w:lineRule="exact"/>
        <w:rPr>
          <w:rFonts w:ascii="Arial" w:cs="Arial" w:eastAsia="Arial" w:hAnsi="Arial"/>
          <w:sz w:val="17"/>
          <w:szCs w:val="17"/>
          <w:color w:val="auto"/>
        </w:rPr>
      </w:pPr>
    </w:p>
    <w:p>
      <w:pPr>
        <w:ind w:left="540" w:right="16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Mr. Goldberg, represents housing allowance. For each of our other Named Executive Officers, primarily represents matching 401(k) or other retirement plan contributions paid by us on their behalf in the amount of $12,200.</w:t>
      </w:r>
    </w:p>
    <w:p>
      <w:pPr>
        <w:ind w:left="540" w:right="8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August 23, 2022, Dr. Quinn transitioned from our President and Chief Executive Officer to a non-employee consultant of Aeglea until September 1, 2023. Our board of directors appointed Mr. Kastenmayer, who served as our General Counsel and Corporate Secretary, to serve as our interim Chief Executive Officer from August 23, 2022 until the appointment of Mr. Goldberg as our President and Chief Executive Officer on November 29, 2022. Mr. Goldberg’s employment with us terminated on May 16, 2023. Under SEC rules, as each of Dr. Quinn, Mr. Kastenmayer and Mr. Goldberg served as Aeglea’s principal executive officer during a portion of 2022, each is considered to be a Named Executive Officer for 2022.</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severance payment of $1,176,000 in connection with Dr. Quinn’s termination of employment.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20" w:hanging="424"/>
        <w:spacing w:after="0" w:line="25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Because Mr. Kastenmayer was not a Named Executive Officer in 2021, SEC rules do not require his compensation for that year to be reported. Mr. Kastenmayer’s employment with us terminated on May 16, 2023.</w:t>
      </w:r>
    </w:p>
    <w:p>
      <w:pPr>
        <w:spacing w:after="0" w:line="1" w:lineRule="exact"/>
        <w:rPr>
          <w:rFonts w:ascii="Arial" w:cs="Arial" w:eastAsia="Arial" w:hAnsi="Arial"/>
          <w:sz w:val="18"/>
          <w:szCs w:val="18"/>
          <w:color w:val="auto"/>
        </w:rPr>
      </w:pPr>
    </w:p>
    <w:p>
      <w:pPr>
        <w:ind w:left="540" w:right="6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Because Mr. Alspaugh was not a Named Executive officer in 2021, SEC rules do not require his compensation for that year to be reported. Mr. Alspaugh’s employment with us terminated on August 31, 2023.</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 Sloan’s employment with us terminated on January 5, 2023.</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December 31, 2022</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for our Named Executive Officers, information regarding outstanding equity awards held as of December 31, 2022.</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7"/>
              </w:rPr>
              <w:t>Stock Awards</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Incentive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Plan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Number</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Incentive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Plan</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unearned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units or</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other</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rights</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1"/>
              </w:rPr>
              <w:t>exercise</w:t>
            </w:r>
          </w:p>
        </w:tc>
        <w:tc>
          <w:tcPr>
            <w:tcW w:w="90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that have</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options (#)</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unearned</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price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expiration</w:t>
            </w: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not</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4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360" w:type="dxa"/>
            <w:vAlign w:val="bottom"/>
          </w:tcPr>
          <w:p>
            <w:pPr>
              <w:spacing w:after="0"/>
              <w:rPr>
                <w:sz w:val="15"/>
                <w:szCs w:val="15"/>
                <w:color w:val="auto"/>
              </w:rPr>
            </w:pPr>
          </w:p>
        </w:tc>
        <w:tc>
          <w:tcPr>
            <w:tcW w:w="11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options (#)</w:t>
            </w: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9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date</w:t>
            </w:r>
          </w:p>
        </w:tc>
        <w:tc>
          <w:tcPr>
            <w:tcW w:w="72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9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vested (#)</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5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Jeffrey M. Goldberg</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11/28/2022</w:t>
            </w:r>
          </w:p>
        </w:tc>
        <w:tc>
          <w:tcPr>
            <w:tcW w:w="220" w:type="dxa"/>
            <w:vAlign w:val="bottom"/>
            <w:tcBorders>
              <w:top w:val="single" w:sz="8" w:color="CCEEFF"/>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81"/>
              </w:rPr>
              <w:t>(1)</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1,884,838</w:t>
            </w:r>
          </w:p>
        </w:tc>
        <w:tc>
          <w:tcPr>
            <w:tcW w:w="360" w:type="dxa"/>
            <w:vAlign w:val="bottom"/>
            <w:tcBorders>
              <w:top w:val="single" w:sz="8" w:color="CCEEFF"/>
            </w:tcBorders>
            <w:shd w:val="clear" w:color="auto" w:fill="CCEEFF"/>
          </w:tcPr>
          <w:p>
            <w:pPr>
              <w:jc w:val="right"/>
              <w:ind w:right="128"/>
              <w:spacing w:after="0" w:line="135" w:lineRule="exact"/>
              <w:rPr>
                <w:sz w:val="20"/>
                <w:szCs w:val="20"/>
                <w:color w:val="auto"/>
              </w:rPr>
            </w:pPr>
            <w:r>
              <w:rPr>
                <w:rFonts w:ascii="Arial" w:cs="Arial" w:eastAsia="Arial" w:hAnsi="Arial"/>
                <w:sz w:val="14"/>
                <w:szCs w:val="14"/>
                <w:color w:val="auto"/>
                <w:w w:val="81"/>
              </w:rPr>
              <w:t>(5)</w:t>
            </w:r>
          </w:p>
        </w:tc>
        <w:tc>
          <w:tcPr>
            <w:tcW w:w="7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1.27</w:t>
            </w: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6"/>
              </w:rPr>
              <w:t>11/27/2032</w:t>
            </w: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spacing w:after="0"/>
              <w:rPr>
                <w:sz w:val="20"/>
                <w:szCs w:val="20"/>
                <w:color w:val="auto"/>
              </w:rPr>
            </w:pPr>
            <w:r>
              <w:rPr>
                <w:rFonts w:ascii="Arial" w:cs="Arial" w:eastAsia="Arial" w:hAnsi="Arial"/>
                <w:sz w:val="14"/>
                <w:szCs w:val="14"/>
                <w:color w:val="auto"/>
              </w:rPr>
              <w:t>Jim Kastenmayer</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7/6/2021 (1)</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46,041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83,959</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w w:val="81"/>
              </w:rPr>
              <w:t>(5)</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7.03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7/5/2031</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2/17/2022 (1)</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17,708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67,292</w:t>
            </w:r>
          </w:p>
        </w:tc>
        <w:tc>
          <w:tcPr>
            <w:tcW w:w="36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3.17</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2/16/2032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8/23/2022 (1)</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10,833</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119,167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w w:val="81"/>
              </w:rPr>
              <w:t>(3)</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0.68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8/22/2032</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Anthony G. Quinn, M.B Ch.B, Ph.D.</w:t>
            </w:r>
          </w:p>
        </w:tc>
        <w:tc>
          <w:tcPr>
            <w:tcW w:w="112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2/20/2018 (1)</w:t>
            </w:r>
          </w:p>
        </w:tc>
        <w:tc>
          <w:tcPr>
            <w:tcW w:w="92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119,914</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6.31</w:t>
            </w:r>
          </w:p>
        </w:tc>
        <w:tc>
          <w:tcPr>
            <w:tcW w:w="9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2/19/2028</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7/18/2018 (1)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160,000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9.36</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7/17/2028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10/8/2018 (1)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140,000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9.36</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7/18/2028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2/28/2019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268,333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11,667</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8.36</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2/27/2029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2/14/2020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213,208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87,792</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2/13/2030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7/15/2020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55,000 (4)</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8.13</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7/15/2030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2/17/2021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151,250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178,750</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2/16/2031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2/17/2022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72,916</w:t>
            </w: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277,084</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3.17</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2/16/2032</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4/18/2022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40,000 (4)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4/18/2032</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99"/>
              </w:rPr>
              <w:t>7/15/2020</w:t>
            </w:r>
          </w:p>
        </w:tc>
        <w:tc>
          <w:tcPr>
            <w:tcW w:w="11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55,000 (6)</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24,750</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spacing w:after="0"/>
              <w:rPr>
                <w:sz w:val="20"/>
                <w:szCs w:val="20"/>
                <w:color w:val="auto"/>
              </w:rPr>
            </w:pPr>
            <w:r>
              <w:rPr>
                <w:rFonts w:ascii="Arial" w:cs="Arial" w:eastAsia="Arial" w:hAnsi="Arial"/>
                <w:sz w:val="14"/>
                <w:szCs w:val="14"/>
                <w:color w:val="auto"/>
              </w:rPr>
              <w:t>Jonathan Alspaugh</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7/6/2021 (1)</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56,666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103,334</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w w:val="81"/>
              </w:rPr>
              <w:t>(5)</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7.03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7/5/2031</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2/17/2022 (1)</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35,416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134,584</w:t>
            </w:r>
          </w:p>
        </w:tc>
        <w:tc>
          <w:tcPr>
            <w:tcW w:w="36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3.17</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2/16/2032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8/23/2022 (1)</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10,833</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119,167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w w:val="81"/>
              </w:rPr>
              <w:t>(3)</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0.68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8/22/2032</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120" w:type="dxa"/>
            <w:vAlign w:val="bottom"/>
            <w:gridSpan w:val="3"/>
          </w:tcPr>
          <w:p>
            <w:pPr>
              <w:spacing w:after="0"/>
              <w:rPr>
                <w:sz w:val="8"/>
                <w:szCs w:val="8"/>
                <w:color w:val="auto"/>
              </w:rPr>
            </w:pPr>
          </w:p>
        </w:tc>
        <w:tc>
          <w:tcPr>
            <w:tcW w:w="92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Leslie Sloan, Ph.D.</w:t>
            </w:r>
          </w:p>
        </w:tc>
        <w:tc>
          <w:tcPr>
            <w:tcW w:w="112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10/10/2017 (1)</w:t>
            </w:r>
          </w:p>
        </w:tc>
        <w:tc>
          <w:tcPr>
            <w:tcW w:w="92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55,000</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w w:val="81"/>
              </w:rPr>
              <w:t>(5)</w:t>
            </w:r>
          </w:p>
        </w:tc>
        <w:tc>
          <w:tcPr>
            <w:tcW w:w="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5.98</w:t>
            </w:r>
          </w:p>
        </w:tc>
        <w:tc>
          <w:tcPr>
            <w:tcW w:w="9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10/9/2027</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2/20/2018 (1)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80,000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6.31</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2/19/2028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2/28/2019 (1)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69,000</w:t>
            </w:r>
          </w:p>
        </w:tc>
        <w:tc>
          <w:tcPr>
            <w:tcW w:w="134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3,000(3)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8.36</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2/27/2029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3/6/2019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33,750</w:t>
            </w:r>
          </w:p>
        </w:tc>
        <w:tc>
          <w:tcPr>
            <w:tcW w:w="134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2,250(3)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8.06</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3/5/2029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2/14/2020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70,833</w:t>
            </w:r>
          </w:p>
        </w:tc>
        <w:tc>
          <w:tcPr>
            <w:tcW w:w="134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29,167(3)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2/13/2030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7/15/2020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20,000 (4)</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8.13</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7/15/2030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2/17/2021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73,333</w:t>
            </w:r>
          </w:p>
        </w:tc>
        <w:tc>
          <w:tcPr>
            <w:tcW w:w="1340" w:type="dxa"/>
            <w:vAlign w:val="bottom"/>
            <w:gridSpan w:val="3"/>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86,667(3)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7.35</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2/16/2031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2/17/2022</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142,500</w:t>
            </w:r>
          </w:p>
        </w:tc>
        <w:tc>
          <w:tcPr>
            <w:tcW w:w="3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3.17</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2/16/2032</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8/23/2022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(1)</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10,833</w:t>
            </w:r>
          </w:p>
        </w:tc>
        <w:tc>
          <w:tcPr>
            <w:tcW w:w="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119,167</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1"/>
              </w:rPr>
              <w:t>(3)</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0.68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8/22/2032</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99"/>
              </w:rPr>
              <w:t>7/15/2020</w:t>
            </w:r>
          </w:p>
        </w:tc>
        <w:tc>
          <w:tcPr>
            <w:tcW w:w="11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20,000 (6)</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Equity award was granted under our 2016 Plan. For Mr. Goldberg, equity award was granted as an inducement award.</w:t>
      </w:r>
    </w:p>
    <w:p>
      <w:pPr>
        <w:ind w:left="540" w:right="200" w:hanging="424"/>
        <w:spacing w:after="0" w:line="237" w:lineRule="auto"/>
        <w:tabs>
          <w:tab w:leader="none" w:pos="5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market value was determined by multiplying the number of shares by $0.45, the closing price of our Common Stock as reported on the Nasdaq Global Market on December 30, 2022, the last trading day of the year.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1/48th of the options vests on each monthly anniversary of the applicable vesting commencement date, subject to the executive’s continued service.</w:t>
      </w:r>
    </w:p>
    <w:p>
      <w:pPr>
        <w:ind w:left="540" w:right="660" w:hanging="424"/>
        <w:spacing w:after="0" w:line="221"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options vest and become exercisable contingent upon achievement of certain product development, regulatory, or stock price milestones, which have not been met as of December 31, 2022.</w:t>
      </w:r>
    </w:p>
    <w:p>
      <w:pPr>
        <w:ind w:left="540" w:right="520" w:hanging="424"/>
        <w:spacing w:after="0" w:line="221"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1/4th of the options vest on the one year anniversary of the applicable vesting commencement date and an additional 1/48th vests monthly thereafter, subject to the executive’s continued service.</w:t>
      </w:r>
    </w:p>
    <w:p>
      <w:pPr>
        <w:ind w:left="540" w:hanging="424"/>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restricted stock units vest contingent upon achievement of certain product development or regulatory milestones, which have not been met as of December 31, 2022.</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Our compensation committee has historically determined our executive compensation and determines the compensation of our Named Executive Officers. Our compensation committee typically reviews and discusses management’s proposed compensation with the Chief Executive Officer for all executives other than the Chief Executive Officer. Based on those discussions and its discretion, our compensation committee then approves the compensation of each executive officer after discussions without members of management present. We generally do not provide perquisites or personal benefits, except in situations where we believe it is appropriate to assist an individual in the performance of his or her duties, to make our executive officers more efficient and effective, and for recruitment and retention purposes. See “– </w:t>
      </w:r>
      <w:r>
        <w:rPr>
          <w:rFonts w:ascii="Arial" w:cs="Arial" w:eastAsia="Arial" w:hAnsi="Arial"/>
          <w:sz w:val="18"/>
          <w:szCs w:val="18"/>
          <w:i w:val="1"/>
          <w:iCs w:val="1"/>
          <w:color w:val="auto"/>
        </w:rPr>
        <w:t>Employment Arrangements with Our Named Executive Officers</w:t>
      </w:r>
      <w:r>
        <w:rPr>
          <w:rFonts w:ascii="Arial" w:cs="Arial" w:eastAsia="Arial" w:hAnsi="Arial"/>
          <w:sz w:val="18"/>
          <w:szCs w:val="18"/>
          <w:color w:val="auto"/>
        </w:rPr>
        <w:t>” below for additional information.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Welfare and Health Benefits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Our Named Executive Officers are eligible to participate in all of our benefit plans, such as the 401(k) plan (see description under “– </w:t>
      </w:r>
      <w:r>
        <w:rPr>
          <w:rFonts w:ascii="Arial" w:cs="Arial" w:eastAsia="Arial" w:hAnsi="Arial"/>
          <w:sz w:val="18"/>
          <w:szCs w:val="18"/>
          <w:i w:val="1"/>
          <w:iCs w:val="1"/>
          <w:color w:val="auto"/>
        </w:rPr>
        <w: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w:t>
      </w:r>
      <w:r>
        <w:rPr>
          <w:rFonts w:ascii="Arial" w:cs="Arial" w:eastAsia="Arial" w:hAnsi="Arial"/>
          <w:sz w:val="18"/>
          <w:szCs w:val="18"/>
          <w:color w:val="auto"/>
        </w:rPr>
        <w:t>” below), medical, dental, vision, short-term disability, long-term disability and group life insurance, in each case generally on the same basis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employees. We do not currently have qualified or nonqualified defined benefit plans or nonqualified deferred compensation plans, nor do we offer pension or other retirement benefits other than our 401(k) plan. Our board of directors may elect to adopt such plans in the future if it determines that doing so is in our best interests.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Code. The 401(k) plan is intended to be qualified under Section 401(a) of the Code with the 401(k) plan’s related trust intended to be tax exempt under Section 501(a) of the Code. We match our employee contributions in an amount equal to 100% of the first 3% of eligible compensation, and 50% of the next 2% of eligible compensation. All such employee contributions and matching contributions are immediately and fully vested.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 with Our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Jeffrey M. Goldberg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an offer letter dated November 28, 2022, Mr. Goldberg served as our President and Chief Executive Officer until May 16, 2023.</w:t>
      </w:r>
    </w:p>
    <w:p>
      <w:pPr>
        <w:spacing w:after="0" w:line="3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Mr. Goldberg’s offer letter set forth the principal terms and conditions of his employment, including his initial annual base salary of $600,000, an annual target bonus opportunity of 50% of his base salary (which bonus is earned based on our achievement of specified milestones and performance objectives, as well as Mr. Goldberg’s performance relative to one or more performance objectives established by our board of directors, the achievement of which is evaluated by our board of directors) and an annual housing allowance of $35,000. Mr. Goldberg’s offer letter provides for an option grant for the purchase of 1,884,838 shares of our Common Stock, which vests over a 48-month period with 25% of the options vesting on the one-year anniversary of his employment as Chief Executive Officer and the remainder vesting in equal monthly installments thereafter, subject to Mr. Goldberg’s continued service to us on each monthly vesting date. Pursuant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to the terms of his severance agreement, Mr. Goldberg received the severance benefits described in “</w:t>
      </w:r>
      <w:r>
        <w:rPr>
          <w:rFonts w:ascii="Arial" w:cs="Arial" w:eastAsia="Arial" w:hAnsi="Arial"/>
          <w:sz w:val="18"/>
          <w:szCs w:val="18"/>
          <w:i w:val="1"/>
          <w:iCs w:val="1"/>
          <w:color w:val="auto"/>
        </w:rPr>
        <w:t>Termination or Change in Control Arrangements</w:t>
      </w:r>
      <w:r>
        <w:rPr>
          <w:rFonts w:ascii="Arial" w:cs="Arial" w:eastAsia="Arial" w:hAnsi="Arial"/>
          <w:sz w:val="18"/>
          <w:szCs w:val="18"/>
          <w:color w:val="auto"/>
        </w:rPr>
        <w:t xml:space="preserve"> </w:t>
      </w:r>
      <w:r>
        <w:rPr>
          <w:rFonts w:ascii="Arial" w:cs="Arial" w:eastAsia="Arial" w:hAnsi="Arial"/>
          <w:sz w:val="18"/>
          <w:szCs w:val="18"/>
          <w:i w:val="1"/>
          <w:iCs w:val="1"/>
          <w:color w:val="auto"/>
        </w:rPr>
        <w:t>with Our Named Executive Officers</w:t>
      </w:r>
      <w:r>
        <w:rPr>
          <w:rFonts w:ascii="Arial" w:cs="Arial" w:eastAsia="Arial" w:hAnsi="Arial"/>
          <w:sz w:val="18"/>
          <w:szCs w:val="18"/>
          <w:color w:val="auto"/>
        </w:rPr>
        <w:t>”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Jim Kastenmayer</w:t>
      </w:r>
    </w:p>
    <w:p>
      <w:pPr>
        <w:spacing w:after="0" w:line="117" w:lineRule="exact"/>
        <w:rPr>
          <w:sz w:val="20"/>
          <w:szCs w:val="20"/>
          <w:color w:val="auto"/>
        </w:rPr>
      </w:pPr>
    </w:p>
    <w:p>
      <w:pPr>
        <w:ind w:left="120" w:right="200"/>
        <w:spacing w:after="0" w:line="285" w:lineRule="auto"/>
        <w:rPr>
          <w:sz w:val="20"/>
          <w:szCs w:val="20"/>
          <w:color w:val="auto"/>
        </w:rPr>
      </w:pPr>
      <w:r>
        <w:rPr>
          <w:rFonts w:ascii="Arial" w:cs="Arial" w:eastAsia="Arial" w:hAnsi="Arial"/>
          <w:sz w:val="16"/>
          <w:szCs w:val="16"/>
          <w:color w:val="auto"/>
        </w:rPr>
        <w:t>Pursuant to an offer letter dated June 8, 2021, Mr. Kastenmayer served as our General Counsel and Corporate Secretary until May 16, 2023, and from August 2022 to November 2022, served as our Interim Chief Executive Officer. Mr. Kastenmayer’s offer letter set forth the principal terms and conditions of his employment, including his initial annual base salary of $365,000 and an annual target bonus opportunity of 40% of his base salary (which bonus is earned based on our achievement of specified financial performance objectives, as well as Mr. Kastenmayer’s performance relative to one or more performance objectives established by our board of directors, the achievement of which is evaluated by our board of directors).</w:t>
      </w:r>
    </w:p>
    <w:p>
      <w:pPr>
        <w:spacing w:after="0" w:line="2"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Mr. Kastenmayer’s offer letter provides for an option grant for the purchase of 130,000 shares of our Common Stock, which vests over a 48-month period with 25% of the options vesting on the one-year anniversary of his employment as General Counsel and Corporate Secretary and the remainder vesting in equal monthly installments thereafter, subject to Mr. Kastenmayer’s continued service to us on each monthly vesting date. In connection with Mr. Kastenmayer’s appointment as Interim Chief Executive Officer, in August 2022, our board of directors approved certain adjustments to</w:t>
      </w:r>
    </w:p>
    <w:p>
      <w:pPr>
        <w:spacing w:after="0" w:line="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Mr. Kastenmayer’s compensation terms for such position, which included an increase in base salary to $588,000 and an increase in target bonus amount to 50%. The adjustments to Mr. Kastenmayer’s compensation in relation to his appointment as Interim Chief Executive Officer was prorated for time served. Pursuant to the terms of his severance agreement, Mr. Kastenmayer received the severance benefits described in “</w:t>
      </w:r>
      <w:r>
        <w:rPr>
          <w:rFonts w:ascii="Arial" w:cs="Arial" w:eastAsia="Arial" w:hAnsi="Arial"/>
          <w:sz w:val="18"/>
          <w:szCs w:val="18"/>
          <w:i w:val="1"/>
          <w:iCs w:val="1"/>
          <w:color w:val="auto"/>
        </w:rPr>
        <w:t>Termination or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Arrangements with Our Named Executive Officers</w:t>
      </w:r>
      <w:r>
        <w:rPr>
          <w:rFonts w:ascii="Arial" w:cs="Arial" w:eastAsia="Arial" w:hAnsi="Arial"/>
          <w:sz w:val="18"/>
          <w:szCs w:val="18"/>
          <w:color w:val="auto"/>
        </w:rPr>
        <w:t>” below.</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Anthony G. Quinn, M.B Ch.B, Ph.D.</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Pursuant to an offer letter dated July 18, 2018, Dr. Quinn served as our President and Chief Executive Officer until August 24, 2022. Dr. Quinn’s offer letter set forth the principal terms and conditions of his employment, including his initial annual base salary of $507,000, an annual target bonus opportunity of 50% of his base salary (which bonus is earned based on our achievement of specified milestones and performance objectives, as well as Dr. Quinn’s performance relative to one or more performance objectives established by our board of directors, the achievement of which is evaluated by our board of directors). Dr. Quinn’s offer letter provides for (i) an option grant for the purchase of 300,000 shares of our Common Stock, which vests over a 48-month period subject to Dr. Quinn’s continued service to us on each monthly vesting date, and (ii) three options to purchase an aggregate of 200,000 shares of our Common Stock, which will vest based on the achievement of certain performance objectives set by our board of directors. Pursuant to the terms of his severance agreement, Dr. Quinn received the severance benefits described in “</w:t>
      </w:r>
      <w:r>
        <w:rPr>
          <w:rFonts w:ascii="Arial" w:cs="Arial" w:eastAsia="Arial" w:hAnsi="Arial"/>
          <w:sz w:val="17"/>
          <w:szCs w:val="17"/>
          <w:i w:val="1"/>
          <w:iCs w:val="1"/>
          <w:color w:val="auto"/>
        </w:rPr>
        <w:t>Termination or Change in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 with Our Named Executive Officers</w:t>
      </w:r>
      <w:r>
        <w:rPr>
          <w:rFonts w:ascii="Arial" w:cs="Arial" w:eastAsia="Arial" w:hAnsi="Arial"/>
          <w:sz w:val="17"/>
          <w:szCs w:val="17"/>
          <w:color w:val="auto"/>
        </w:rPr>
        <w:t>” below.</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Jonathan Alspaugh</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Pursuant to an offer letter dated June 14, 2021, Mr. Alspaugh served as our Chief Financial Officer until August 31, 2023. Mr. Alspaugh’s offer letter set forth the principal terms and conditions of his employment as Chief Financial Officer, including his annual base salary and an annual target bonus opportunity (which bonus is earned based on our achievement of specified milestones and performance objectives, as well as Mr. Alspaugh’s performance relative to one or more performance objectives established by our board of directors, the achievement of which is evaluated by our board of directors). Mr. Alspaugh’s base salary and annual bonus are set forth in the “Summary Compensation Table” above. Mr. Alspaugh’s offer letter also provides for an additional option grant for the purchase of 160,000 shares of Common Stock, which vests over a 48-month period subject to</w:t>
      </w:r>
    </w:p>
    <w:p>
      <w:pPr>
        <w:spacing w:after="0" w:line="4"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Mr. Alspaugh’s continued service to us on each monthly vesting date. Mr. Alspaugh is entitled to severance benefits described in “</w:t>
      </w:r>
      <w:r>
        <w:rPr>
          <w:rFonts w:ascii="Arial" w:cs="Arial" w:eastAsia="Arial" w:hAnsi="Arial"/>
          <w:sz w:val="18"/>
          <w:szCs w:val="18"/>
          <w:i w:val="1"/>
          <w:iCs w:val="1"/>
          <w:color w:val="auto"/>
        </w:rPr>
        <w:t>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 Arrangements with Our Named Executive Officers</w:t>
      </w:r>
      <w:r>
        <w:rPr>
          <w:rFonts w:ascii="Arial" w:cs="Arial" w:eastAsia="Arial" w:hAnsi="Arial"/>
          <w:sz w:val="18"/>
          <w:szCs w:val="18"/>
          <w:color w:val="auto"/>
        </w:rPr>
        <w:t>” below.</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Leslie Sloan, Ph.D.</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Pursuant to an offer letter dated March 13, 2020, Dr. Sloan served as our Chief Operating Officer until January 2023. Dr. Sloan’s offer letter set forth the principal terms and conditions of her employment as Chief Operating Officer, including her annual base salary of $355,000 and an annual target bonus opportunity of 40% of her base salary (which bonus is earned based on our achievement of specified milestones and performance objectives, as well as Dr. Sloan’s performance relative to one or more performance objectives established by our board of directors, the achievement of which is evaluated by our board of directors). Dr. Sloan’s offer letter also provided for an additional option grant for the purchase of 108,000 shares of Common Stock, which vests over a 48-month period subject to Dr. Sloan’s continued service to us on each monthly vesting date. Pursuant to the terms of her severance agreement, Dr. Sloan received the severance benefits described in “</w:t>
      </w:r>
      <w:r>
        <w:rPr>
          <w:rFonts w:ascii="Arial" w:cs="Arial" w:eastAsia="Arial" w:hAnsi="Arial"/>
          <w:sz w:val="17"/>
          <w:szCs w:val="17"/>
          <w:i w:val="1"/>
          <w:iCs w:val="1"/>
          <w:color w:val="auto"/>
        </w:rPr>
        <w:t>Termination or Change in Control Arrangements with Our Named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w:t>
      </w:r>
      <w:r>
        <w:rPr>
          <w:rFonts w:ascii="Arial" w:cs="Arial" w:eastAsia="Arial" w:hAnsi="Arial"/>
          <w:sz w:val="17"/>
          <w:szCs w:val="17"/>
          <w:color w:val="auto"/>
        </w:rPr>
        <w:t>” below.</w:t>
      </w:r>
    </w:p>
    <w:p>
      <w:pPr>
        <w:spacing w:after="0" w:line="286" w:lineRule="exact"/>
        <w:rPr>
          <w:sz w:val="20"/>
          <w:szCs w:val="20"/>
          <w:color w:val="auto"/>
        </w:rPr>
      </w:pPr>
    </w:p>
    <w:p>
      <w:pPr>
        <w:ind w:left="120" w:right="4620"/>
        <w:spacing w:after="0" w:line="375" w:lineRule="auto"/>
        <w:rPr>
          <w:sz w:val="20"/>
          <w:szCs w:val="20"/>
          <w:color w:val="auto"/>
        </w:rPr>
      </w:pPr>
      <w:r>
        <w:rPr>
          <w:rFonts w:ascii="Arial" w:cs="Arial" w:eastAsia="Arial" w:hAnsi="Arial"/>
          <w:sz w:val="18"/>
          <w:szCs w:val="18"/>
          <w:b w:val="1"/>
          <w:bCs w:val="1"/>
          <w:i w:val="1"/>
          <w:iCs w:val="1"/>
          <w:color w:val="auto"/>
        </w:rPr>
        <w:t xml:space="preserve">Termination or Change in Control Arrangements with Our Named Executive Officers </w:t>
      </w:r>
      <w:r>
        <w:rPr>
          <w:rFonts w:ascii="Arial" w:cs="Arial" w:eastAsia="Arial" w:hAnsi="Arial"/>
          <w:sz w:val="18"/>
          <w:szCs w:val="18"/>
          <w:i w:val="1"/>
          <w:iCs w:val="1"/>
          <w:color w:val="auto"/>
        </w:rPr>
        <w:t>Jeffrey M. Goldberg</w:t>
      </w:r>
    </w:p>
    <w:p>
      <w:pPr>
        <w:spacing w:after="0" w:line="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Effective May 16, 2023, Mr. Goldberg was terminated from his position as President and Chief Executive Officer. Pursuant to his severance agreement, entered into as of November 29, 2022, Mr. Goldberg received the following benefits: (i) a severance payment equal to 12 months of his annual salary;</w:t>
      </w:r>
    </w:p>
    <w:p>
      <w:pPr>
        <w:ind w:left="120" w:right="200" w:hanging="4"/>
        <w:spacing w:after="0" w:line="253" w:lineRule="auto"/>
        <w:tabs>
          <w:tab w:leader="none" w:pos="3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lump sum bonus payment equal to his annual target bonus; (iii) payment of COBRA premiums to maintain group healthcare coverage for 12 months; and (iv) acceleration of vesting of Mr. Goldberg’s outstanding option awards with respect to the number of shares that would have vested if Mr. Goldberg had remained in service through an additional 12 months beyond the date of his termination. In addition, in recognition of his service to the Company during our previously announced process of pursuing strategic alternatives, our board of directors approved an additional severance payment to Mr. Goldberg of $50,000.</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Jim Kastenmayer</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Effective May 16, 2023, Mr. Kastenmayer was terminated from his position as General Counsel. Pursuant to his severance agreement, entered into as of July 6, 2021, Mr. Kastenmayer received the following benefits: (i) a severance payment equal to 12 months of his annual salary; (ii) a lump sum bonus payment equal to his annual target bonus; (iii) payment of COBRA premiums to maintain group healthcare coverage for 12 months; and (iv) acceleration of vesting of Mr. Kastenmayer’s outstanding option awards with respect to the number of shares that would have vested if</w:t>
      </w:r>
    </w:p>
    <w:p>
      <w:pPr>
        <w:spacing w:after="0" w:line="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Mr. Kastenmayer had remained in service through an additional 12 months beyond the date of his termination. In addition, in recognition of his service to the Company during our previously announced process of pursuing strategic alternatives, our board of directors approved an additional severance payment to Mr. Kastenmayer of $34,167.</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Anthony G. Quinn, M.B Ch.B, Ph.D.</w:t>
      </w:r>
    </w:p>
    <w:p>
      <w:pPr>
        <w:spacing w:after="0" w:line="117"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On August 24, 2022, we entered into a certain transition and separation agreement with Dr. Quinn in connection with his departure as our President and Chief Executive Officer (the “Transition Agreement”). We also entered into a consulting agreement (the “Consulting Agreement”) with Dr. Quinn, pursuant to which Dr. Quinn agreed to serve as a non-employee consultant to us until September 1, 2023 (such transition term end date, the “Consultancy End Date”). Subject to Dr. Quinn’s execution of a general release of claims, the terms of the Transition Agreement and the terms of the Consulting Agreement, Dr. Quinn will be entitled to receive the following benefits: (i) a severance payment of $882,000, equal to 18 months of his annual salary; (ii) a lump sum bonus payment of $294,000; and (iii) the amount of COBRA premiums he would be required to pay to maintain group healthcare coverage as in effect on September 1, 2022 for 18 months. In exchange for providing consulting services to us through the Consultancy End Date, Dr. Quinn also will be entitled to receive the following benefits: (x) continued vesting in his outstanding option awards with respect to the number of shares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that would have vested if Dr. Quinn had remained in service through the Consultancy End Date; and (y) acceleration of vesting of Dr. Quinn’s outstanding option awards with respect to the number of shares that would have vested if Dr. Quinn had remained in service through an additional 12 months beyond the Consultancy End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Jonathan Alspaugh</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Effective August 31, 2023, Mr. Alspaugh was terminated from his position as Chief Financial Officer. Pursuant to his separation and consulting agreement and general release of claims (the “Separation Agreement”), Mr. Alspaugh is entitled to receive the following benefits as consideration for his general release of claims in favor of us: (i) aggregate severance payments of $623,000 payable in installments over 12 months; (ii) fully subsidized COBRA coverage for up to 12 months; (iii) a lump sum bonus payment of $168,247; (iv) accelerated vesting of all stock options that were scheduled to vest during the 12-month period following the last day on which Mr. Alspaugh provides consulting services to us; (v) extension of the post-termination exercise period of outstanding stock options to six months; and (vi) potential transaction bonuses in the event we consummate any sale, licensing, disposition or monetization transaction relating to pegtarviliase or any of our legacy development-stage assets prior to June 23, 2024. The Separation Agreement provides that Mr. Alspaugh will provide consulting services to us through February 29, 2024 (which consulting period may be extended by mutual agreement of the parties or may be earlier terminated by Mr. Alspaugh, by us for cause or as a result of Mr. Alspaugh’s death or disability). During the consulting period, Mr. Alspaugh will receive a consulting fee of $500 per hour and will continue to vest in any outstanding stock options.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Leslie Sloan, Ph.D.</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 January 5, 2023, Dr. Sloan resigned from her position as Chief Operating Officer. Pursuant to her severance agreement, entered into as of August 7, 2019, Dr. Sloan received the following benefits: (i) a severance payment of $435,000, equal to 12 months of her annual salary; (ii) a lump sum bonus payment of $174,000; (iii) payment of COBRA premiums to maintain group healthcare coverage for 12 months; and (iv) acceleration of vesting of Dr. Sloan’s outstanding option awards with respect to the number of shares that would have vested if Dr. Sloan had remained in service through an additional 12 months beyond the date of her termination.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following table provides information for the fiscal year ended December 31, 2022 regarding all compensation awarded to, earned by or paid to each person who served as a non-employee director for some portion of 2022. Mr. Goldberg, our former President and Chief Executive Officer, received compensation solely as an employee of Aeglea in 2022.</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Fees</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Earned</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or Paid</w:t>
            </w:r>
          </w:p>
        </w:tc>
        <w:tc>
          <w:tcPr>
            <w:tcW w:w="940" w:type="dxa"/>
            <w:vAlign w:val="bottom"/>
            <w:gridSpan w:val="2"/>
            <w:vMerge w:val="continue"/>
          </w:tcPr>
          <w:p>
            <w:pPr>
              <w:spacing w:after="0"/>
              <w:rPr>
                <w:sz w:val="12"/>
                <w:szCs w:val="12"/>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 Cash</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3680" w:type="dxa"/>
            <w:vAlign w:val="bottom"/>
            <w:gridSpan w:val="2"/>
          </w:tcPr>
          <w:p>
            <w:pPr>
              <w:jc w:val="center"/>
              <w:ind w:left="2952"/>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6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 (1)</w:t>
            </w:r>
          </w:p>
        </w:tc>
        <w:tc>
          <w:tcPr>
            <w:tcW w:w="320" w:type="dxa"/>
            <w:vAlign w:val="bottom"/>
          </w:tcPr>
          <w:p>
            <w:pPr>
              <w:spacing w:after="0"/>
              <w:rPr>
                <w:sz w:val="15"/>
                <w:szCs w:val="15"/>
                <w:color w:val="auto"/>
              </w:rPr>
            </w:pPr>
          </w:p>
        </w:tc>
        <w:tc>
          <w:tcPr>
            <w:tcW w:w="74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Alison Lawton</w:t>
            </w:r>
          </w:p>
        </w:tc>
        <w:tc>
          <w:tcPr>
            <w:tcW w:w="30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7"/>
              </w:rPr>
              <w:t>21,268</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71,268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Armen Shanafelt, Ph.D. (2)</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7"/>
              </w:rPr>
              <w:t>21,268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Hunter C. Smith</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58,167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21,268</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Ivana Magovcevic-Liebisch, Ph.D.</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57,500</w:t>
            </w:r>
          </w:p>
        </w:tc>
        <w:tc>
          <w:tcPr>
            <w:tcW w:w="32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7"/>
              </w:rPr>
              <w:t>21,268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Marcio Souza (2)</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51,847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21,268</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Russell J. Cox</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32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7"/>
              </w:rPr>
              <w:t>21,268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 Bryan Lawlis, Ph.D. (2)</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21,268</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Sandesh Mahatme (3)</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24,556</w:t>
            </w:r>
          </w:p>
        </w:tc>
        <w:tc>
          <w:tcPr>
            <w:tcW w:w="32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7"/>
              </w:rPr>
              <w:t>21,268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Sarah Brownstein (4)</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60" w:type="dxa"/>
            <w:vAlign w:val="bottom"/>
          </w:tcPr>
          <w:p>
            <w:pPr>
              <w:jc w:val="right"/>
              <w:ind w:right="1712"/>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100" w:hanging="424"/>
        <w:spacing w:after="0" w:line="284"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 date fair value of the awards granted to our non-employee directors during the year ended December 31, 2022, as computed in accordance with ASC 718. The assumptions used in calculating the grant date fair value of the awards reported in the Option Awards column are set forth in Note 10 to our 2022 Annual Financials included elsewhere in this prospectus. Note that the amounts reported in this column reflect the aggregate accounting cost for these awards, and do not necessarily correspond to the actual economic value that may be received by the non-employee directors from the awards. For information regarding the number of stock options and restricted common stock held by each non-employee director as of December 31, 2022, see the table below.</w:t>
      </w:r>
    </w:p>
    <w:p>
      <w:pPr>
        <w:spacing w:after="0" w:line="4" w:lineRule="exact"/>
        <w:rPr>
          <w:rFonts w:ascii="Arial" w:cs="Arial" w:eastAsia="Arial" w:hAnsi="Arial"/>
          <w:sz w:val="16"/>
          <w:szCs w:val="16"/>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 Shanafelt, Mr. Souza and Dr. Lawlis each resigned from our board of directors in June 2023.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Mahatme resigned from our board of directors in July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Ms. Brownstein resigned from our board of directors in February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2022, our non-employee directors held the following number of outstanding stock options.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58"/>
        </w:trPr>
        <w:tc>
          <w:tcPr>
            <w:tcW w:w="6640" w:type="dxa"/>
            <w:vAlign w:val="bottom"/>
            <w:gridSpan w:val="2"/>
            <w:vMerge w:val="continue"/>
          </w:tcPr>
          <w:p>
            <w:pPr>
              <w:spacing w:after="0"/>
              <w:rPr>
                <w:sz w:val="13"/>
                <w:szCs w:val="13"/>
                <w:color w:val="auto"/>
              </w:rPr>
            </w:pPr>
          </w:p>
        </w:tc>
        <w:tc>
          <w:tcPr>
            <w:tcW w:w="780" w:type="dxa"/>
            <w:vAlign w:val="bottom"/>
          </w:tcPr>
          <w:p>
            <w:pPr>
              <w:ind w:left="300"/>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Alison Lawton</w:t>
            </w:r>
          </w:p>
        </w:tc>
        <w:tc>
          <w:tcPr>
            <w:tcW w:w="7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86"/>
              </w:rPr>
              <w:t>130,200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Hunter C. Smith</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w w:val="95"/>
              </w:rPr>
              <w:t>103,000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Ivana Magovcevic-Liebisch, Ph.D.</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160,300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Michael Henderson, M.D.</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Harwin</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Russell J. Cox</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w w:val="95"/>
              </w:rPr>
              <w:t>205,709</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Tomas Kiselak</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non-employee directors received the following compensation pursuant to a program adopted by our board of directors:</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i w:val="1"/>
          <w:iCs w:val="1"/>
          <w:color w:val="auto"/>
        </w:rPr>
        <w:t xml:space="preserve">Cash Compensation. </w:t>
      </w:r>
      <w:r>
        <w:rPr>
          <w:rFonts w:ascii="Arial" w:cs="Arial" w:eastAsia="Arial" w:hAnsi="Arial"/>
          <w:sz w:val="17"/>
          <w:szCs w:val="17"/>
          <w:color w:val="auto"/>
        </w:rPr>
        <w:t>The program provides an annual cash retainer of $40,000 to each of our non-employee directors and an additional $35,000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 of the board. The chair of our audit committee, compensation committee and nominating and corporate governance committee receives annual retainers of $20,000, $15,000 and $10,000, respectively. Each non-chairperson member of our audit committee, compensation committee and nominating and corporate governance committee receives an annual cash retainer of $10,000, $7,500 and $5,000, respectively. We do not pay fees to directors for attendance at meetings of our board of directors and its committees.</w:t>
      </w:r>
    </w:p>
    <w:p>
      <w:pPr>
        <w:spacing w:after="0" w:line="1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i w:val="1"/>
          <w:iCs w:val="1"/>
          <w:color w:val="auto"/>
        </w:rPr>
        <w:t xml:space="preserve">Equity Compensation. </w:t>
      </w:r>
      <w:r>
        <w:rPr>
          <w:rFonts w:ascii="Arial" w:cs="Arial" w:eastAsia="Arial" w:hAnsi="Arial"/>
          <w:sz w:val="18"/>
          <w:szCs w:val="18"/>
          <w:color w:val="auto"/>
        </w:rPr>
        <w:t>Each new, non-employee director who joins our board of directors will receive an initial option grant for the purchase of 65,000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upon election to our board of directors.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the date of each annual meeting of stockholders, each non-employee director who continues to serve on our board of directors immediately following such meeting will receive an option grant for the purchase of 43,000 shares of our Common Stock, or such other amount as determined by our board of directors.</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Equity awards for new directors will vest in equal monthly installments for three years after the grant date if the director has served continuously as a member of our board of directors through the applicable vesting date. Annual equity grants for directors will vest in equal monthly installments for one year after the grant date if the director has served continuously as a member of our board of directors through the applicable vesting date. In addition, equity awards for non-employee directors will vest in full in the event that we are subject to a change in control or upon certain other events.</w:t>
      </w:r>
    </w:p>
    <w:p>
      <w:pPr>
        <w:spacing w:after="0" w:line="15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Non-employee directors receive no other form of remuneration, perquisites or benefits, but are reimbursed for their reasonable travel expenses incurred in attending board and committee meetings.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Pay-Versus-Performance</w:t>
      </w:r>
    </w:p>
    <w:p>
      <w:pPr>
        <w:spacing w:after="0" w:line="121"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Our compensation committee approves and administers our executive compensation program to align executive compensation with stockholder interests by linking pay to performance. Our overall compensation program includes a mix of short-term and long-term components through our annual incentive plan and equity awards. During fiscal year 2022, there was a change to our executive management team when our tenured Chief Executive Officer,</w:t>
      </w:r>
    </w:p>
    <w:p>
      <w:pPr>
        <w:spacing w:after="0" w:line="2"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Dr. Quinn (“PEO 2”) resigned on August 23, 2022 and transitioned to an advisory role. Upon this transition, Mr. Kastenmayer (“PEO 3”) was appointed our interim Chief Executive Officer until Mr. Goldberg (“PEO 1”) was appointed on November 29, 2022. We provide the compensation actually paid during fiscal year 2022 for all three individuals providing service as Chief Executive Officer during fiscal year 2022 in the following tables.</w:t>
      </w:r>
    </w:p>
    <w:p>
      <w:pPr>
        <w:spacing w:after="0" w:line="15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As required by Item 402(v) of Regulation S-K, we are providing the following information about the relationship between the compensation actually paid to our Named Executive Officers and certain aspects of our financial performance. We are a smaller reporting company pursuant to Rule 405 of the Securities Act and, as such, are only required to include information for the past two fiscal years in the table below.</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Pay-Versus-Performance Table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Average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Stockholder</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Summary</w:t>
            </w:r>
          </w:p>
        </w:tc>
        <w:tc>
          <w:tcPr>
            <w:tcW w:w="12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Average</w:t>
            </w:r>
          </w:p>
        </w:tc>
        <w:tc>
          <w:tcPr>
            <w:tcW w:w="8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Return</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Summary</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Summary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Summary</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Compensation</w:t>
            </w: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Compensation</w:t>
            </w:r>
          </w:p>
        </w:tc>
        <w:tc>
          <w:tcPr>
            <w:tcW w:w="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Based</w:t>
            </w:r>
          </w:p>
        </w:tc>
        <w:tc>
          <w:tcPr>
            <w:tcW w:w="140" w:type="dxa"/>
            <w:vAlign w:val="bottom"/>
          </w:tcPr>
          <w:p>
            <w:pPr>
              <w:spacing w:after="0"/>
              <w:rPr>
                <w:sz w:val="12"/>
                <w:szCs w:val="12"/>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Compensation</w:t>
            </w: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Compensation</w:t>
            </w:r>
          </w:p>
        </w:tc>
        <w:tc>
          <w:tcPr>
            <w:tcW w:w="9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Compensation</w:t>
            </w:r>
          </w:p>
        </w:tc>
        <w:tc>
          <w:tcPr>
            <w:tcW w:w="80" w:type="dxa"/>
            <w:vAlign w:val="bottom"/>
          </w:tcPr>
          <w:p>
            <w:pPr>
              <w:spacing w:after="0"/>
              <w:rPr>
                <w:sz w:val="12"/>
                <w:szCs w:val="12"/>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Compensation</w:t>
            </w: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Compensation</w:t>
            </w: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Compensation</w:t>
            </w:r>
          </w:p>
        </w:tc>
        <w:tc>
          <w:tcPr>
            <w:tcW w:w="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Table Total</w:t>
            </w:r>
          </w:p>
        </w:tc>
        <w:tc>
          <w:tcPr>
            <w:tcW w:w="10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Actually Paid</w:t>
            </w:r>
          </w:p>
        </w:tc>
        <w:tc>
          <w:tcPr>
            <w:tcW w:w="8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on Initial</w:t>
            </w: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48"/>
        </w:trPr>
        <w:tc>
          <w:tcPr>
            <w:tcW w:w="1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Year</w:t>
            </w:r>
          </w:p>
        </w:tc>
        <w:tc>
          <w:tcPr>
            <w:tcW w:w="8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Table Total</w:t>
            </w: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Actually Paid</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Table Total</w:t>
            </w:r>
          </w:p>
        </w:tc>
        <w:tc>
          <w:tcPr>
            <w:tcW w:w="80" w:type="dxa"/>
            <w:vAlign w:val="bottom"/>
          </w:tcPr>
          <w:p>
            <w:pPr>
              <w:spacing w:after="0"/>
              <w:rPr>
                <w:sz w:val="12"/>
                <w:szCs w:val="12"/>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Actually Paid</w:t>
            </w:r>
          </w:p>
        </w:tc>
        <w:tc>
          <w:tcPr>
            <w:tcW w:w="8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Table Total</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Actually Paid</w:t>
            </w: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for Non-PEO</w:t>
            </w:r>
          </w:p>
        </w:tc>
        <w:tc>
          <w:tcPr>
            <w:tcW w:w="10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to Non-PEO</w:t>
            </w:r>
          </w:p>
        </w:tc>
        <w:tc>
          <w:tcPr>
            <w:tcW w:w="8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Fixed $100</w:t>
            </w:r>
          </w:p>
        </w:tc>
        <w:tc>
          <w:tcPr>
            <w:tcW w:w="140" w:type="dxa"/>
            <w:vAlign w:val="bottom"/>
          </w:tcPr>
          <w:p>
            <w:pPr>
              <w:spacing w:after="0"/>
              <w:rPr>
                <w:sz w:val="12"/>
                <w:szCs w:val="12"/>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w:t>
            </w:r>
          </w:p>
        </w:tc>
        <w:tc>
          <w:tcPr>
            <w:tcW w:w="0" w:type="dxa"/>
            <w:vAlign w:val="bottom"/>
          </w:tcPr>
          <w:p>
            <w:pPr>
              <w:spacing w:after="0"/>
              <w:rPr>
                <w:sz w:val="1"/>
                <w:szCs w:val="1"/>
                <w:color w:val="auto"/>
              </w:rPr>
            </w:pPr>
          </w:p>
        </w:tc>
      </w:tr>
      <w:tr>
        <w:trPr>
          <w:trHeight w:val="135"/>
        </w:trPr>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for PEO 1</w:t>
            </w: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to PEO 1</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for PEO 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to PEO 2</w:t>
            </w:r>
          </w:p>
        </w:tc>
        <w:tc>
          <w:tcPr>
            <w:tcW w:w="8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for PEO 3</w:t>
            </w:r>
          </w:p>
        </w:tc>
        <w:tc>
          <w:tcPr>
            <w:tcW w:w="12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to PEO 3</w:t>
            </w:r>
          </w:p>
        </w:tc>
        <w:tc>
          <w:tcPr>
            <w:tcW w:w="8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NEOs</w:t>
            </w:r>
          </w:p>
        </w:tc>
        <w:tc>
          <w:tcPr>
            <w:tcW w:w="12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NEOs</w:t>
            </w:r>
          </w:p>
        </w:tc>
        <w:tc>
          <w:tcPr>
            <w:tcW w:w="88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Investment</w:t>
            </w: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thousands)</w:t>
            </w:r>
          </w:p>
        </w:tc>
        <w:tc>
          <w:tcPr>
            <w:tcW w:w="0" w:type="dxa"/>
            <w:vAlign w:val="bottom"/>
          </w:tcPr>
          <w:p>
            <w:pPr>
              <w:spacing w:after="0"/>
              <w:rPr>
                <w:sz w:val="1"/>
                <w:szCs w:val="1"/>
                <w:color w:val="auto"/>
              </w:rPr>
            </w:pPr>
          </w:p>
        </w:tc>
      </w:tr>
      <w:tr>
        <w:trPr>
          <w:trHeight w:val="181"/>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7"/>
              </w:rPr>
              <w:t>(a)</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(b) (1)</w:t>
            </w:r>
          </w:p>
        </w:tc>
        <w:tc>
          <w:tcPr>
            <w:tcW w:w="12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(c) (2)(5)</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(b) (1)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(c) (2)(5)</w:t>
            </w:r>
          </w:p>
        </w:tc>
        <w:tc>
          <w:tcPr>
            <w:tcW w:w="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(b) (1)</w:t>
            </w:r>
          </w:p>
        </w:tc>
        <w:tc>
          <w:tcPr>
            <w:tcW w:w="12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(c) (2)(5)</w:t>
            </w:r>
          </w:p>
        </w:tc>
        <w:tc>
          <w:tcPr>
            <w:tcW w:w="8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(d) (3)</w:t>
            </w:r>
          </w:p>
        </w:tc>
        <w:tc>
          <w:tcPr>
            <w:tcW w:w="1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(e) (4)(5)</w:t>
            </w:r>
          </w:p>
        </w:tc>
        <w:tc>
          <w:tcPr>
            <w:tcW w:w="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(f) (6)</w:t>
            </w:r>
          </w:p>
        </w:tc>
        <w:tc>
          <w:tcPr>
            <w:tcW w:w="14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(g) (7)</w:t>
            </w:r>
          </w:p>
        </w:tc>
        <w:tc>
          <w:tcPr>
            <w:tcW w:w="0" w:type="dxa"/>
            <w:vAlign w:val="bottom"/>
          </w:tcPr>
          <w:p>
            <w:pPr>
              <w:spacing w:after="0"/>
              <w:rPr>
                <w:sz w:val="1"/>
                <w:szCs w:val="1"/>
                <w:color w:val="auto"/>
              </w:rPr>
            </w:pPr>
          </w:p>
        </w:tc>
      </w:tr>
      <w:tr>
        <w:trPr>
          <w:trHeight w:val="135"/>
        </w:trPr>
        <w:tc>
          <w:tcPr>
            <w:tcW w:w="12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1,832,485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564,676</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180"/>
              <w:spacing w:after="0" w:line="135" w:lineRule="exact"/>
              <w:rPr>
                <w:sz w:val="20"/>
                <w:szCs w:val="20"/>
                <w:color w:val="auto"/>
              </w:rPr>
            </w:pPr>
            <w:r>
              <w:rPr>
                <w:rFonts w:ascii="Arial" w:cs="Arial" w:eastAsia="Arial" w:hAnsi="Arial"/>
                <w:sz w:val="14"/>
                <w:szCs w:val="14"/>
                <w:color w:val="auto"/>
                <w:w w:val="86"/>
              </w:rPr>
              <w:t>2,392,254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431,085</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865,785</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318,380</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1,049,862</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202,299</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tcBorders>
            <w:shd w:val="clear" w:color="auto" w:fill="CCEEFF"/>
          </w:tcPr>
          <w:p>
            <w:pPr>
              <w:ind w:left="100"/>
              <w:spacing w:after="0" w:line="135" w:lineRule="exact"/>
              <w:rPr>
                <w:sz w:val="20"/>
                <w:szCs w:val="20"/>
                <w:color w:val="auto"/>
              </w:rPr>
            </w:pPr>
            <w:r>
              <w:rPr>
                <w:rFonts w:ascii="Arial" w:cs="Arial" w:eastAsia="Arial" w:hAnsi="Arial"/>
                <w:sz w:val="14"/>
                <w:szCs w:val="14"/>
                <w:color w:val="auto"/>
                <w:w w:val="79"/>
              </w:rPr>
              <w:t>83,815)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2,623,186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361,504</w:t>
            </w: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1,365,778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712,689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62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65,801)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jc w:val="both"/>
        <w:ind w:left="540" w:right="20" w:hanging="424"/>
        <w:spacing w:after="0" w:line="255"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dollar amounts reported in column (b) represent the amount of total compensation reported for Mr. Goldberg, Dr. Quinn and Mr. Kastenmayer (collectively, our “PEOs”) for each covered fiscal year in the “Total” column of the Summary Compensation Table for each applicable year. Please refer to “</w:t>
      </w:r>
      <w:r>
        <w:rPr>
          <w:rFonts w:ascii="Arial" w:cs="Arial" w:eastAsia="Arial" w:hAnsi="Arial"/>
          <w:sz w:val="18"/>
          <w:szCs w:val="18"/>
          <w:i w:val="1"/>
          <w:iCs w:val="1"/>
          <w:color w:val="auto"/>
        </w:rPr>
        <w:t>Executive Compensation – Summary Compensation Table”</w:t>
      </w:r>
      <w:r>
        <w:rPr>
          <w:rFonts w:ascii="Arial" w:cs="Arial" w:eastAsia="Arial" w:hAnsi="Arial"/>
          <w:sz w:val="18"/>
          <w:szCs w:val="18"/>
          <w:color w:val="auto"/>
        </w:rPr>
        <w:t xml:space="preserve"> above.</w:t>
      </w:r>
    </w:p>
    <w:p>
      <w:pPr>
        <w:spacing w:after="0" w:line="2" w:lineRule="exact"/>
        <w:rPr>
          <w:rFonts w:ascii="Arial" w:cs="Arial" w:eastAsia="Arial" w:hAnsi="Arial"/>
          <w:sz w:val="18"/>
          <w:szCs w:val="18"/>
          <w:color w:val="auto"/>
        </w:rPr>
      </w:pPr>
    </w:p>
    <w:p>
      <w:pPr>
        <w:ind w:left="540" w:right="280" w:hanging="424"/>
        <w:spacing w:after="0" w:line="255"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dollar amounts reported in column (c) represent the amount of “compensation actually paid” to our PEOs, as computed in accordance with Item 402(v) of Regulation S-K, for each covered fiscal year. The dollar amounts do not reflect the actual amount of compensation earned or received by or paid to the PEOs during the applicable fiscal year.</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8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equity award adjustments for each covered fiscal year include the addition (or subtraction, as applicable) of the following: (i) the year-end fair value of all equity awards granted during the covered fiscal year that are outstanding and unvested as of the end of the covered fiscal year; (ii) the amount equal to the change as of the end of the covered fiscal year (from the end of the prior fiscal year) in fair value of any equity awards granted in any prior fiscal year that are outstanding and unvested as of the end of the covered fiscal year;</w:t>
      </w:r>
    </w:p>
    <w:p>
      <w:pPr>
        <w:spacing w:after="0" w:line="1" w:lineRule="exact"/>
        <w:rPr>
          <w:rFonts w:ascii="Arial" w:cs="Arial" w:eastAsia="Arial" w:hAnsi="Arial"/>
          <w:sz w:val="16"/>
          <w:szCs w:val="16"/>
          <w:color w:val="auto"/>
        </w:rPr>
      </w:pPr>
    </w:p>
    <w:p>
      <w:pPr>
        <w:ind w:left="1080" w:right="60"/>
        <w:spacing w:after="0" w:line="290" w:lineRule="auto"/>
        <w:rPr>
          <w:rFonts w:ascii="Arial" w:cs="Arial" w:eastAsia="Arial" w:hAnsi="Arial"/>
          <w:sz w:val="16"/>
          <w:szCs w:val="16"/>
          <w:color w:val="auto"/>
        </w:rPr>
      </w:pPr>
      <w:r>
        <w:rPr>
          <w:rFonts w:ascii="Arial" w:cs="Arial" w:eastAsia="Arial" w:hAnsi="Arial"/>
          <w:sz w:val="16"/>
          <w:szCs w:val="16"/>
          <w:color w:val="auto"/>
        </w:rPr>
        <w:t>(iii) for equity awards that are granted and vest in same covered fiscal year, the fair value as of the vesting date; (iv) for equity awards granted in any prior fiscal year for which all applicable vesting conditions were satisfied at the end of or during the covered fiscal year, the amount equal to the change as of the vesting date (from the end of the prior fiscal year) in fair value; (v) for equity awards granted in any prior fiscal year that fail to meet the applicable vesting conditions during the covered fiscal year, the amount equal to the fair value at the end of the prior fiscal year; and (vi) the dollar value of any dividends or other earnings paid on stock or option awards in the covered fiscal year prior to the vesting date that are not otherwise included in the total compensation for the covered fiscal year.</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PEO 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4"/>
          </w:tcPr>
          <w:p>
            <w:pPr>
              <w:ind w:left="580"/>
              <w:spacing w:after="0"/>
              <w:rPr>
                <w:sz w:val="20"/>
                <w:szCs w:val="20"/>
                <w:color w:val="auto"/>
              </w:rPr>
            </w:pPr>
            <w:r>
              <w:rPr>
                <w:rFonts w:ascii="Arial" w:cs="Arial" w:eastAsia="Arial" w:hAnsi="Arial"/>
                <w:sz w:val="14"/>
                <w:szCs w:val="14"/>
                <w:b w:val="1"/>
                <w:bCs w:val="1"/>
                <w:color w:val="auto"/>
              </w:rPr>
              <w:t>PEO 2</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PEO 3</w:t>
            </w:r>
          </w:p>
        </w:tc>
      </w:tr>
      <w:tr>
        <w:trPr>
          <w:trHeight w:val="142"/>
        </w:trPr>
        <w:tc>
          <w:tcPr>
            <w:tcW w:w="48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Summary Compensation Table – Total Compensation</w:t>
            </w: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(a)</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N/A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1,832,485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$ 2,623,186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$ 2,392,254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$ 865,785</w:t>
            </w:r>
          </w:p>
        </w:tc>
        <w:tc>
          <w:tcPr>
            <w:tcW w:w="12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w w:val="93"/>
              </w:rPr>
              <w:t>- Grant Date Fair Value of Option Awards Granted in Fiscal Year</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c>
          <w:tcPr>
            <w:tcW w:w="320" w:type="dxa"/>
            <w:vAlign w:val="bottom"/>
            <w:gridSpan w:val="3"/>
          </w:tcPr>
          <w:p>
            <w:pPr>
              <w:jc w:val="center"/>
              <w:ind w:left="11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1,774,952</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$ 1,701,525</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779,625</w:t>
            </w:r>
          </w:p>
        </w:tc>
        <w:tc>
          <w:tcPr>
            <w:tcW w:w="320" w:type="dxa"/>
            <w:vAlign w:val="bottom"/>
          </w:tcPr>
          <w:p>
            <w:pPr>
              <w:spacing w:after="0"/>
              <w:rPr>
                <w:sz w:val="20"/>
                <w:szCs w:val="20"/>
                <w:color w:val="auto"/>
              </w:rPr>
            </w:pPr>
            <w:r>
              <w:rPr>
                <w:rFonts w:ascii="Arial" w:cs="Arial" w:eastAsia="Arial" w:hAnsi="Arial"/>
                <w:sz w:val="18"/>
                <w:szCs w:val="18"/>
                <w:color w:val="auto"/>
                <w:w w:val="99"/>
              </w:rPr>
              <w:t>N/A</w:t>
            </w:r>
          </w:p>
        </w:tc>
        <w:tc>
          <w:tcPr>
            <w:tcW w:w="1080" w:type="dxa"/>
            <w:vAlign w:val="bottom"/>
            <w:gridSpan w:val="4"/>
          </w:tcPr>
          <w:p>
            <w:pPr>
              <w:ind w:left="200"/>
              <w:spacing w:after="0"/>
              <w:rPr>
                <w:sz w:val="20"/>
                <w:szCs w:val="20"/>
                <w:color w:val="auto"/>
              </w:rPr>
            </w:pPr>
            <w:r>
              <w:rPr>
                <w:rFonts w:ascii="Arial" w:cs="Arial" w:eastAsia="Arial" w:hAnsi="Arial"/>
                <w:sz w:val="18"/>
                <w:szCs w:val="18"/>
                <w:color w:val="auto"/>
              </w:rPr>
              <w:t>$ 253,948</w:t>
            </w: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 Fair Value at Fiscal Year-End of Outstanding and Unvested</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Awards and Option Awards Granted in Fiscal Year</w:t>
            </w: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(c)</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N/A</w:t>
            </w:r>
          </w:p>
        </w:tc>
        <w:tc>
          <w:tcPr>
            <w:tcW w:w="32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507,143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706,475</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58,188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N/A</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48,564</w:t>
            </w: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rPr>
              <w:t>+ Change in Fair Value of Outstanding and Unvested Stock</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Awards and Option Awards Granted in Prior Fiscal Years</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(d)</w:t>
            </w:r>
          </w:p>
        </w:tc>
        <w:tc>
          <w:tcPr>
            <w:tcW w:w="300" w:type="dxa"/>
            <w:vAlign w:val="bottom"/>
          </w:tcPr>
          <w:p>
            <w:pPr>
              <w:spacing w:after="0"/>
              <w:rPr>
                <w:sz w:val="20"/>
                <w:szCs w:val="20"/>
                <w:color w:val="auto"/>
              </w:rPr>
            </w:pPr>
            <w:r>
              <w:rPr>
                <w:rFonts w:ascii="Arial" w:cs="Arial" w:eastAsia="Arial" w:hAnsi="Arial"/>
                <w:sz w:val="18"/>
                <w:szCs w:val="18"/>
                <w:color w:val="auto"/>
                <w:w w:val="93"/>
              </w:rPr>
              <w:t>N/A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($ 1,323,528)</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794,439)</w:t>
            </w:r>
          </w:p>
        </w:tc>
        <w:tc>
          <w:tcPr>
            <w:tcW w:w="320" w:type="dxa"/>
            <w:vAlign w:val="bottom"/>
          </w:tcPr>
          <w:p>
            <w:pPr>
              <w:spacing w:after="0"/>
              <w:rPr>
                <w:sz w:val="20"/>
                <w:szCs w:val="20"/>
                <w:color w:val="auto"/>
              </w:rPr>
            </w:pPr>
            <w:r>
              <w:rPr>
                <w:rFonts w:ascii="Arial" w:cs="Arial" w:eastAsia="Arial" w:hAnsi="Arial"/>
                <w:sz w:val="18"/>
                <w:szCs w:val="18"/>
                <w:color w:val="auto"/>
                <w:w w:val="99"/>
              </w:rPr>
              <w:t>N/A</w:t>
            </w:r>
          </w:p>
        </w:tc>
        <w:tc>
          <w:tcPr>
            <w:tcW w:w="1080" w:type="dxa"/>
            <w:vAlign w:val="bottom"/>
            <w:gridSpan w:val="4"/>
          </w:tcPr>
          <w:p>
            <w:pPr>
              <w:ind w:left="200"/>
              <w:spacing w:after="0"/>
              <w:rPr>
                <w:sz w:val="20"/>
                <w:szCs w:val="20"/>
                <w:color w:val="auto"/>
              </w:rPr>
            </w:pPr>
            <w:r>
              <w:rPr>
                <w:rFonts w:ascii="Arial" w:cs="Arial" w:eastAsia="Arial" w:hAnsi="Arial"/>
                <w:sz w:val="18"/>
                <w:szCs w:val="18"/>
                <w:color w:val="auto"/>
                <w:w w:val="93"/>
              </w:rPr>
              <w:t>($ 238,617)</w:t>
            </w: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Fair Value at Vesting of Stock Awards and Option Awards</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in Fiscal Year that Vested During Fiscal Year</w:t>
            </w:r>
          </w:p>
        </w:tc>
        <w:tc>
          <w:tcPr>
            <w:tcW w:w="7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N/A</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299,983</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36,311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99"/>
              </w:rPr>
              <w:t>N/A</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13,519</w:t>
            </w:r>
          </w:p>
        </w:tc>
      </w:tr>
      <w:tr>
        <w:trPr>
          <w:trHeight w:val="391"/>
        </w:trPr>
        <w:tc>
          <w:tcPr>
            <w:tcW w:w="4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PEO 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PEO 2</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PEO 3</w:t>
            </w:r>
          </w:p>
        </w:tc>
      </w:tr>
      <w:tr>
        <w:trPr>
          <w:trHeight w:val="144"/>
        </w:trPr>
        <w:tc>
          <w:tcPr>
            <w:tcW w:w="4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gridSpan w:val="3"/>
          </w:tcPr>
          <w:p>
            <w:pPr>
              <w:jc w:val="center"/>
              <w:spacing w:after="0" w:line="144" w:lineRule="exact"/>
              <w:rPr>
                <w:sz w:val="20"/>
                <w:szCs w:val="20"/>
                <w:color w:val="auto"/>
              </w:rPr>
            </w:pPr>
            <w:r>
              <w:rPr>
                <w:rFonts w:ascii="Arial" w:cs="Arial" w:eastAsia="Arial" w:hAnsi="Arial"/>
                <w:sz w:val="14"/>
                <w:szCs w:val="14"/>
                <w:b w:val="1"/>
                <w:bCs w:val="1"/>
                <w:u w:val="single" w:color="auto"/>
                <w:color w:val="auto"/>
                <w:w w:val="96"/>
              </w:rPr>
              <w:t>2021</w:t>
            </w:r>
          </w:p>
        </w:tc>
        <w:tc>
          <w:tcPr>
            <w:tcW w:w="800" w:type="dxa"/>
            <w:vAlign w:val="bottom"/>
            <w:tcBorders>
              <w:top w:val="single" w:sz="8" w:color="auto"/>
            </w:tcBorders>
            <w:gridSpan w:val="2"/>
          </w:tcPr>
          <w:p>
            <w:pPr>
              <w:jc w:val="right"/>
              <w:ind w:right="100"/>
              <w:spacing w:after="0" w:line="144"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top w:val="single" w:sz="8" w:color="auto"/>
            </w:tcBorders>
          </w:tcPr>
          <w:p>
            <w:pPr>
              <w:jc w:val="right"/>
              <w:ind w:right="21"/>
              <w:spacing w:after="0" w:line="144"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6"/>
              <w:spacing w:after="0" w:line="144"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32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4"/>
                <w:szCs w:val="14"/>
                <w:b w:val="1"/>
                <w:bCs w:val="1"/>
                <w:u w:val="single" w:color="auto"/>
                <w:color w:val="auto"/>
                <w:w w:val="89"/>
              </w:rPr>
              <w:t>2021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9"/>
              <w:spacing w:after="0" w:line="144"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411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ind w:left="300" w:right="5860" w:hanging="184"/>
        <w:spacing w:after="0" w:line="280" w:lineRule="auto"/>
        <w:tabs>
          <w:tab w:leader="none" w:pos="311"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 in Fair Value as of Vesting Date of Stock Awards and Option Awards Granted in Prior Fiscal Years For Which Applicable Vesting</w:t>
      </w:r>
    </w:p>
    <w:tbl>
      <w:tblPr>
        <w:tblLayout w:type="fixed"/>
        <w:tblInd w:w="120" w:type="dxa"/>
        <w:tblCellMar>
          <w:top w:w="0" w:type="dxa"/>
          <w:left w:w="0" w:type="dxa"/>
          <w:bottom w:w="0" w:type="dxa"/>
          <w:right w:w="0" w:type="dxa"/>
        </w:tblCellMar>
      </w:tblPr>
      <w:tr>
        <w:trPr>
          <w:trHeight w:val="203"/>
        </w:trPr>
        <w:tc>
          <w:tcPr>
            <w:tcW w:w="5220" w:type="dxa"/>
            <w:vAlign w:val="bottom"/>
          </w:tcPr>
          <w:p>
            <w:pPr>
              <w:ind w:left="180"/>
              <w:spacing w:after="0" w:line="203" w:lineRule="exact"/>
              <w:rPr>
                <w:sz w:val="20"/>
                <w:szCs w:val="20"/>
                <w:color w:val="auto"/>
              </w:rPr>
            </w:pPr>
            <w:r>
              <w:rPr>
                <w:rFonts w:ascii="Arial" w:cs="Arial" w:eastAsia="Arial" w:hAnsi="Arial"/>
                <w:sz w:val="18"/>
                <w:szCs w:val="18"/>
                <w:color w:val="auto"/>
              </w:rPr>
              <w:t>Conditions Were Satisfied During Fiscal Year</w:t>
            </w:r>
          </w:p>
        </w:tc>
        <w:tc>
          <w:tcPr>
            <w:tcW w:w="5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(f)</w:t>
            </w:r>
          </w:p>
        </w:tc>
        <w:tc>
          <w:tcPr>
            <w:tcW w:w="600" w:type="dxa"/>
            <w:vAlign w:val="bottom"/>
          </w:tcPr>
          <w:p>
            <w:pPr>
              <w:ind w:left="180"/>
              <w:spacing w:after="0" w:line="203" w:lineRule="exact"/>
              <w:rPr>
                <w:sz w:val="20"/>
                <w:szCs w:val="20"/>
                <w:color w:val="auto"/>
              </w:rPr>
            </w:pPr>
            <w:r>
              <w:rPr>
                <w:rFonts w:ascii="Arial" w:cs="Arial" w:eastAsia="Arial" w:hAnsi="Arial"/>
                <w:sz w:val="18"/>
                <w:szCs w:val="18"/>
                <w:color w:val="auto"/>
              </w:rPr>
              <w:t>N/A</w:t>
            </w:r>
          </w:p>
        </w:tc>
        <w:tc>
          <w:tcPr>
            <w:tcW w:w="920" w:type="dxa"/>
            <w:vAlign w:val="bottom"/>
          </w:tcPr>
          <w:p>
            <w:pPr>
              <w:ind w:left="520"/>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ind w:left="140"/>
              <w:spacing w:after="0" w:line="203" w:lineRule="exact"/>
              <w:rPr>
                <w:sz w:val="20"/>
                <w:szCs w:val="20"/>
                <w:color w:val="auto"/>
              </w:rPr>
            </w:pPr>
            <w:r>
              <w:rPr>
                <w:rFonts w:ascii="Arial" w:cs="Arial" w:eastAsia="Arial" w:hAnsi="Arial"/>
                <w:sz w:val="18"/>
                <w:szCs w:val="18"/>
                <w:color w:val="auto"/>
                <w:w w:val="87"/>
              </w:rPr>
              <w:t>($</w:t>
            </w:r>
          </w:p>
        </w:tc>
        <w:tc>
          <w:tcPr>
            <w:tcW w:w="780" w:type="dxa"/>
            <w:vAlign w:val="bottom"/>
          </w:tcPr>
          <w:p>
            <w:pPr>
              <w:ind w:left="20"/>
              <w:spacing w:after="0" w:line="203" w:lineRule="exact"/>
              <w:rPr>
                <w:sz w:val="20"/>
                <w:szCs w:val="20"/>
                <w:color w:val="auto"/>
              </w:rPr>
            </w:pPr>
            <w:r>
              <w:rPr>
                <w:rFonts w:ascii="Arial" w:cs="Arial" w:eastAsia="Arial" w:hAnsi="Arial"/>
                <w:sz w:val="18"/>
                <w:szCs w:val="18"/>
                <w:color w:val="auto"/>
              </w:rPr>
              <w:t>243,087)</w:t>
            </w:r>
          </w:p>
        </w:tc>
        <w:tc>
          <w:tcPr>
            <w:tcW w:w="300" w:type="dxa"/>
            <w:vAlign w:val="bottom"/>
          </w:tcPr>
          <w:p>
            <w:pPr>
              <w:ind w:left="140"/>
              <w:spacing w:after="0" w:line="203" w:lineRule="exact"/>
              <w:rPr>
                <w:sz w:val="20"/>
                <w:szCs w:val="20"/>
                <w:color w:val="auto"/>
              </w:rPr>
            </w:pPr>
            <w:r>
              <w:rPr>
                <w:rFonts w:ascii="Arial" w:cs="Arial" w:eastAsia="Arial" w:hAnsi="Arial"/>
                <w:sz w:val="18"/>
                <w:szCs w:val="18"/>
                <w:color w:val="auto"/>
                <w:w w:val="87"/>
              </w:rPr>
              <w:t>($</w:t>
            </w:r>
          </w:p>
        </w:tc>
        <w:tc>
          <w:tcPr>
            <w:tcW w:w="780" w:type="dxa"/>
            <w:vAlign w:val="bottom"/>
          </w:tcPr>
          <w:p>
            <w:pPr>
              <w:ind w:left="20"/>
              <w:spacing w:after="0" w:line="203" w:lineRule="exact"/>
              <w:rPr>
                <w:sz w:val="20"/>
                <w:szCs w:val="20"/>
                <w:color w:val="auto"/>
              </w:rPr>
            </w:pPr>
            <w:r>
              <w:rPr>
                <w:rFonts w:ascii="Arial" w:cs="Arial" w:eastAsia="Arial" w:hAnsi="Arial"/>
                <w:sz w:val="18"/>
                <w:szCs w:val="18"/>
                <w:color w:val="auto"/>
              </w:rPr>
              <w:t>481,604)</w:t>
            </w:r>
          </w:p>
        </w:tc>
        <w:tc>
          <w:tcPr>
            <w:tcW w:w="560" w:type="dxa"/>
            <w:vAlign w:val="bottom"/>
          </w:tcPr>
          <w:p>
            <w:pPr>
              <w:ind w:left="140"/>
              <w:spacing w:after="0" w:line="203" w:lineRule="exact"/>
              <w:rPr>
                <w:sz w:val="20"/>
                <w:szCs w:val="20"/>
                <w:color w:val="auto"/>
              </w:rPr>
            </w:pPr>
            <w:r>
              <w:rPr>
                <w:rFonts w:ascii="Arial" w:cs="Arial" w:eastAsia="Arial" w:hAnsi="Arial"/>
                <w:sz w:val="18"/>
                <w:szCs w:val="18"/>
                <w:color w:val="auto"/>
              </w:rPr>
              <w:t>N/A</w:t>
            </w:r>
          </w:p>
        </w:tc>
        <w:tc>
          <w:tcPr>
            <w:tcW w:w="980" w:type="dxa"/>
            <w:vAlign w:val="bottom"/>
          </w:tcPr>
          <w:p>
            <w:pPr>
              <w:ind w:left="100"/>
              <w:spacing w:after="0" w:line="203" w:lineRule="exact"/>
              <w:rPr>
                <w:sz w:val="20"/>
                <w:szCs w:val="20"/>
                <w:color w:val="auto"/>
              </w:rPr>
            </w:pPr>
            <w:r>
              <w:rPr>
                <w:rFonts w:ascii="Arial" w:cs="Arial" w:eastAsia="Arial" w:hAnsi="Arial"/>
                <w:sz w:val="18"/>
                <w:szCs w:val="18"/>
                <w:color w:val="auto"/>
                <w:w w:val="93"/>
              </w:rPr>
              <w:t>($ 116,923)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3"/>
              </w:rPr>
              <w:t>- Fiscal Value as of Prior Fiscal Year-End of Stock Awards and Option</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w w:val="93"/>
              </w:rPr>
              <w:t>Awards Granted in Prior Fiscal Years that Failed to Meet Applicable</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Vesting Conditions During Fiscal Year</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(g)</w:t>
            </w:r>
          </w:p>
        </w:tc>
        <w:tc>
          <w:tcPr>
            <w:tcW w:w="600" w:type="dxa"/>
            <w:vAlign w:val="bottom"/>
          </w:tcPr>
          <w:p>
            <w:pPr>
              <w:ind w:left="180"/>
              <w:spacing w:after="0"/>
              <w:rPr>
                <w:sz w:val="20"/>
                <w:szCs w:val="20"/>
                <w:color w:val="auto"/>
              </w:rPr>
            </w:pPr>
            <w:r>
              <w:rPr>
                <w:rFonts w:ascii="Arial" w:cs="Arial" w:eastAsia="Arial" w:hAnsi="Arial"/>
                <w:sz w:val="18"/>
                <w:szCs w:val="18"/>
                <w:color w:val="auto"/>
              </w:rPr>
              <w:t>N/A</w:t>
            </w:r>
          </w:p>
        </w:tc>
        <w:tc>
          <w:tcPr>
            <w:tcW w:w="92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rPr>
              <w:t>N/A</w:t>
            </w:r>
          </w:p>
        </w:tc>
        <w:tc>
          <w:tcPr>
            <w:tcW w:w="9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 Compensation Actually Paid</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$564,676</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361,504</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431,085</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$ 318,380</w:t>
            </w:r>
          </w:p>
        </w:tc>
      </w:tr>
      <w:tr>
        <w:trPr>
          <w:trHeight w:val="365"/>
        </w:trPr>
        <w:tc>
          <w:tcPr>
            <w:tcW w:w="5220" w:type="dxa"/>
            <w:vAlign w:val="bottom"/>
          </w:tcPr>
          <w:p>
            <w:pPr>
              <w:spacing w:after="0"/>
              <w:rPr>
                <w:sz w:val="24"/>
                <w:szCs w:val="24"/>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dollar amounts reported in column (d) represent the average of the amounts of total compensation reported for our NEOs as a group (excluding our PEOs) for each covered fiscal year in the “Total” column of the Summary Compensation Table for each applicable year. The names of each NEO (excluding our PEOs) included for purposes of calculating the average amounts of total compensation in each covered fiscal year are as follows: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For fiscal year 2022, Jonathan Alspaugh (our former Chief Financial Officer) and Leslie Sloan (our former Chief Operating Officer); and</w:t>
      </w:r>
    </w:p>
    <w:p>
      <w:pPr>
        <w:spacing w:after="0" w:line="46" w:lineRule="exact"/>
        <w:rPr>
          <w:rFonts w:ascii="Arial" w:cs="Arial" w:eastAsia="Arial" w:hAnsi="Arial"/>
          <w:sz w:val="16"/>
          <w:szCs w:val="16"/>
          <w:color w:val="auto"/>
        </w:rPr>
      </w:pPr>
    </w:p>
    <w:p>
      <w:pPr>
        <w:ind w:left="1080" w:hanging="532"/>
        <w:spacing w:after="0"/>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For fiscal year 2021, Michael Hanley (our former Chief Business Officer) and Leslie Sloan (our former Chief Operating Officer).</w:t>
      </w:r>
    </w:p>
    <w:p>
      <w:pPr>
        <w:spacing w:after="0" w:line="127" w:lineRule="exact"/>
        <w:rPr>
          <w:rFonts w:ascii="Arial" w:cs="Arial" w:eastAsia="Arial" w:hAnsi="Arial"/>
          <w:sz w:val="17"/>
          <w:szCs w:val="17"/>
          <w:color w:val="auto"/>
        </w:rPr>
      </w:pPr>
    </w:p>
    <w:p>
      <w:pPr>
        <w:ind w:left="540" w:right="120" w:hanging="424"/>
        <w:spacing w:after="0" w:line="25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dollar amounts reported in column (e) represent the average amount of “compensation actually paid” to our NEOs as a group (excluding our PEOs), as computed in accordance with Item 402(v) of Regulation S-K for each covered fiscal year. The dollar amounts do not reflect the actual average amount of compensation earned or received by or paid to our NEOs as a group (excluding our PEOs) during the applicable fiscal year. In accordance with the requirements of Item 402(v) of Regulation S-K, the following adjustments were made to the average total compensation for each covered fiscal year to determine the “compensation actually paid” to our NEOs as a group (excluding our PEOs) for such fiscal year, using the methodology described in Note 2 above: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Non-PEO NEO Average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0" w:type="dxa"/>
            <w:vAlign w:val="bottom"/>
            <w:tcBorders>
              <w:bottom w:val="single" w:sz="8" w:color="CCEEFF"/>
            </w:tcBorders>
          </w:tcPr>
          <w:p>
            <w:pPr>
              <w:spacing w:after="0"/>
              <w:rPr>
                <w:sz w:val="14"/>
                <w:szCs w:val="14"/>
                <w:color w:val="auto"/>
              </w:rPr>
            </w:pPr>
          </w:p>
        </w:tc>
        <w:tc>
          <w:tcPr>
            <w:tcW w:w="79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209"/>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Summary Compensation Table – Total Compensation</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(a)</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$ 1,365,778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$ 1,049,862</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900" w:type="dxa"/>
            <w:vAlign w:val="bottom"/>
          </w:tcPr>
          <w:p>
            <w:pPr>
              <w:ind w:left="20"/>
              <w:spacing w:after="0"/>
              <w:rPr>
                <w:sz w:val="20"/>
                <w:szCs w:val="20"/>
                <w:color w:val="auto"/>
              </w:rPr>
            </w:pPr>
            <w:r>
              <w:rPr>
                <w:rFonts w:ascii="Arial" w:cs="Arial" w:eastAsia="Arial" w:hAnsi="Arial"/>
                <w:sz w:val="18"/>
                <w:szCs w:val="18"/>
                <w:color w:val="auto"/>
              </w:rPr>
              <w:t>Grant Date Fair Value of Option Awards Granted in Fiscal Year</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(b)</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763,599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454,423</w:t>
            </w:r>
          </w:p>
        </w:tc>
      </w:tr>
      <w:tr>
        <w:trPr>
          <w:trHeight w:val="202"/>
        </w:trPr>
        <w:tc>
          <w:tcPr>
            <w:tcW w:w="8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 Fair Value at Fiscal Year-End of Outstanding and Unvested Stock Awards and Option Awards Granted in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20" w:type="dxa"/>
            <w:vAlign w:val="bottom"/>
            <w:shd w:val="clear" w:color="auto" w:fill="CCEEFF"/>
          </w:tcPr>
          <w:p>
            <w:pPr>
              <w:spacing w:after="0"/>
              <w:rPr>
                <w:sz w:val="20"/>
                <w:szCs w:val="20"/>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Fiscal Year</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315,773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61,231</w:t>
            </w:r>
          </w:p>
        </w:tc>
      </w:tr>
      <w:tr>
        <w:trPr>
          <w:trHeight w:val="202"/>
        </w:trPr>
        <w:tc>
          <w:tcPr>
            <w:tcW w:w="8020" w:type="dxa"/>
            <w:vAlign w:val="bottom"/>
            <w:gridSpan w:val="2"/>
          </w:tcPr>
          <w:p>
            <w:pPr>
              <w:spacing w:after="0" w:line="201" w:lineRule="exact"/>
              <w:rPr>
                <w:sz w:val="20"/>
                <w:szCs w:val="20"/>
                <w:color w:val="auto"/>
              </w:rPr>
            </w:pPr>
            <w:r>
              <w:rPr>
                <w:rFonts w:ascii="Arial" w:cs="Arial" w:eastAsia="Arial" w:hAnsi="Arial"/>
                <w:sz w:val="18"/>
                <w:szCs w:val="18"/>
                <w:color w:val="auto"/>
                <w:w w:val="96"/>
              </w:rPr>
              <w:t>+ Change in Fair Value of Outstanding and Unvested Stock Awards and Option Awards Granted in Prior</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Fiscal Years</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287,121)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318,632)</w:t>
            </w:r>
          </w:p>
        </w:tc>
      </w:tr>
      <w:tr>
        <w:trPr>
          <w:trHeight w:val="202"/>
        </w:trPr>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t>
            </w:r>
          </w:p>
        </w:tc>
        <w:tc>
          <w:tcPr>
            <w:tcW w:w="79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Fair Value at Vesting of Stock Awards and Option Awards Granted in Fiscal Year that Vested During Fiscal</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20" w:type="dxa"/>
            <w:vAlign w:val="bottom"/>
            <w:shd w:val="clear" w:color="auto" w:fill="CCEEFF"/>
          </w:tcPr>
          <w:p>
            <w:pPr>
              <w:spacing w:after="0"/>
              <w:rPr>
                <w:sz w:val="20"/>
                <w:szCs w:val="20"/>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134,082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22,857</w:t>
            </w:r>
          </w:p>
        </w:tc>
      </w:tr>
      <w:tr>
        <w:trPr>
          <w:trHeight w:val="202"/>
        </w:trPr>
        <w:tc>
          <w:tcPr>
            <w:tcW w:w="120" w:type="dxa"/>
            <w:vAlign w:val="bottom"/>
          </w:tcPr>
          <w:p>
            <w:pPr>
              <w:spacing w:after="0" w:line="201" w:lineRule="exact"/>
              <w:rPr>
                <w:sz w:val="20"/>
                <w:szCs w:val="20"/>
                <w:color w:val="auto"/>
              </w:rPr>
            </w:pPr>
            <w:r>
              <w:rPr>
                <w:rFonts w:ascii="Arial" w:cs="Arial" w:eastAsia="Arial" w:hAnsi="Arial"/>
                <w:sz w:val="18"/>
                <w:szCs w:val="18"/>
                <w:color w:val="auto"/>
                <w:w w:val="94"/>
              </w:rPr>
              <w:t>+</w:t>
            </w:r>
          </w:p>
        </w:tc>
        <w:tc>
          <w:tcPr>
            <w:tcW w:w="7900" w:type="dxa"/>
            <w:vAlign w:val="bottom"/>
          </w:tcPr>
          <w:p>
            <w:pPr>
              <w:ind w:left="60"/>
              <w:spacing w:after="0" w:line="201" w:lineRule="exact"/>
              <w:rPr>
                <w:sz w:val="20"/>
                <w:szCs w:val="20"/>
                <w:color w:val="auto"/>
              </w:rPr>
            </w:pPr>
            <w:r>
              <w:rPr>
                <w:rFonts w:ascii="Arial" w:cs="Arial" w:eastAsia="Arial" w:hAnsi="Arial"/>
                <w:sz w:val="18"/>
                <w:szCs w:val="18"/>
                <w:color w:val="auto"/>
                <w:w w:val="91"/>
              </w:rPr>
              <w:t>Change in Fair Value as of Vesting Date of Stock Awards and Option Awards Granted in Prior Fiscal Years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for which Applicable Vesting Conditions were Satisfied During Fiscal Year</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52,224)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158,597)</w:t>
            </w:r>
          </w:p>
        </w:tc>
      </w:tr>
      <w:tr>
        <w:trPr>
          <w:trHeight w:val="202"/>
        </w:trPr>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Fair Value as of Prior Fiscal Year-End of Stock Awards and Option Awards Granted in Prior Fiscal Years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120" w:type="dxa"/>
            <w:vAlign w:val="bottom"/>
            <w:shd w:val="clear" w:color="auto" w:fill="CCEEFF"/>
          </w:tcPr>
          <w:p>
            <w:pPr>
              <w:spacing w:after="0"/>
              <w:rPr>
                <w:sz w:val="20"/>
                <w:szCs w:val="20"/>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that Failed to Meet Applicable Vesting Conditions During Fiscal Year</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(g)</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 Compensation Actually Paid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712,689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202,299</w:t>
            </w:r>
          </w:p>
        </w:tc>
      </w:tr>
    </w:tbl>
    <w:p>
      <w:pPr>
        <w:spacing w:after="0" w:line="214" w:lineRule="exact"/>
        <w:rPr>
          <w:sz w:val="20"/>
          <w:szCs w:val="20"/>
          <w:color w:val="auto"/>
        </w:rPr>
      </w:pPr>
    </w:p>
    <w:p>
      <w:pPr>
        <w:ind w:left="540" w:right="40" w:hanging="424"/>
        <w:spacing w:after="0" w:line="285"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Stock option grant date fair values are calculated based on the Black-Scholes option pricing model as of date of grant. The valuation assumptions used to calculate the fair values of the stock options held by our PEOs and other NEOs on average that vested during or were outstanding as of the end of each covered fiscal year materially differed from those valuation assumptions disclosed at the time of grant primarily based on the differing option value assumptions: fiscal year 2021 year-end calculations were based on an expected life range of 3.1 to 6.51, volatility of 77.8% to 81.2%, and risk-free rate of 1.0% to 1.4%; fiscal year 2022 year-end calculations were based on an expected life of 3.1 to 6.91, volatility of 77.8% to</w:t>
      </w:r>
    </w:p>
    <w:p>
      <w:pPr>
        <w:spacing w:after="0" w:line="1" w:lineRule="exact"/>
        <w:rPr>
          <w:rFonts w:ascii="Arial" w:cs="Arial" w:eastAsia="Arial" w:hAnsi="Arial"/>
          <w:sz w:val="16"/>
          <w:szCs w:val="16"/>
          <w:color w:val="auto"/>
        </w:rPr>
      </w:pPr>
    </w:p>
    <w:p>
      <w:pPr>
        <w:ind w:left="540" w:right="40"/>
        <w:spacing w:after="0" w:line="253" w:lineRule="auto"/>
        <w:rPr>
          <w:rFonts w:ascii="Arial" w:cs="Arial" w:eastAsia="Arial" w:hAnsi="Arial"/>
          <w:sz w:val="16"/>
          <w:szCs w:val="16"/>
          <w:color w:val="auto"/>
        </w:rPr>
      </w:pPr>
      <w:r>
        <w:rPr>
          <w:rFonts w:ascii="Arial" w:cs="Arial" w:eastAsia="Arial" w:hAnsi="Arial"/>
          <w:sz w:val="18"/>
          <w:szCs w:val="18"/>
          <w:color w:val="auto"/>
        </w:rPr>
        <w:t>88.6%, and risk-free rate of 3.9% to 4.2%. More tenured executives (Dr. Quinn, Ms. Sloan and Mr. Hanley) had significant decreases in year-over-year stock option valuations while compensation of more recently hired executives (Mr. Goldberg, Mr. Kastenmayer and Mr. Alspaugh) had less dynamic changes. Performance-based options used a different Monte Carlo valuation at fiscal year 2021 and fiscal year 2022 year-ends than the grant date valuation based on updated probability of achievement. Performance-based RSU award grant date fair values are calculated using the stock price as of date of grant assuming target performance. The</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performance-based RSU awards held by Dr. Quinn, Ms. Sloan and Mr. Hanley that were outstanding as of the end of each covered fiscal year were deemed to have a de minimis chance of approval and are included as unachieved.</w:t>
      </w:r>
    </w:p>
    <w:p>
      <w:pPr>
        <w:spacing w:after="0" w:line="1" w:lineRule="exact"/>
        <w:rPr>
          <w:sz w:val="20"/>
          <w:szCs w:val="20"/>
          <w:color w:val="auto"/>
        </w:rPr>
      </w:pPr>
    </w:p>
    <w:p>
      <w:pPr>
        <w:ind w:left="540" w:right="340" w:hanging="424"/>
        <w:spacing w:after="0" w:line="281"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Cumulative total stockholder return (“TSR”) is calculated by dividing the sum of the cumulative amount of dividends during the measurement period, assuming dividend reinvestment, and the difference between our stock price at the end of the applicable measurement period and the beginning of the measurement period (December 31, 2020) by our stock price at the beginning of the measurement period.</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income (loss) reflected in our audited financial statements for each covered fiscal year.</w:t>
      </w: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Analysis of Information Presented in the Pay Versus Performance Table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accordance with Item 402(v) of Regulation S-K, we are providing the following descriptions of the relationships between information presented in the Pay Versus Performance table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Compensation Actually Paid and Company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168910</wp:posOffset>
            </wp:positionV>
            <wp:extent cx="3651885" cy="3111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5188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Compensation Actually Paid and Net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graph displays our compensation actually paid compared to our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168910</wp:posOffset>
            </wp:positionV>
            <wp:extent cx="3642995" cy="3103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4299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All information provided above under the “Pay-Versus-Performance” heading will not be deemed to be incorporated by reference into any of our filings under the Securities Act or the Exchange Act, whether made before or after the date hereof and irrespective of any general incorporation language in any such filing, except to the extent we specifically incorporates such information by reference.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to the extent known by us or ascertainable from public filings, with respect to the beneficial ownership of 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as of November 9, 2023 by:</w:t>
      </w:r>
    </w:p>
    <w:p>
      <w:pPr>
        <w:spacing w:after="0" w:line="116"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owner of greater than 5.0% of our Common Stock.</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column entitled “Shares Beneficially Owned” is based on a total of 4,048,927 shares of our Common Stock outstanding as of November 9, 2023.</w:t>
      </w:r>
    </w:p>
    <w:p>
      <w:pPr>
        <w:spacing w:after="0" w:line="24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November 9, 2023 are considered outstanding and beneficially owned by the person holding the options for the purpose of calculating the percentage ownership of that person but not for the purpose of calculating the percentage ownership of any other person. Due to the conversion limitations on the Series A Preferred Stock, shares of underlying Common Stock have been excluded from beneficial ownership set forth below.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Aeglea BioTherapeutics, Inc., 221 Crescent Street, Building 23, Suite 105, Waltham, MA 02453.</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address of beneficial owner</w:t>
            </w:r>
          </w:p>
        </w:tc>
        <w:tc>
          <w:tcPr>
            <w:tcW w:w="2900" w:type="dxa"/>
            <w:vAlign w:val="bottom"/>
            <w:vMerge w:val="restart"/>
          </w:tcPr>
          <w:p>
            <w:pPr>
              <w:spacing w:after="0"/>
              <w:rPr>
                <w:sz w:val="14"/>
                <w:szCs w:val="14"/>
                <w:color w:val="auto"/>
              </w:rPr>
            </w:pPr>
          </w:p>
        </w:tc>
        <w:tc>
          <w:tcPr>
            <w:tcW w:w="3560" w:type="dxa"/>
            <w:vAlign w:val="bottom"/>
          </w:tcPr>
          <w:p>
            <w:pPr>
              <w:spacing w:after="0"/>
              <w:rPr>
                <w:sz w:val="14"/>
                <w:szCs w:val="14"/>
                <w:color w:val="auto"/>
              </w:rPr>
            </w:pPr>
          </w:p>
        </w:tc>
        <w:tc>
          <w:tcPr>
            <w:tcW w:w="22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2340" w:type="dxa"/>
            <w:vAlign w:val="bottom"/>
            <w:tcBorders>
              <w:bottom w:val="single" w:sz="8" w:color="auto"/>
            </w:tcBorders>
            <w:vMerge w:val="continue"/>
          </w:tcPr>
          <w:p>
            <w:pPr>
              <w:spacing w:after="0"/>
              <w:rPr>
                <w:sz w:val="12"/>
                <w:szCs w:val="12"/>
                <w:color w:val="auto"/>
              </w:rPr>
            </w:pPr>
          </w:p>
        </w:tc>
        <w:tc>
          <w:tcPr>
            <w:tcW w:w="2900" w:type="dxa"/>
            <w:vAlign w:val="bottom"/>
            <w:vMerge w:val="continue"/>
          </w:tcPr>
          <w:p>
            <w:pPr>
              <w:spacing w:after="0"/>
              <w:rPr>
                <w:sz w:val="12"/>
                <w:szCs w:val="12"/>
                <w:color w:val="auto"/>
              </w:rPr>
            </w:pPr>
          </w:p>
        </w:tc>
        <w:tc>
          <w:tcPr>
            <w:tcW w:w="3560" w:type="dxa"/>
            <w:vAlign w:val="bottom"/>
          </w:tcPr>
          <w:p>
            <w:pPr>
              <w:spacing w:after="0"/>
              <w:rPr>
                <w:sz w:val="12"/>
                <w:szCs w:val="12"/>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Number</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Stockholders:</w:t>
            </w:r>
          </w:p>
        </w:tc>
        <w:tc>
          <w:tcPr>
            <w:tcW w:w="35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Peter E. Deutsch(1)</w:t>
            </w:r>
          </w:p>
        </w:tc>
        <w:tc>
          <w:tcPr>
            <w:tcW w:w="4820" w:type="dxa"/>
            <w:vAlign w:val="bottom"/>
            <w:gridSpan w:val="3"/>
          </w:tcPr>
          <w:p>
            <w:pPr>
              <w:jc w:val="right"/>
              <w:ind w:right="580"/>
              <w:spacing w:after="0"/>
              <w:rPr>
                <w:sz w:val="20"/>
                <w:szCs w:val="20"/>
                <w:color w:val="auto"/>
              </w:rPr>
            </w:pPr>
            <w:r>
              <w:rPr>
                <w:rFonts w:ascii="Arial" w:cs="Arial" w:eastAsia="Arial" w:hAnsi="Arial"/>
                <w:sz w:val="18"/>
                <w:szCs w:val="18"/>
                <w:color w:val="auto"/>
              </w:rPr>
              <w:t>383,659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Fairmount Funds Management LLC (2)</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378,421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w w:val="95"/>
              </w:rPr>
              <w:t>Entities affiliated with Venrock Healthcare Capital Partners III, LP (3)</w:t>
            </w:r>
          </w:p>
        </w:tc>
        <w:tc>
          <w:tcPr>
            <w:tcW w:w="4820" w:type="dxa"/>
            <w:vAlign w:val="bottom"/>
            <w:gridSpan w:val="3"/>
          </w:tcPr>
          <w:p>
            <w:pPr>
              <w:jc w:val="right"/>
              <w:ind w:right="580"/>
              <w:spacing w:after="0"/>
              <w:rPr>
                <w:sz w:val="20"/>
                <w:szCs w:val="20"/>
                <w:color w:val="auto"/>
              </w:rPr>
            </w:pPr>
            <w:r>
              <w:rPr>
                <w:rFonts w:ascii="Arial" w:cs="Arial" w:eastAsia="Arial" w:hAnsi="Arial"/>
                <w:sz w:val="18"/>
                <w:szCs w:val="18"/>
                <w:color w:val="auto"/>
              </w:rPr>
              <w:t>295,034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Baker Bros. Advisors LP (4)</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255,360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Entities affiliated with Suvretta Capital Management, LLC (5)</w:t>
            </w:r>
          </w:p>
        </w:tc>
        <w:tc>
          <w:tcPr>
            <w:tcW w:w="4820" w:type="dxa"/>
            <w:vAlign w:val="bottom"/>
            <w:gridSpan w:val="3"/>
          </w:tcPr>
          <w:p>
            <w:pPr>
              <w:jc w:val="right"/>
              <w:ind w:right="580"/>
              <w:spacing w:after="0"/>
              <w:rPr>
                <w:sz w:val="20"/>
                <w:szCs w:val="20"/>
                <w:color w:val="auto"/>
              </w:rPr>
            </w:pPr>
            <w:r>
              <w:rPr>
                <w:rFonts w:ascii="Arial" w:cs="Arial" w:eastAsia="Arial" w:hAnsi="Arial"/>
                <w:sz w:val="18"/>
                <w:szCs w:val="18"/>
                <w:color w:val="auto"/>
              </w:rPr>
              <w:t>255,054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Logos Global Management LP (6)</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254,000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Entities affiliated with Affinity Healthcare Fund, LP (7)</w:t>
            </w:r>
          </w:p>
        </w:tc>
        <w:tc>
          <w:tcPr>
            <w:tcW w:w="4820" w:type="dxa"/>
            <w:vAlign w:val="bottom"/>
            <w:gridSpan w:val="3"/>
          </w:tcPr>
          <w:p>
            <w:pPr>
              <w:jc w:val="right"/>
              <w:ind w:right="580"/>
              <w:spacing w:after="0"/>
              <w:rPr>
                <w:sz w:val="20"/>
                <w:szCs w:val="20"/>
                <w:color w:val="auto"/>
              </w:rPr>
            </w:pPr>
            <w:r>
              <w:rPr>
                <w:rFonts w:ascii="Arial" w:cs="Arial" w:eastAsia="Arial" w:hAnsi="Arial"/>
                <w:sz w:val="18"/>
                <w:szCs w:val="18"/>
                <w:color w:val="auto"/>
              </w:rPr>
              <w:t>237,754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BCLS II Equity Opportunities, LP (8)</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213,907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Alspaugh (9)</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26,601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Jeffrey M. Goldberg</w:t>
            </w:r>
          </w:p>
        </w:tc>
        <w:tc>
          <w:tcPr>
            <w:tcW w:w="35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Kastenmayer (10)</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14,299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Anthony G. Quinn, M.B Ch.B, Ph.D. (11)</w:t>
            </w:r>
          </w:p>
        </w:tc>
        <w:tc>
          <w:tcPr>
            <w:tcW w:w="4820" w:type="dxa"/>
            <w:vAlign w:val="bottom"/>
            <w:gridSpan w:val="3"/>
          </w:tcPr>
          <w:p>
            <w:pPr>
              <w:jc w:val="right"/>
              <w:ind w:right="580"/>
              <w:spacing w:after="0"/>
              <w:rPr>
                <w:sz w:val="20"/>
                <w:szCs w:val="20"/>
                <w:color w:val="auto"/>
              </w:rPr>
            </w:pPr>
            <w:r>
              <w:rPr>
                <w:rFonts w:ascii="Arial" w:cs="Arial" w:eastAsia="Arial" w:hAnsi="Arial"/>
                <w:sz w:val="18"/>
                <w:szCs w:val="18"/>
                <w:color w:val="auto"/>
              </w:rPr>
              <w:t>66,038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Leslie Sloan, Ph.D.</w:t>
            </w:r>
          </w:p>
        </w:tc>
        <w:tc>
          <w:tcPr>
            <w:tcW w:w="3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Russell J. Cox (12)</w:t>
            </w:r>
          </w:p>
        </w:tc>
        <w:tc>
          <w:tcPr>
            <w:tcW w:w="4820" w:type="dxa"/>
            <w:vAlign w:val="bottom"/>
            <w:gridSpan w:val="3"/>
          </w:tcPr>
          <w:p>
            <w:pPr>
              <w:jc w:val="right"/>
              <w:ind w:right="580"/>
              <w:spacing w:after="0"/>
              <w:rPr>
                <w:sz w:val="20"/>
                <w:szCs w:val="20"/>
                <w:color w:val="auto"/>
              </w:rPr>
            </w:pPr>
            <w:r>
              <w:rPr>
                <w:rFonts w:ascii="Arial" w:cs="Arial" w:eastAsia="Arial" w:hAnsi="Arial"/>
                <w:sz w:val="18"/>
                <w:szCs w:val="18"/>
                <w:color w:val="auto"/>
              </w:rPr>
              <w:t>8,508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Hunter C. Smith (13)</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3,386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Ivana Magovčević-Liebisch, Ph.D. (14)</w:t>
            </w:r>
          </w:p>
        </w:tc>
        <w:tc>
          <w:tcPr>
            <w:tcW w:w="4820" w:type="dxa"/>
            <w:vAlign w:val="bottom"/>
            <w:gridSpan w:val="3"/>
          </w:tcPr>
          <w:p>
            <w:pPr>
              <w:jc w:val="right"/>
              <w:ind w:right="580"/>
              <w:spacing w:after="0"/>
              <w:rPr>
                <w:sz w:val="20"/>
                <w:szCs w:val="20"/>
                <w:color w:val="auto"/>
              </w:rPr>
            </w:pPr>
            <w:r>
              <w:rPr>
                <w:rFonts w:ascii="Arial" w:cs="Arial" w:eastAsia="Arial" w:hAnsi="Arial"/>
                <w:sz w:val="18"/>
                <w:szCs w:val="18"/>
                <w:color w:val="auto"/>
              </w:rPr>
              <w:t>6,412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Alison Lawton (15)</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5,208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Peter Harwin (16)</w:t>
            </w:r>
          </w:p>
        </w:tc>
        <w:tc>
          <w:tcPr>
            <w:tcW w:w="35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Tomas Kiselak (17)</w:t>
            </w:r>
          </w:p>
        </w:tc>
        <w:tc>
          <w:tcPr>
            <w:tcW w:w="3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Michael Henderson, M.D. (18)</w:t>
            </w:r>
          </w:p>
        </w:tc>
        <w:tc>
          <w:tcPr>
            <w:tcW w:w="35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All current executive officers and directors as a group(10 persons) (19)</w:t>
            </w:r>
          </w:p>
        </w:tc>
        <w:tc>
          <w:tcPr>
            <w:tcW w:w="4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283,066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65"/>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560" w:type="dxa"/>
            <w:vAlign w:val="bottom"/>
          </w:tcPr>
          <w:p>
            <w:pPr>
              <w:jc w:val="right"/>
              <w:ind w:right="3070"/>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5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a Schedule 13G filed by Peter E. Deutsch on November 14, 2023 with the SEC. The address of Mr. Deutsch is 25 East Point Lane, Old Greenwich, CT 06870.</w:t>
      </w:r>
    </w:p>
    <w:p>
      <w:pPr>
        <w:ind w:left="540" w:right="60" w:hanging="424"/>
        <w:spacing w:after="0" w:line="265"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our records and on a Schedule 13D filed by Fairmount Funds Management LLC (“Fairmount”) on June 30, 2023 with the SEC. Represents shares of Common Stock held by Fairmount Healthcare Fund LP (“Fairmount I”) and Fairmount Healthcare Fund II LP (together with Fairmount I, the “Fairmount Funds”), which may be deemed to be indirectly beneficially owned by Fairmount. Fairmount serves as investment manager for each of the Fairmount Funds and may be deemed a beneficial owner of any of our securities of held by each of the Fairmount Funds. The general partner of Fairmount is Fairmount Funds Management GP LLC (“Fairmount GP”). As managing members of Fairmount GP, Peter Harwin and Tomas Kiselak may be deemed beneficial owners of any of our securities beneficially owned by Fairmount. The address of Fairmount is 200 Barr Harbor Drive, Suite 400, West Conshohocken, PA 19428.</w:t>
      </w:r>
    </w:p>
    <w:p>
      <w:pPr>
        <w:spacing w:after="0" w:line="1" w:lineRule="exact"/>
        <w:rPr>
          <w:rFonts w:ascii="Arial" w:cs="Arial" w:eastAsia="Arial" w:hAnsi="Arial"/>
          <w:sz w:val="17"/>
          <w:szCs w:val="17"/>
          <w:color w:val="auto"/>
        </w:rPr>
      </w:pPr>
    </w:p>
    <w:p>
      <w:pPr>
        <w:ind w:left="540" w:right="10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our records and on information provided by Venrock Healthcare Capital Partners III, LP (“VHCP III”) as of September 22, 2023. Represents shares of Common Stock held by VHCP III, VHCP III Co-Investment Holdings III, LLC (“VHCP III Co”) and Venrock Healthcare Capital Partners EG, L.P. (“VHCP EG”). VHCP Management III, LLC (“VHCPM”) is the sole general partner of VHCP III and the sole manager of VHCP III Co. VHCP Management EG, LLC (“VHCPM EG”) is the sole general partner of VHCP EG. Dr. Bong Koh and Nimish Shah are the voting members of VHCPM and VHCPM EG. The address of each of these persons and entities is 7 Bryant Park, 23rd Floor, New York, NY 10018.</w:t>
      </w:r>
    </w:p>
    <w:p>
      <w:pPr>
        <w:spacing w:after="0" w:line="2"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our records and on a Schedule 13G filed by Baker Bros. Advisors LP (the “Baker”) on February 14, 2023 with the SEC. Represents shares of Common Stock held by 667, L.P. (“667”) and Baker Brothers Life Sciences, L.P. (together with 667, the “Baker Funds”), which may be deemed to be indirectly beneficially owned by Baker. Baker Bros. Advisors (GP) LLC (“Baker GP”), Felix J. Baker and Julian C. Baker as managing members of Baker GP, may be deemed to indirectly beneficially own the shares held by Baker and may be deemed to have the sole power to vote or direct the vote of and the power to dispose or direct the disposition of such securities. The address of Baker is 860 Washington Street, 3rd Floor, New York, NY 10014.</w:t>
      </w:r>
    </w:p>
    <w:p>
      <w:pPr>
        <w:spacing w:after="0" w:line="2"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a Schedule 13G/A filed by Suvretta Capital Management, LLC (“Suvretta”) on February 13, 2023 with the SEC. Represents shares of Common Stock directly held by Averill Master Fund, Ltd., which may be deemed to be indirectly beneficially owned by Suvretta and Aaron Cowen, as well as shares of Common Stock issuable upon the exercise of pre-funded warrants. Aaron Cowen has beneficial ownership of such shares by virtue of his role as a control person of Suvretta. The mailing address of (i) Suvretta and Aaron Cowen is 540 Madison Avenue, 7th Floor, New York, NY 10022 and (ii) Averill Master Fund, Ltd. is c/o Maples Corporate Services Limited, P.O. Box 309, Ugland House, Grand Cayman KY1-1104, Cayman Islands.</w:t>
      </w:r>
    </w:p>
    <w:p>
      <w:pPr>
        <w:spacing w:after="0" w:line="2"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solely on a Schedule 13G filed by Logos Global Management LP (“Logos Global”) on July 18, 2023 with the SEC. Represents shares of Common Stock beneficially owned by Logos Global Master Fund LP (“Global Fund”). Logos Global is the investment advisor to Global Fund. Logos Global Management GP LLC (“Logos Global GP”) is the general partner of Logos Global. Mr. William is a control person of Logos Global and Logos Global GP. Mr. William disclaims beneficial ownership of these shares, except to the extent of his pecuniary interest in such shares, if any. The principal address of Global Fund is 1 Letterman Drive, Building C, Suite C3-350, San Francisco, CA 94129.</w:t>
      </w:r>
    </w:p>
    <w:p>
      <w:pPr>
        <w:spacing w:after="0" w:line="2" w:lineRule="exact"/>
        <w:rPr>
          <w:rFonts w:ascii="Arial" w:cs="Arial" w:eastAsia="Arial" w:hAnsi="Arial"/>
          <w:sz w:val="16"/>
          <w:szCs w:val="16"/>
          <w:color w:val="auto"/>
        </w:rPr>
      </w:pPr>
    </w:p>
    <w:p>
      <w:pPr>
        <w:ind w:left="540" w:right="100" w:hanging="424"/>
        <w:spacing w:after="0" w:line="25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our records and on information provided by Affinity Healthcare Fund, LP (“Affinity Fund”) as of September 22, 2023. Affinity Asset Advisors, LLC (the “Affinity Advisor”) is the investment manager of Affinity Fund and exercises investment discretion with regard to the shares of Common Stock owned by Affinity Fund. Affinity Fund and Affinity Advisor have the shared power to vote or to direct the vote and to dispose or direct the disposition of such shares of Common Stock owned by Affinity Fund. Affinity Advisor may be deemed to be the beneficial owner of such shares of Common Stock owned by Affinity Fund by virtue of its position as investment manager of Affinity Fund. The address of each of these entities is 767 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Avenue, Floor 15, New York, NY 10017.</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68"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solely on a Schedule 13G/A filed by BCLS II Equity Opportunities, LP (“BCLS”) on February 14, 2023 with the SEC. Represents shares of Common Stock beneficially owned by BCLS. Bain Capital Life Sciences Investors, LLC, a Delaware limited liability company (“BCLSI”), is the manager of Bain Capital Life Sciences Investors II, LLC, a Cayman limited liability company, which is the general partner of Bain Capital Life Sciences Fund II, L.P., a Cayman exempted limited partnership, which is the manager of BCLS II Equity Opportunities GP, LLC, a Delaware limited liability company, which is the general partner of BCLS. BCLSI may be deemed to share voting and dispositive power with respect to such shares. The address of BCLS is 200 Clarendon Street, Boston, MA 02116.</w:t>
      </w:r>
    </w:p>
    <w:p>
      <w:pPr>
        <w:ind w:left="540" w:right="10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 7,254 shares of Common Stock held by Mr. Alspaugh and (ii) options exercisable for 19,347 shares of Common Stock within 60 days of November 9, 2023. Does not include stock options issued contingent upon stockholder approval of the A&amp;R 2016 Plan exercisable for an aggregate of 791,518 shares of Common Stock.</w:t>
      </w:r>
    </w:p>
    <w:p>
      <w:pPr>
        <w:spacing w:after="0" w:line="1" w:lineRule="exact"/>
        <w:rPr>
          <w:rFonts w:ascii="Arial" w:cs="Arial" w:eastAsia="Arial" w:hAnsi="Arial"/>
          <w:sz w:val="18"/>
          <w:szCs w:val="18"/>
          <w:color w:val="auto"/>
        </w:rPr>
      </w:pPr>
    </w:p>
    <w:p>
      <w:pPr>
        <w:ind w:left="540" w:right="86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 80 shares owned by Mr. Kastenmayer and (ii) options exercisable for 14,219 shares of Common Stock within 60 days of November 9, 2023.</w:t>
      </w:r>
    </w:p>
    <w:p>
      <w:pPr>
        <w:ind w:left="540" w:right="10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 489 shares of Common Stock held by Dr. Quinn and (ii) options exercisable for 65,549 shares of Common Stock within 60 days of November 9, 2023.</w:t>
      </w:r>
    </w:p>
    <w:p>
      <w:pPr>
        <w:ind w:left="540" w:right="30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 280 shares of Common Stock held by Mr. Cox and (ii) options exercisable for 8,228 shares of Common Stock within 60 days of November 9, 2023. Does not include stock options issued contingent upon stockholder approval of the A&amp;R 2016 Plan exercisable for an aggregate of 78,000 shares of Common Stock.</w:t>
      </w:r>
    </w:p>
    <w:p>
      <w:pPr>
        <w:spacing w:after="0" w:line="1" w:lineRule="exact"/>
        <w:rPr>
          <w:rFonts w:ascii="Arial" w:cs="Arial" w:eastAsia="Arial" w:hAnsi="Arial"/>
          <w:sz w:val="18"/>
          <w:szCs w:val="18"/>
          <w:color w:val="auto"/>
        </w:rPr>
      </w:pPr>
    </w:p>
    <w:p>
      <w:pPr>
        <w:ind w:left="540" w:right="300" w:hanging="424"/>
        <w:spacing w:after="0" w:line="265"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options exercisable for 3,386 shares of Common Stock within 60 days of November 9, 2023. Does not include stock options issued contingent upon stockholder approval of the A&amp;R 2016 Plan exercisable for an aggregate of 78,000 shares of Common Stock.</w:t>
      </w:r>
    </w:p>
    <w:p>
      <w:pPr>
        <w:ind w:left="540" w:right="300" w:hanging="424"/>
        <w:spacing w:after="0" w:line="265"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options exercisable for 6,412 shares of Common Stock within 60 days of November 9, 2023. Does not include stock options issued contingent upon stockholder approval of the A&amp;R 2016 Plan exercisable for an aggregate of 78,000 shares of Common Stock.</w:t>
      </w:r>
    </w:p>
    <w:p>
      <w:pPr>
        <w:ind w:left="540" w:right="300" w:hanging="424"/>
        <w:spacing w:after="0" w:line="265"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options exercisable for 5,208 shares of Common Stock within 60 days of November 9, 2023. Does not include stock options issued contingent upon stockholder approval of the A&amp;R 2016 Plan exercisable for an aggregate of 78,000 shares of Common Stock.</w:t>
      </w:r>
    </w:p>
    <w:p>
      <w:pPr>
        <w:ind w:left="540" w:right="1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Does not include stock options issued contingent upon stockholder approval of the A&amp;R 2016 Plan exercisable for an aggregate of 78,000 shares of Common Stock.</w:t>
      </w:r>
    </w:p>
    <w:p>
      <w:pPr>
        <w:ind w:left="540" w:right="1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Does not include stock options issued contingent upon stockholder approval of the A&amp;R 2016 Plan exercisable for an aggregate of 78,000 shares of Common Stock.</w:t>
      </w:r>
    </w:p>
    <w:p>
      <w:pPr>
        <w:ind w:left="540" w:right="1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Does not include stock options issued contingent upon stockholder approval of the A&amp;R 2016 Plan exercisable for an aggregate of 78,000 shares of Common Stock.</w:t>
      </w:r>
    </w:p>
    <w:p>
      <w:pPr>
        <w:jc w:val="both"/>
        <w:ind w:left="540" w:right="80" w:hanging="424"/>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 23,347 shares of Common Stock and (ii) options exercisable for 259,719 shares of Common Stock within 60 days of November 9, 2023. Does not include stock options issued contingent upon stockholder approval of the A&amp;R 2016 Plan exercisable for an aggregate of 546,000 shares of Common Stock.</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discussed in the “Related Party Transactions” section of our 2023 Annual Proxy, below we describe the transactions to which we were a party since January 1, 2021, in which the amount involved exceeded the lesser of $120,000 and 1% of the average of our total assets at year-end for the prior two completed fiscal years and in which our directors, executive officers, former directors, former executive officers, director nominees and holders of more than 5% of our Common Stock, or other persons as may be required to be disclosed pursuant to Item 404 of Regulation S-K, had a direct or indirect material interest:</w:t>
      </w:r>
    </w:p>
    <w:p>
      <w:pPr>
        <w:spacing w:after="0" w:line="93" w:lineRule="exact"/>
        <w:rPr>
          <w:sz w:val="20"/>
          <w:szCs w:val="20"/>
          <w:color w:val="auto"/>
        </w:rPr>
      </w:pPr>
    </w:p>
    <w:p>
      <w:pPr>
        <w:ind w:left="1080" w:right="80" w:hanging="424"/>
        <w:spacing w:after="0" w:line="25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May 5, 2022, we entered into a placement agent agreement with JonesTrading Institutional Services LLC, as placement agent, relating to a registered direct offering of an aggregate of 430,107 shares of our Common Stock at a public purchase price of $40.00 per share and pre-funded warrants to purchase up to 694,892 shares of our Common Stock at a public purchase price of $39.99 per pre-funded warrant with an exercise price of $0.0025 per share. This registered direct offering closed on May 9, 2022. Pursuant to this offering, on the closing date:</w:t>
      </w:r>
    </w:p>
    <w:p>
      <w:pPr>
        <w:spacing w:after="0" w:line="93" w:lineRule="exact"/>
        <w:rPr>
          <w:rFonts w:ascii="Arial" w:cs="Arial" w:eastAsia="Arial" w:hAnsi="Arial"/>
          <w:sz w:val="18"/>
          <w:szCs w:val="18"/>
          <w:color w:val="auto"/>
        </w:rPr>
      </w:pPr>
    </w:p>
    <w:p>
      <w:pPr>
        <w:ind w:left="1540" w:hanging="439"/>
        <w:spacing w:after="0" w:line="308" w:lineRule="auto"/>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Baker Brothers Life Sciences, L.P. and 667, L.P. (together, the “Baker Funds”) purchased 251,351 and 29,898 pre-funded warrants to purchase Common Stock, respectively, for an aggregate purchase price of approximately $11.2 million;</w:t>
      </w:r>
    </w:p>
    <w:p>
      <w:pPr>
        <w:spacing w:after="0" w:line="51" w:lineRule="exact"/>
        <w:rPr>
          <w:rFonts w:ascii="Arial" w:cs="Arial" w:eastAsia="Arial" w:hAnsi="Arial"/>
          <w:sz w:val="17"/>
          <w:szCs w:val="17"/>
          <w:color w:val="auto"/>
        </w:rPr>
      </w:pPr>
    </w:p>
    <w:p>
      <w:pPr>
        <w:ind w:left="1540" w:right="80" w:hanging="439"/>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Averill Master Fund, Ltd., an entity affiliated with Suvretta, purchased 250,000 pre-funded warrants to purchase Common Stock for an aggregate purchase price of approximately $10.0 million; and</w:t>
      </w:r>
    </w:p>
    <w:p>
      <w:pPr>
        <w:spacing w:after="0" w:line="75" w:lineRule="exact"/>
        <w:rPr>
          <w:rFonts w:ascii="Arial" w:cs="Arial" w:eastAsia="Arial" w:hAnsi="Arial"/>
          <w:sz w:val="18"/>
          <w:szCs w:val="18"/>
          <w:color w:val="auto"/>
        </w:rPr>
      </w:pPr>
    </w:p>
    <w:p>
      <w:pPr>
        <w:ind w:left="1540" w:right="360" w:hanging="439"/>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Entities affiliated with Nantahala purchased 132,071 pre-funded warrants to purchase Common Stock for an aggregate purchase price of approximately $5.3 million.</w:t>
      </w:r>
    </w:p>
    <w:p>
      <w:pPr>
        <w:spacing w:after="0" w:line="75" w:lineRule="exact"/>
        <w:rPr>
          <w:rFonts w:ascii="Arial" w:cs="Arial" w:eastAsia="Arial" w:hAnsi="Arial"/>
          <w:sz w:val="18"/>
          <w:szCs w:val="18"/>
          <w:color w:val="auto"/>
        </w:rPr>
      </w:pPr>
    </w:p>
    <w:p>
      <w:pPr>
        <w:ind w:left="1080" w:right="40" w:hanging="424"/>
        <w:spacing w:after="0" w:line="26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On March 16, 2021, we entered into a registration rights agreement (the “Baker RRA”) with the Baker Funds, pursuant to which the Baker Funds are entitled to certain resale registration rights with respect to shares of our Common Stock held by the Baker Funds (the “Baker Registrable Securities”). Under the Baker RRA, following a request by the Baker Funds, we are obligated to file a resale registration statement on Form S-3, or other appropriate form, covering Baker Registrable Securities. Under the Baker RRA, the Baker Funds also have the right to up to two underwritten public offerings or block trades per calendar year, but no more than three underwritten public offerings and eight block trades in total, to effect the sale or distribution of their Baker Registrable Securities, subject to specified exceptions, conditions and limitations. The Baker RRA also includes customary indemnification obligations in connection with registrations conducted pursuant to the Baker RRA. The rights of the Baker Funds under the Baker RRA terminate automatically upon the earlier to occur of the following events: (i) all Baker Registrable Securities covered by the Baker RRA have been sold pursuant to an effective registration statement; (ii) all Baker Registrable Securities covered by the Baker RRA have been sold pursuant to Rule 144, or other similar rule; (iii) at any time after the Baker Funds are no longer our affiliate, all Baker Registrable Securities covered by the Baker RRA may be resold by the Baker Funds without limitations as to volume or manner of sale pursuant to Rule 144; or (iv) ten (10) years after the date of the Baker RRA.</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other than the executive officer and director compensation arrangements discussed above under “Executive Compensation,” below we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describe the transactions to which we were a party since the date of our 2023 Annual Proxy, in which the amount involved exceeded the lesser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$120,000 and 1% of the average of our total assets at year-end for the prior two completed fiscal years and in which our directors, executive officers,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former directors, former executive officers, director nominees and holders of more than 5% of our Common Stock, or other persons as may be required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be disclosed pursuant to Item 404 of Regulation S-K, had a direct or indirect material interest.</w:t>
      </w:r>
    </w:p>
    <w:p>
      <w:pPr>
        <w:spacing w:after="0" w:line="116" w:lineRule="exact"/>
        <w:rPr>
          <w:sz w:val="20"/>
          <w:szCs w:val="20"/>
          <w:color w:val="auto"/>
        </w:rPr>
      </w:pPr>
    </w:p>
    <w:p>
      <w:pPr>
        <w:ind w:left="1080" w:right="60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connection with the Asset Acquisition, we assumed the rights and obligations of Spyre under the Paragon Agreement. Under the Paragon Agreement, we are obligated to compensate Paragon on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1" w:lineRule="auto"/>
        <w:rPr>
          <w:sz w:val="20"/>
          <w:szCs w:val="20"/>
          <w:color w:val="auto"/>
        </w:rPr>
      </w:pPr>
      <w:r>
        <w:rPr>
          <w:rFonts w:ascii="Arial" w:cs="Arial" w:eastAsia="Arial" w:hAnsi="Arial"/>
          <w:sz w:val="17"/>
          <w:szCs w:val="17"/>
          <w:color w:val="auto"/>
        </w:rPr>
        <w:t>quarterly basis for its services performed under each research program based on the actual costs incurred with mark-up costs pursuant to the terms of the Paragon Agreement. As of the date of the Asset Acquisition, Spyre had incurred total expenses of $19.0 million under the Paragon Agreement since inception, inclusive of a $3.0 million research initiation fee that was due upon signing of the Paragon Agreement and $16.0 million of reimbursable expenses under the Paragon Agreement for historical costs incurred by Paragon. As of the acquisition date, $19.0 million was unpaid and was assumed by us through the Asset Acquisition. Furthermore, following our amendment and restatement of the Paragon Agreement on September 29, 2023, we are obligated to provide certain equity grants to Parapyre pursuant to the Parapyre Option Obligation. For additional detail regarding our arrangements with Paragon and Parapyre, see the sections titled “</w:t>
      </w:r>
      <w:r>
        <w:rPr>
          <w:rFonts w:ascii="Arial" w:cs="Arial" w:eastAsia="Arial" w:hAnsi="Arial"/>
          <w:sz w:val="17"/>
          <w:szCs w:val="17"/>
          <w:i w:val="1"/>
          <w:iCs w:val="1"/>
          <w:color w:val="auto"/>
        </w:rPr>
        <w:t>Paragon Agreement</w:t>
      </w:r>
      <w:r>
        <w:rPr>
          <w:rFonts w:ascii="Arial" w:cs="Arial" w:eastAsia="Arial" w:hAnsi="Arial"/>
          <w:sz w:val="17"/>
          <w:szCs w:val="17"/>
          <w:color w:val="auto"/>
        </w:rPr>
        <w:t>” and “</w:t>
      </w:r>
      <w:r>
        <w:rPr>
          <w:rFonts w:ascii="Arial" w:cs="Arial" w:eastAsia="Arial" w:hAnsi="Arial"/>
          <w:sz w:val="17"/>
          <w:szCs w:val="17"/>
          <w:i w:val="1"/>
          <w:iCs w:val="1"/>
          <w:color w:val="auto"/>
        </w:rPr>
        <w:t>Our Relationship with Paragon and Parapyre</w:t>
      </w:r>
      <w:r>
        <w:rPr>
          <w:rFonts w:ascii="Arial" w:cs="Arial" w:eastAsia="Arial" w:hAnsi="Arial"/>
          <w:sz w:val="17"/>
          <w:szCs w:val="17"/>
          <w:color w:val="auto"/>
        </w:rPr>
        <w:t>.”</w:t>
      </w:r>
    </w:p>
    <w:p>
      <w:pPr>
        <w:spacing w:after="0" w:line="84" w:lineRule="exact"/>
        <w:rPr>
          <w:sz w:val="20"/>
          <w:szCs w:val="20"/>
          <w:color w:val="auto"/>
        </w:rPr>
      </w:pPr>
    </w:p>
    <w:p>
      <w:pPr>
        <w:ind w:left="1080" w:right="100" w:hanging="424"/>
        <w:spacing w:after="0" w:line="25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July 2023, we exercised our option available under the Paragon Agreement with respect to the SPY001 research program and expect to enter into the SPY001 License Agreement. Our option available under the Paragon Agreement with respect to the SPY002, SPY003 and SPY004 programs remains unexercised. Following the execution of the SPY001 License Agreement, we expect to be obligated to pay Paragon up to $22.0 million upon the achievement of specific development and clinical milestones for the first product under the SPY001 License Agreement that achieves such specified milestones.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board of directors has adopted a written related person transactions policy. Under this policy,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or 1% of the average of our total assets at year-end for the prior two completed fiscal years, will be presented to our audit committee for review, consideration and approval.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This prospectus covers the resale or other disposition from time to time by the Selling Stockholders identified in the table below of up to an aggregate of 18,809,064 shares of our Common Stock. The Selling Stockholders may from time to time offer and sell any or all of the Resale Shares set forth below pursuant to this prospectus and any accompanying prospectus supplement.</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June 22, 2023, we entered into the Securities Purchase Agreement, pursuant to which we sold an aggregate of 721,452 shares of our Series A Preferred Stock, which will automatically convert into 40 shares of Common Stock, subject to stockholder approval and certain beneficial ownership limitations set by each holder, pursuant to the Certificate of Designation, at an aggregate purchase price of approximately $210 million. Also on June 22, 2023, we completed our acquisition of Spyre in accordance with the Acquisition Agreement, pursuant to which we issued an aggregate of 517,809 shares of Common Stock and 364,887 shares of Series A Preferred Stock to certain of the Selling Stockholders. This prospectus covers the resale or other disposition by the Selling Stockholders or their pledgees, donees, transferees or other successors-in-interest that receive their shares after the date of this prospectus of up to the total number of shares issued to the Selling Stockholders pursuant to the Acquisition Agreement or issuable upon the conversion of the Series A Preferred Stock sold pursuant to the Securities Purchase Agreement or Acquisition Agreement. This prospectus covers the resale or other disposition by the Selling Stockholders or their transferees of up to the total number of Merger Common Shares, Merger Conversion Shares and Private Placement Conversion Shares issued to the Selling Stockholders pursuant to the Acquisition Agreement or the Securities Purchase Agreement. Throughout this prospectus, when we refer to the “Selling Stockholders,” we are referring to the purchasers under the Securities Purchase Agreement, certain of the securityholders under the Acquisition Agreement and certain of our employees listed in the table below.</w:t>
      </w:r>
    </w:p>
    <w:p>
      <w:pPr>
        <w:spacing w:after="0" w:line="168"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1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Except as otherwise disclosed herein, the Selling Stockholders do not have, and within the past three years have not had, any position, office or other material relationship with us.</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following table sets forth the names of the Selling Stockholders, the number of shares of our Common Stock owned by the Selling Stockholders, the number of shares of our Common Stock that may be offered under this prospectus and the number of shares of our Common Stock that will be owned after this offering by the Selling Stockholders assuming all of the shares registered for resale hereby are sold.</w:t>
      </w:r>
    </w:p>
    <w:p>
      <w:pPr>
        <w:spacing w:after="0" w:line="16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A Preferred Stock may only be offered after such shares of Series A Preferred Stock are converted to Common Stock pursuant to the terms of the Certificate of Designation.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information set forth below, which has been adjusted to reflect the effects of the Reverse Split as applicable, is based upon information obtained from the Selling Stockholders and upon information in our possession regarding the issuance of the Series A Preferred Stock and Merger Common Shares in connection with the PIPE and the Asset Acquisition. The percentages of Common Stock owned after the offering by each Selling Stockholder below are based on 4,048,927 shares of Common Stock outstanding as of November 9, 2023, and, for each Selling Stockholder, assumes the conversion of only the Series A Preferred Stock owned by such Selling Stockholder but not the Series A Preferred Stock owned by any other Selling Stockholder.</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Common Stock</w:t>
            </w: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Common</w:t>
            </w:r>
          </w:p>
        </w:tc>
        <w:tc>
          <w:tcPr>
            <w:tcW w:w="17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Stock that May</w:t>
            </w:r>
          </w:p>
        </w:tc>
        <w:tc>
          <w:tcPr>
            <w:tcW w:w="17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gridSpan w:val="2"/>
            <w:vMerge w:val="restart"/>
          </w:tcPr>
          <w:p>
            <w:pPr>
              <w:ind w:left="2660"/>
              <w:spacing w:after="0"/>
              <w:rPr>
                <w:sz w:val="20"/>
                <w:szCs w:val="20"/>
                <w:color w:val="auto"/>
              </w:rPr>
            </w:pPr>
            <w:r>
              <w:rPr>
                <w:rFonts w:ascii="Arial" w:cs="Arial" w:eastAsia="Arial" w:hAnsi="Arial"/>
                <w:sz w:val="14"/>
                <w:szCs w:val="14"/>
                <w:b w:val="1"/>
                <w:bCs w:val="1"/>
                <w:color w:val="auto"/>
              </w:rPr>
              <w:t>Name of Selling</w:t>
            </w: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Owned</w:t>
            </w: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 Offered</w:t>
            </w:r>
          </w:p>
        </w:tc>
        <w:tc>
          <w:tcPr>
            <w:tcW w:w="1240" w:type="dxa"/>
            <w:vAlign w:val="bottom"/>
            <w:gridSpan w:val="3"/>
          </w:tcPr>
          <w:p>
            <w:pPr>
              <w:jc w:val="center"/>
              <w:ind w:left="39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gridSpan w:val="2"/>
            <w:vMerge w:val="continue"/>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Before</w:t>
            </w:r>
          </w:p>
        </w:tc>
        <w:tc>
          <w:tcPr>
            <w:tcW w:w="13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2"/>
              </w:rPr>
              <w:t>Pursuant to</w:t>
            </w:r>
          </w:p>
        </w:tc>
        <w:tc>
          <w:tcPr>
            <w:tcW w:w="1780" w:type="dxa"/>
            <w:vAlign w:val="bottom"/>
            <w:gridSpan w:val="5"/>
          </w:tcPr>
          <w:p>
            <w:pPr>
              <w:jc w:val="center"/>
              <w:ind w:right="60"/>
              <w:spacing w:after="0" w:line="145"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6"/>
        </w:trPr>
        <w:tc>
          <w:tcPr>
            <w:tcW w:w="6580" w:type="dxa"/>
            <w:vAlign w:val="bottom"/>
            <w:gridSpan w:val="2"/>
          </w:tcPr>
          <w:p>
            <w:pPr>
              <w:ind w:left="2660"/>
              <w:spacing w:after="0"/>
              <w:rPr>
                <w:sz w:val="20"/>
                <w:szCs w:val="20"/>
                <w:color w:val="auto"/>
              </w:rPr>
            </w:pPr>
            <w:r>
              <w:rPr>
                <w:rFonts w:ascii="Arial" w:cs="Arial" w:eastAsia="Arial" w:hAnsi="Arial"/>
                <w:sz w:val="14"/>
                <w:szCs w:val="14"/>
                <w:b w:val="1"/>
                <w:bCs w:val="1"/>
                <w:color w:val="auto"/>
              </w:rPr>
              <w:t>Stockholders(1)</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Offering (2)</w:t>
            </w: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Prospectus</w:t>
            </w:r>
          </w:p>
        </w:tc>
        <w:tc>
          <w:tcPr>
            <w:tcW w:w="124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5"/>
              </w:rPr>
              <w:t>Offering (2)</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Entities associated with Venrock Healthcare Capital Partners III, L.P. (3)</w:t>
            </w:r>
          </w:p>
        </w:tc>
        <w:tc>
          <w:tcPr>
            <w:tcW w:w="1340" w:type="dxa"/>
            <w:vAlign w:val="bottom"/>
            <w:tcBorders>
              <w:top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2,122,714</w:t>
            </w:r>
          </w:p>
        </w:tc>
        <w:tc>
          <w:tcPr>
            <w:tcW w:w="1320" w:type="dxa"/>
            <w:vAlign w:val="bottom"/>
            <w:tcBorders>
              <w:top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1,827,680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295,034</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associated with FMR LLC (Fidelity) (4)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2,068,160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2,068,160</w:t>
            </w: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Avoro Life Sciences Fund LLC (5)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1,839,138</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1,827,680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11,458</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Commodore Capital Master LP (6)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1,834,084</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1,717,760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116,324</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 Track Biotechnology Master Fund, Ltd. (7)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1,717,760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1,717,760</w:t>
            </w: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Perceptive Life Sciences Master Fund, Ltd. (8)</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1,717,760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1,717,760</w:t>
            </w: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RTW Investments, LP (9)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1,717,760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1,717,760</w:t>
            </w: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associated with EcoR1 Capital (10)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887,080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687,080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200,000</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Driehaus Capital Management (USVI) LLC (12)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800,853</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687,080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113,773</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associated with BVF Partners L.P. (13)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687,080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687,080</w:t>
            </w: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Global Healthcare Master Fund, LP (14)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687,080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687,080</w:t>
            </w: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associated with Franklin Biotechnology (15)</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687,080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687,080</w:t>
            </w: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 Capital Healthcare Fund, L.P. (16)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687,080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687,080</w:t>
            </w: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associated with Logos Global (17)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597,560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343,560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254,000</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Citadel CEMF Investments Ltd. (18)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412,240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412,240</w:t>
            </w: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Entities associated with Aisling Capital (19)</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411,205</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343,560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67,645</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Affinity Healthcare Fund, LP (20)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340,834</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103,080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237,754</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Stempoint Capital (21)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279,981</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103,080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176,901</w:t>
            </w:r>
          </w:p>
        </w:tc>
        <w:tc>
          <w:tcPr>
            <w:tcW w:w="2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Salthill Investors (Bermuda) L.P. (22)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214,280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214,280</w:t>
            </w: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Salthill Partners, L.P. (22)</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197,960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197,960</w:t>
            </w: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Spencer (23)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110,155</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91,387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18,768</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Janet Gunzner-Toste (24)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110,155</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91,387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18,768</w:t>
            </w: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LaFountaine (25)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90,415</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74,650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15,765</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Wedbush Healthcare Partners 2023 Fund, LLC (26)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68,720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68,720</w:t>
            </w: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Sessions LLC (27)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34,360</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34,360</w:t>
            </w: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Harry Turtle (28)</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13,760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13,760</w:t>
            </w:r>
          </w:p>
        </w:tc>
        <w:tc>
          <w:tcPr>
            <w:tcW w:w="12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31" w:lineRule="exact"/>
        <w:rPr>
          <w:sz w:val="20"/>
          <w:szCs w:val="20"/>
          <w:color w:val="auto"/>
        </w:rPr>
      </w:pPr>
    </w:p>
    <w:p>
      <w:pPr>
        <w:ind w:left="540" w:right="80" w:hanging="424"/>
        <w:spacing w:after="0" w:line="255"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our knowledge, unless otherwise indicated, all persons named in the table above have sole voting and investment power with respect to their shares of Common Stock. Unless an address is provided below, the address for the holder is 221 Crescent Street, Building 23, Suite 105, Waltham MA 02453.</w:t>
      </w:r>
    </w:p>
    <w:p>
      <w:pPr>
        <w:spacing w:after="0" w:line="2" w:lineRule="exact"/>
        <w:rPr>
          <w:rFonts w:ascii="Arial" w:cs="Arial" w:eastAsia="Arial" w:hAnsi="Arial"/>
          <w:sz w:val="18"/>
          <w:szCs w:val="18"/>
          <w:color w:val="auto"/>
        </w:rPr>
      </w:pPr>
    </w:p>
    <w:p>
      <w:pPr>
        <w:ind w:left="540" w:right="20" w:hanging="424"/>
        <w:spacing w:after="0" w:line="273"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certain limitations, including that a holder of Series A Preferred Stock is prohibited from converting shares of Series A Preferred Stock into shares of Common Stock (i) prior to the affirmative vote of the holders of a majority of the then outstanding shares of the Series A Preferred Stock, or</w:t>
      </w:r>
    </w:p>
    <w:p>
      <w:pPr>
        <w:ind w:left="540" w:right="20" w:firstLine="8"/>
        <w:spacing w:after="0" w:line="250" w:lineRule="auto"/>
        <w:tabs>
          <w:tab w:leader="none" w:pos="8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as a result of such conversion, such holder, together with its affiliates, would beneficially own more than a specified percentage (established by the holder between 0.00% and 19.99%) (the “Beneficial Ownership Limitation”) of the total number of shares of Common Stock issued and outstanding immediately after giving effect to such conversion.</w:t>
      </w:r>
    </w:p>
    <w:p>
      <w:pPr>
        <w:spacing w:after="0" w:line="1"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(i) 1,299,120 shares of Common Stock issuable upon the conversion of Series A Preferred Stock held by Venrock Healthcare Capital Partners EG, L.P. (“VHCP EG”), (ii) 209,711 shares of Common Stock held by VHCP EG, (iii) 480,480 shares of Common Stock issuable upon the conversion of Series A Preferred Stock held by Venrock Healthcare Capital Partners III, L.P. (“VHCP III”), (iv) 77,564 shares of Common Stock held by VHCP III, (v) 2 shares of Common Stock issuable upon the conversion of Series A Preferred Stock held by VHCP Co-Investment Holdings III, LLC (“VHCP III Co”), and (vi) 7,759 shares of Common Stock held by VHCP III Co. VHCP Management III, LLC (“VHCPM”) is the sole general partner of VHCP III and the sole manager of VHCP III Co. VHCP Management EG, LLC (“VHCPM EG”) is the sole general partner of VHCP EG. Dr. Bong Koh and Nimish Shah are the voting members of VHCPM and VHCPM EG. The address of each of these persons and entities is 7 Bryant Park, 23rd Floor, New York, NY 10018. The shares of Common Stock issuable upon conversion of the shares of Series A Preferred Stock held by VHCP EG, VHCP III, and VHCP III Co are subject to a Beneficial Ownership Limitation of 9.99%.</w:t>
      </w:r>
    </w:p>
    <w:p>
      <w:pPr>
        <w:spacing w:after="0" w:line="5"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Consists of (i) 12,160 shares of Common Stock issuable upon the conversion of Series A Preferred Stock held by Fidelity Select Portfolios: Pharmaceuticals Portfolio, (ii) 24,000 shares of Common Stock issuable upon the conversion of Series A Preferred Stock held by Fidelity Advisor Series VII: Fidelity Advisor Biotechnology Fund, (iii) 196,000 shares of Common Stock issuable upon the conversion of Series A Preferred Stock held by Fidelity Mt. Vernon Street Trust: Fidelity Series Growth Company Fund, (iv) 704,000 shares of Common Stock issuable upon the conversion of Series A Preferred Stock held by Fidelity Mt. Vernon Street Trust: Fidelity Growth Company Fund, (v) 916,000 shares of Common Stock issuable upon the conversion of Series A Preferred Stock held by Fidelity Growth Company Commingled Pool and (vi) 216,000 shares of Common Stock issuable upon the conversion of Series A Preferred Stock held by Fidelity Mt. Vernon Street Trust: Fidelity Growth Company K6 Fund. 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address of these funds and accounts is 245 Summer Street, Boston, MA 02210. The shares of Common Stock issuable upon conversion of the shares of Series A Preferred Stock held by these funds and accounts are subject to a Beneficial Ownership Limitation of 14.90%.</w:t>
      </w:r>
    </w:p>
    <w:p>
      <w:pPr>
        <w:spacing w:after="0" w:line="3" w:lineRule="exact"/>
        <w:rPr>
          <w:rFonts w:ascii="Arial" w:cs="Arial" w:eastAsia="Arial" w:hAnsi="Arial"/>
          <w:sz w:val="17"/>
          <w:szCs w:val="17"/>
          <w:color w:val="auto"/>
        </w:rPr>
      </w:pPr>
    </w:p>
    <w:p>
      <w:pPr>
        <w:ind w:left="540" w:right="160" w:hanging="424"/>
        <w:spacing w:after="0" w:line="253"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1,827,680 shares of Common Stock issuable upon the conversion of Series A Preferred Stock held by Avoro Life Sciences Fund LLC and (ii) 11,458 shares of Common Stock held by Avoro Life Sciences Fund LLC. Avoro Capital Advisors LLC (“Avoro”) is the investment advisor for Avoro Life Sciences Fund LLC. Behzad Aghazadeh serves as the portfolio manager and controlling person of Avoro and may be deemed to have investment discretion and voting power over the shares held by Avoro.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80"/>
        <w:spacing w:after="0" w:line="287" w:lineRule="auto"/>
        <w:rPr>
          <w:sz w:val="20"/>
          <w:szCs w:val="20"/>
          <w:color w:val="auto"/>
        </w:rPr>
      </w:pPr>
      <w:r>
        <w:rPr>
          <w:rFonts w:ascii="Arial" w:cs="Arial" w:eastAsia="Arial" w:hAnsi="Arial"/>
          <w:sz w:val="16"/>
          <w:szCs w:val="16"/>
          <w:color w:val="auto"/>
        </w:rPr>
        <w:t>Mr. Aghazadeh disclaims beneficial ownership of these shares, except to the extent of his pecuniary interest in such shares, if any. The address of Avoro Life Sciences Fund LLC is 110 Greene Street, Suite 800, New York, NY 10012. The shares of Common Stock issuable upon conversion of the shares of Series A Preferred Stock held by Avoro Life Sciences Fund LLC are subject to a Beneficial Ownership Limitation of 19.99%</w:t>
      </w:r>
    </w:p>
    <w:p>
      <w:pPr>
        <w:spacing w:after="0" w:line="2" w:lineRule="exact"/>
        <w:rPr>
          <w:sz w:val="20"/>
          <w:szCs w:val="20"/>
          <w:color w:val="auto"/>
        </w:rPr>
      </w:pPr>
    </w:p>
    <w:p>
      <w:pPr>
        <w:ind w:left="540" w:right="40" w:hanging="424"/>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(i) 1,717,760 shares of Common Stock issuable upon the conversion of Series A Preferred Stock held by Commodore Capital Master LP and (ii) 116,324 shares of Common Stock held by Commodore Capital Master LP. Commodore Capital LP is the investment manager to Commodore Capital Master LP and may be deemed to beneficially own the shares held by Commodore Capital Master LP. Michael Kramarz and Robert Egen Atkinson are the managing partners of Commodore Capital LP and exercise investment discretion with respect to these shares. Commodore Capital LP and Commodore Capital Master LP have shared voting and dispositive power with respect to these shares. The address of Commodore Capital LP and Commodore Capital Master LP is 444 Madison Avenue, 35th Floor, New York, NY 10022. The shares of Common Stock issuable upon conversion of the shares of Series A Preferred Stock held by Commodore Capital Master LP are subject to a Beneficial Ownership Limitation of 9.99%.</w:t>
      </w:r>
    </w:p>
    <w:p>
      <w:pPr>
        <w:spacing w:after="0" w:line="3"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1,717,760 shares of Common Stock issuable upon the conversion of Series A Preferred Stock held by Deep Track Biotechnology Master Fund, Ltd. (“Deep Track Biotech”). Deep Track Capital, LP (“Deep Track Capital”) and David Kroin have shared voting power and shared dispositive power over the shares held by the Deep Track Biotech. Mr. Kroin may be considered a control person for Deep Track Capital. The address of Deep Track Capital and Mr. Kroin is 200 Greenwich Ave, 3rd Floor, Greenwich, CT 06830, and the address for Deep Track Biotech is 190 Elgin Avenue, George Town, KY1-9001, Cayman Islands. The shares of Common Stock issuable upon conversion of the shares of Series A Preferred Stock held by Deep Track Biotech are subject to a Beneficial Ownership Limitation of 9.99%.</w:t>
      </w:r>
    </w:p>
    <w:p>
      <w:pPr>
        <w:spacing w:after="0" w:line="3" w:lineRule="exact"/>
        <w:rPr>
          <w:rFonts w:ascii="Arial" w:cs="Arial" w:eastAsia="Arial" w:hAnsi="Arial"/>
          <w:sz w:val="16"/>
          <w:szCs w:val="16"/>
          <w:color w:val="auto"/>
        </w:rPr>
      </w:pPr>
    </w:p>
    <w:p>
      <w:pPr>
        <w:ind w:left="540" w:right="40" w:hanging="424"/>
        <w:spacing w:after="0" w:line="225"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1,717,760 shares of Common Stock issuable upon the conversion of Series A Preferred Stock held by Perceptive Life Sciences Master Fund, Ltd. The address of Perceptive is 51 Astor Place,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10003. The shares of Common Stock issuable upon conversion of the shares of Series A Preferred Stock held by Perceptive Life Sciences Master Fund, Ltd. are subject to a Beneficial Ownership Limitation of 19.99%.</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an aggregate of 1,717,760 shares of Common Stock held by RTW Master Fund, Ltd., RTW Innovation Master Fund, Ltd. and RTW Biotech Opportunities Ltd (collectively, the “RTW Funds”). RTW Investments, LP (“RTW”), in its capacity as the investment manager of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 The shares of Common Stock issuable upon conversion of the shares of Series A Preferred Stock held by the RTW Funds are subject to a Beneficial Ownership Limitation of 9.90%.</w:t>
      </w:r>
    </w:p>
    <w:p>
      <w:pPr>
        <w:spacing w:after="0" w:line="3" w:lineRule="exact"/>
        <w:rPr>
          <w:rFonts w:ascii="Arial" w:cs="Arial" w:eastAsia="Arial" w:hAnsi="Arial"/>
          <w:sz w:val="18"/>
          <w:szCs w:val="18"/>
          <w:color w:val="auto"/>
        </w:rPr>
      </w:pPr>
    </w:p>
    <w:p>
      <w:pPr>
        <w:ind w:left="540" w:hanging="424"/>
        <w:spacing w:after="0" w:line="268"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Consists of (i) 39,520 shares of Common Stock issuable upon the conversion of Series A Preferred Stock held by EcoR1 Capital Fund, L.P. (“Capital”), (ii) 647,560 shares of Common Stock issuable upon the conversion of Series A Preferred Stock held by EcoR1 Capital Fund Qualified, L.P. (“Qualified”), and (iii) 200,000 shares of Common Stock held by Capital and Qualified. EcoR1 Capital LLC (“EcoR1”) is the general partner and investment advisor of Capital and Qualified, which disclaims beneficial ownership of the shares. Oleg Nodelman is the control person of EcoR1 Capital. EcoR1 Capital is the general partner and investment advisor of EcoR1 and Qualified, which disclaims beneficial ownership of the shares. Mr. Nodelman, EcoR1, Capital and Qualified each disclaim beneficial ownership of the shares except to the extent of their pecuniary interest therein. The address of each of EcoR1, Capital, Qualified and Mr. Nodelman is 357 Tehama Street #3, San Francisco, CA 94103. The shares of Common Stock issuable upon conversion of the shares of Series A Preferred Stock held by Capital and Qualified are subject to a Beneficial Ownership Limitation of 9.99%.</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100" w:hanging="424"/>
        <w:spacing w:after="0" w:line="287"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Consists of (i) 507,720 shares of Common Stock issuable upon the conversion of Series A Preferred Stock held by Driehaus Life Sciences Master Fund, L.P. (“Driehaus Master Fund”), (ii) 84,131 shares of Common Stock held by Driehaus Master Fund, (iii) 179,360 shares of Common Stock issuable upon the conversion of Series A Preferred Stock held by Driehaus Life Sciences (QP) Fund, L.P. (“Driehaus QP Fund”), and (iv)</w:t>
      </w:r>
    </w:p>
    <w:p>
      <w:pPr>
        <w:spacing w:after="0" w:line="2" w:lineRule="exact"/>
        <w:rPr>
          <w:rFonts w:ascii="Arial" w:cs="Arial" w:eastAsia="Arial" w:hAnsi="Arial"/>
          <w:sz w:val="16"/>
          <w:szCs w:val="16"/>
          <w:color w:val="auto"/>
        </w:rPr>
      </w:pPr>
    </w:p>
    <w:p>
      <w:pPr>
        <w:ind w:left="540" w:right="40"/>
        <w:spacing w:after="0" w:line="250" w:lineRule="auto"/>
        <w:rPr>
          <w:rFonts w:ascii="Arial" w:cs="Arial" w:eastAsia="Arial" w:hAnsi="Arial"/>
          <w:sz w:val="16"/>
          <w:szCs w:val="16"/>
          <w:color w:val="auto"/>
        </w:rPr>
      </w:pPr>
      <w:r>
        <w:rPr>
          <w:rFonts w:ascii="Arial" w:cs="Arial" w:eastAsia="Arial" w:hAnsi="Arial"/>
          <w:sz w:val="18"/>
          <w:szCs w:val="18"/>
          <w:color w:val="auto"/>
        </w:rPr>
        <w:t>29,642 shares of Common Stock held by Driehaus QP Fund. Driehaus Capital Management (USVI) LLC is the general partner of both Driehaus Life Sciences Master Fund, L.P. and Driehaus Life Sciences (QP) Fund, L.P. By virtue of such relationship, Driehaus Capital Management (USVI) LLC may be deemed to have beneficial ownership over such securities. Driehaus Capital Management LLC is the investment advisor to both Driehaus Life Sciences Master Fund, L.P. and Driehaus Life Sciences (QP) Fund. Driehaus Capital Management LLC exercises voting and investment power through portfolio managers comprised of Michael Caldwell and Alex Munns, each of whom disclaims beneficial ownership of the shares held by Driehaus Life Sciences Master Fund, L.P. and Driehaus Life Sciences (QP) Fund, L.P.. The address for these entities is c/o Driehaus Capital Management LLC, 25 East Erie Street, Chicago, IL 60611. The shares of Common Stock issuable upon conversion of the shares of Series A Preferred Stock held by Driehaus Master Fund, L.P. and Driehaus QP Fund are subject to a Beneficial Ownership Limitation of 19.99%.</w:t>
      </w:r>
    </w:p>
    <w:p>
      <w:pPr>
        <w:spacing w:after="0" w:line="3"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Consists of (i) 367,080 shares of Common Stock issuable upon the conversion of Series A Preferred Stock held by Biotechnology Value Fund, L.P. (“BVF LP”), (ii) 278,240 shares of Common Stock issuable upon the conversion of Series A Preferred Stock held by Biotechnology Value Fund II, L.P. (“BVF2 LP”), (iii) 32,360 shares of Common Stock issuable upon the conversion of Series A Preferred Stock held by Biotechnology Value Trading Fund OS LP (“BVF OS”), and (iv) 9,400 shares of Common Stock issuable upon the conversion of Series A Preferred Stock held by MSI BVF SPV, LLC (“MSI BVF” and together with BVF LP, BVF2 LP and BVF OS, the “BVF Entities”). BVF I GP LLC (“BVF GP”), as general partner of BVF LP, may be deemed to beneficially own the shares beneficially owned by BVF LP. BVF II GP LLC (“BVF2 GP”), as general partner of BVF2 LP, may be deemed to beneficially own the shares beneficially owned by BVF2 LP. BVF Partners OS Ltd. (“Partners OS”), as general partner of BVF OS, may be deemed to beneficially own the shares beneficially owned by BVF OS. BVF GP Holdings LLC (“BVF GPH”), as the sole member of BVF GP and BVF2 GP, may be deemed to beneficially own the shares beneficially owned in the aggregate by BVF GP and BVF2 GP. BVF Partners L.P. (“Partners”), as investment manager of BVF LP, BVF2 LP, BVF OS and MSI BVF, and the sole member of Partners OS, may be deemed to beneficially own the shares beneficially owned in the aggregate by the BVF Entities. BVF Inc., as the general partner of Partners, may be deemed to beneficially own the shares beneficially owned by Partners. Mark N. Lampert as director and officer of BVF Inc., may be deemed to beneficially own the shares beneficially owned by BVF Inc. Each of BVF GP, BVF2 GP, Partners OS, BVF GPH, Partners, BVF Inc. and Mark N. Lampert disclaims beneficial ownership of securities beneficially owned by the BVF Entities. The address of each of these entities is 44 Montgomery Street, Suite 4000, San Francisco, CA 94104. The shares of Common Stock issuable upon conversion of the shares of Series A Preferred Stock held by the BVF Entities are subject to a Beneficial Ownership Limitation of 9.90%.</w:t>
      </w:r>
    </w:p>
    <w:p>
      <w:pPr>
        <w:spacing w:after="0" w:line="9"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687,080 shares of Common Stock issuable upon the conversion of Series A Preferred Stock held by Cormorant Global Healthcare Master Fund, LP (“Cormorant Global Healthcare”). Cormorant Global Healthcare GP, LLC (“Global Healthcare GP”) is the general partner of Cormorant Global Healthcare. Cormorant Asset Management, LP serves as the investment manager to Cormorant Global Healthcare. Bihua Chen serves as the managing member of both Global Healthcare GP and Cormorant Asset Management, LP and accordingly may be deemed to have voting and dispositive power with respect to shares held by Cormorant Global Healthcare. Each of Global Healthcare GP, Cormorant Asset Management, LP and Ms. Chen disclaims beneficial ownership of such shares except to the extent of any pecuniary interest therein. The principal address for the Cormorant Asset Management, LP entities is 200 Clarendon Street 52nd Floor, Boston, MA 02116. The shares of Common Stock issuable upon conversion of the shares of Series A Preferred Stock held by Cormorant Global Healthcare are subject to a Beneficial Ownership Limitation of 9.99%.</w:t>
      </w:r>
    </w:p>
    <w:p>
      <w:pPr>
        <w:spacing w:after="0" w:line="3" w:lineRule="exact"/>
        <w:rPr>
          <w:rFonts w:ascii="Arial" w:cs="Arial" w:eastAsia="Arial" w:hAnsi="Arial"/>
          <w:sz w:val="18"/>
          <w:szCs w:val="18"/>
          <w:color w:val="auto"/>
        </w:rPr>
      </w:pPr>
    </w:p>
    <w:p>
      <w:pPr>
        <w:ind w:left="540" w:right="400" w:hanging="424"/>
        <w:spacing w:after="0" w:line="26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(i) 220,000 shares of Common Stock issuable upon the conversion of Series A Preferred Stock held by Franklin Strategic Series – Franklin Biotechnology Discovery Fund (“Franklin Strategic”)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69" w:lineRule="auto"/>
        <w:rPr>
          <w:sz w:val="20"/>
          <w:szCs w:val="20"/>
          <w:color w:val="auto"/>
        </w:rPr>
      </w:pPr>
      <w:r>
        <w:rPr>
          <w:rFonts w:ascii="Arial" w:cs="Arial" w:eastAsia="Arial" w:hAnsi="Arial"/>
          <w:sz w:val="17"/>
          <w:szCs w:val="17"/>
          <w:color w:val="auto"/>
        </w:rPr>
        <w:t>(ii) 467,080 shares of Common Stock issuable upon the conversion of Series A Preferred Stock held by Franklin Templeton Investment Funds – Franklin Biotechnology Discovery Fund (“Franklin Templeton”). The address of the Franklin entities is c/o Franklin Advisers, Inc., One Franklin Parkway, San Mateo, CA 94403. The shares of Common Stock issuable upon conversion of the shares of Series A Preferred Stock held by Franklin Strategic and Franklin Templeton are subject to a Beneficial Ownership Limitation of 19.99%.</w:t>
      </w:r>
    </w:p>
    <w:p>
      <w:pPr>
        <w:spacing w:after="0" w:line="1" w:lineRule="exact"/>
        <w:rPr>
          <w:sz w:val="20"/>
          <w:szCs w:val="20"/>
          <w:color w:val="auto"/>
        </w:rPr>
      </w:pPr>
    </w:p>
    <w:p>
      <w:pPr>
        <w:ind w:left="540" w:right="40" w:hanging="424"/>
        <w:spacing w:after="0" w:line="281"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687,080 shares of Common Stock issuable upon the conversion of Series A Preferred Stock held by RA Capital Healthcare Fund, L.P. (“RACHF”). RA Capital Management, L.P. is the investment manager for RACHF. The general partner of RA Capital Management, L.P. is RA Capital Management GP, LLC, of which Peter Kolchinsky and Rajeev Shah are the managing members. Each of Mr. Kolchinsky and Mr. Shah may be deemed to have voting and investment power over the ordinary shares held by RACHF. Mr. Kolchinsky and Mr. Shah disclaim beneficial ownership of such shares, except to the extent of any pecuniary interest therein. The principal business address of these persons and entities is 200 Berkeley Street, 18th Floor, Boston, MA 02116. The shares of Common Stock issuable upon conversion of the shares of Series A Preferred Stock held by RACHF are subject to a Beneficial Ownership Limitation of 9.90%.</w:t>
      </w:r>
    </w:p>
    <w:p>
      <w:pPr>
        <w:spacing w:after="0" w:line="4" w:lineRule="exact"/>
        <w:rPr>
          <w:rFonts w:ascii="Arial" w:cs="Arial" w:eastAsia="Arial" w:hAnsi="Arial"/>
          <w:sz w:val="16"/>
          <w:szCs w:val="16"/>
          <w:color w:val="auto"/>
        </w:rPr>
      </w:pPr>
    </w:p>
    <w:p>
      <w:pPr>
        <w:ind w:left="540" w:right="40" w:hanging="424"/>
        <w:spacing w:after="0" w:line="265"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Consists of (i) 343,560 shares of Common Stock issuable upon the conversion of Series A Preferred Stock held by Logos Opportunities Fund IV LP (“Logos Opportunities”) and (ii) 254,000 shares of Common Stock held by Logos Global Master Fund LP (“Global Fund”). Logos Opportunities IV GP LLC (“Logos Opportunities GP”) is the general partner of Logos Opportunities. Logos Global Management LP (“Logos Global”) is the investment advisor to Global Fund. Logos Global Management GP LLC (“Logos Global GP”) is the general partner of Logos Global. Arsani William and Graham Walmsley are the members of Logos Opportunities GP and Mr. William is a control person of Logos Global and Logos Global GP. Mr. William and Mr. Walmsley each disclaim beneficial ownership of these shares, except to the extent of each’s pecuniary interest in such shares, if any. The principal address of Logos Opportunities and Global Fund is 1 Letterman Drive, Building C, Suite C3-350, San Francisco, CA 94129. The shares of Common Stock issuable upon conversion of the shares of Series A Preferred Stock held by Logos Opportunities are subject to a Beneficial Ownership Limitation of 9.99%.</w:t>
      </w:r>
    </w:p>
    <w:p>
      <w:pPr>
        <w:spacing w:after="0" w:line="1" w:lineRule="exact"/>
        <w:rPr>
          <w:rFonts w:ascii="Arial" w:cs="Arial" w:eastAsia="Arial" w:hAnsi="Arial"/>
          <w:sz w:val="17"/>
          <w:szCs w:val="17"/>
          <w:color w:val="auto"/>
        </w:rPr>
      </w:pPr>
    </w:p>
    <w:p>
      <w:pPr>
        <w:ind w:left="540" w:hanging="424"/>
        <w:spacing w:after="0" w:line="265"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Consists of 412,240 shares of Common Stock issuable upon conversion of Series A Preferred Stock held by Citadel CEMF Investments Ltd. (“Citadel CEMF”). Citadel Advisors LLC (“Citadel Advisors”) is the portfolio manager of Citadel CEMF. Citadel Advisors Holdings LP (“Citadel Holdings”) is the sole member of Citadel Advisors. Citadel GP LLC (“Citadel GP”) is the General Partner of Citadel Holdings. Kenneth Griffin owns a controlling interest in Citadel GP LLC. Mr. Griffin, as the owner of a controlling interest in Citadel GP LLC, may be deemed to have shared power to vote and/or shared power to dispose of the securities held by Citadel CEMF. This disclosure shall not be construed as an admission that Mr. Griffin or any of the Citadel related entities listed above is the beneficial owner of any of the Company’s securities other than the securities actually owned by such person (if any). The address of Citadel CEMF is Southeast Financial Center, 200 S. Biscayne Blvd., Suite 3300, Miami, FL 33131. The shares of Common Stock issuable upon conversion of the shares of Series A Preferred Stock held by Citadel CEMF are subject to a Beneficial Ownership Limitation of 9.99%.</w:t>
      </w:r>
    </w:p>
    <w:p>
      <w:pPr>
        <w:spacing w:after="0" w:line="1" w:lineRule="exact"/>
        <w:rPr>
          <w:rFonts w:ascii="Arial" w:cs="Arial" w:eastAsia="Arial" w:hAnsi="Arial"/>
          <w:sz w:val="17"/>
          <w:szCs w:val="17"/>
          <w:color w:val="auto"/>
        </w:rPr>
      </w:pPr>
    </w:p>
    <w:p>
      <w:pPr>
        <w:jc w:val="both"/>
        <w:ind w:left="540" w:right="140" w:hanging="424"/>
        <w:spacing w:after="0" w:line="281"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(i) 343,560 shares of Common Stock issuable upon the conversion of Series A Preferred Stock held directly by Aisling Capital V, LP (“Aisling V”) and held indirectly by Aisling Capital Partners V, LP (“Aisling GP V”), as general partner of Aisling V, Aisling Capital Partners V LLC (“Aisling Partners V”), as general partner of Aisling GP V, and each of the individual managing members of Aisling Partners V and (ii)</w:t>
      </w:r>
    </w:p>
    <w:p>
      <w:pPr>
        <w:spacing w:after="0" w:line="1" w:lineRule="exact"/>
        <w:rPr>
          <w:rFonts w:ascii="Arial" w:cs="Arial" w:eastAsia="Arial" w:hAnsi="Arial"/>
          <w:sz w:val="16"/>
          <w:szCs w:val="16"/>
          <w:color w:val="auto"/>
        </w:rPr>
      </w:pPr>
    </w:p>
    <w:p>
      <w:pPr>
        <w:ind w:left="540"/>
        <w:spacing w:after="0" w:line="252" w:lineRule="auto"/>
        <w:rPr>
          <w:rFonts w:ascii="Arial" w:cs="Arial" w:eastAsia="Arial" w:hAnsi="Arial"/>
          <w:sz w:val="16"/>
          <w:szCs w:val="16"/>
          <w:color w:val="auto"/>
        </w:rPr>
      </w:pPr>
      <w:r>
        <w:rPr>
          <w:rFonts w:ascii="Arial" w:cs="Arial" w:eastAsia="Arial" w:hAnsi="Arial"/>
          <w:sz w:val="18"/>
          <w:szCs w:val="18"/>
          <w:color w:val="auto"/>
        </w:rPr>
        <w:t>67,645 shares of Common Stock held directly by Aisling Capital IV, LP (“Aisling IV”) and held indirectly by Aisling Capital Partners IV, LP (“Aisling GP IV”), as general partner of Aisling IV, Aisling Capital Partners IV LLC (“Aisling Partners IV”), as general partner of Aisling GP IV, and each of the individual managing members of Aisling Partners IV. The individual managing members (collectively, the “Managers”) of Aisling Partners IV and Aisling Partners V are Dr. Andrew Schiff and Steve Elms. Aisling GP IV, Aisling GP V, Aisling Partners IV, Aisling Partners V and the Managers share voting and dispositive power over the shares directly held by Aisling V and Aisling IV. Each of Aisling GP IV, Aisling GP V, Aisling Partners IV, Aisling Partners V and the Managers may be deemed to be the beneficial owner of the securities listed above only to the extent of its pecuniary interest therein. The above information shall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54" w:lineRule="auto"/>
        <w:rPr>
          <w:sz w:val="20"/>
          <w:szCs w:val="20"/>
          <w:color w:val="auto"/>
        </w:rPr>
      </w:pPr>
      <w:r>
        <w:rPr>
          <w:rFonts w:ascii="Arial" w:cs="Arial" w:eastAsia="Arial" w:hAnsi="Arial"/>
          <w:sz w:val="18"/>
          <w:szCs w:val="18"/>
          <w:color w:val="auto"/>
        </w:rPr>
        <w:t>not be deemed an admission that any of Aisling GP IV, Aisling GP V, Aisling Partners IV, Aisling Partners V or any of the Managers is the beneficial owner of any securities reported herein. The address of the principal business offices of each of these entities and persons is 489 Fifth Avenue, 10th Floor, New York, NY 10017. The shares of Common Stock issuable upon conversion of the shares of Series A Preferred Stock held by Aisling V are subject to a Beneficial Ownership Limitation of 19.99%.</w:t>
      </w:r>
    </w:p>
    <w:p>
      <w:pPr>
        <w:spacing w:after="0" w:line="2" w:lineRule="exact"/>
        <w:rPr>
          <w:sz w:val="20"/>
          <w:szCs w:val="20"/>
          <w:color w:val="auto"/>
        </w:rPr>
      </w:pPr>
    </w:p>
    <w:p>
      <w:pPr>
        <w:ind w:left="540" w:right="20" w:hanging="424"/>
        <w:spacing w:after="0" w:line="250"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(i) 103,080 shares of Common Stock issuable upon the conversion of Series A Preferred Stock held by Affinity Healthcare Fund, LP (the “Affinity Fund”) and (ii) 237,754 shares of Common Stock held by Affinity Fund. Affinity Asset Advisors, LLC (the “Affinity Advisor”) is the investment manager of Affinity Fund and exercises investment discretion with regard to the shares of Common Stock owned by Affinity Fund. Affinity Fund and Affinity Advisor have the shared power to vote or to direct the vote and to dispose or direct the disposition of such shares of Common Stock owned by Affinity Fund. Affinity Advisor may be deemed to be the beneficial owner of such shares of Common Stock owned by Affinity Fund by virtue of its position as investment manager of Affinity Fund. The address of each of these entities is 767 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Avenue, Floor 15, New York, NY 10017. The shares of Common Stock issuable upon conversion of the shares of Series A Preferred Stock held by Affinity Fund are subject to a Beneficial Ownership Limitation of 19.99%.</w:t>
      </w:r>
    </w:p>
    <w:p>
      <w:pPr>
        <w:spacing w:after="0" w:line="3" w:lineRule="exact"/>
        <w:rPr>
          <w:rFonts w:ascii="Arial" w:cs="Arial" w:eastAsia="Arial" w:hAnsi="Arial"/>
          <w:sz w:val="17"/>
          <w:szCs w:val="17"/>
          <w:color w:val="auto"/>
        </w:rPr>
      </w:pPr>
    </w:p>
    <w:p>
      <w:pPr>
        <w:ind w:left="540" w:right="20" w:hanging="424"/>
        <w:spacing w:after="0" w:line="281"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(i) 103,080 shares of Common Stock issuable upon the conversion of Series A Preferred Stock held by StemPoint Capital Master Fund LP (“StemPoint Fund”), (ii) 87,530 shares of Common Stock held by Jefferies Strategic Investments, LLC (“JSI”) and (iii) 89,371 shares of Common Stock held by Titan Biotech Dislocation Fund SP (“TBDF”). StemPoint Capital LP (“Stempoint”) serves as investment advisor to StemPoint Fund and JSI, and as sub-advisor to TBDF. StemPoint exercises voting and investment power over the shares held by each of StemPoint Fund and JSI pursuant to investment management agreements and StemPoint exercises investment power over the shares held by TBDF pursuant to its sub-advisory agreement. StemPoint hereby disclaims beneficial ownership of the shares held by StemPoint Fund, JSI and TBDF. The total number of shares that StemPoint exercises investment power over is 176,901, as of September 22, 2023. The total number of shares that StemPoint exercises voting and investment power over is 87,530, as of September 22, 2023. The address of these funds and accounts is 520 Madison Avenue, 19th Floor, New York, NY 10022. The shares of Common Stock issuable upon conversion of the shares of Series A Preferred Stock held by StemPoint Fund are subject to a Beneficial Ownership Limitation of 19.99%.</w:t>
      </w:r>
    </w:p>
    <w:p>
      <w:pPr>
        <w:spacing w:after="0" w:line="5"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Consists of (i) 214,280 shares of Common Stock issuable upon the conversion of Series A Preferred Stock held by Salthill Investors (Bermuda) L.P. (“Salthill Investors”) and (ii) 197,960 shares of Common Stock issuable upon the conversion of Series A Preferred Stock held by Salthill Partners, L.P. (“Salthill Partners”). Wellington Management Company LLP (“Wellington Management”), a registered investment adviser under the Investment Advisers Act of 1940, as amended, is the investment adviser to Salthill Partners and Salthill Investors (collectively, the “Wellington Entities”). Wellington Management is an indirect subsidiary of Wellington Management Group LLP (“Wellington Group”). Wellington Group and Wellington Management may be deemed beneficial owners with shared voting and investment power over the shares held by the Wellington Entities. The address of these entities is c/o Wellington Management Company LLP, 280 Congress Street, Boston, MA 02210. The shares of Common Stock issuable upon conversion of the shares of Series A Preferred Stock held by the Wellington Entities are subject to a Beneficial Ownership Limitation of 19.99%.</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(i) 88,240 shares of Common Stock issuable upon the conversion of Series A Preferred Stock, (ii) 3,147 shares of Common Stock and</w:t>
      </w:r>
    </w:p>
    <w:p>
      <w:pPr>
        <w:spacing w:after="0" w:line="32" w:lineRule="exact"/>
        <w:rPr>
          <w:rFonts w:ascii="Arial" w:cs="Arial" w:eastAsia="Arial" w:hAnsi="Arial"/>
          <w:sz w:val="16"/>
          <w:szCs w:val="16"/>
          <w:color w:val="auto"/>
        </w:rPr>
      </w:pPr>
    </w:p>
    <w:p>
      <w:pPr>
        <w:ind w:left="540" w:right="180" w:firstLine="8"/>
        <w:spacing w:after="0" w:line="250" w:lineRule="auto"/>
        <w:tabs>
          <w:tab w:leader="none" w:pos="8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18,768 shares of Common Stock issuable upon the exercise of options that are or will become exercisable within 60 days of the date hereof, held by Dr. Spencer.</w:t>
      </w:r>
    </w:p>
    <w:p>
      <w:pPr>
        <w:ind w:left="540" w:hanging="42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(i) 88,240 shares of Common Stock issuable upon the conversion of Series A Preferred Stock, (ii) 3,147 shares of Common Stock and</w:t>
      </w:r>
    </w:p>
    <w:p>
      <w:pPr>
        <w:spacing w:after="0" w:line="32" w:lineRule="exact"/>
        <w:rPr>
          <w:rFonts w:ascii="Arial" w:cs="Arial" w:eastAsia="Arial" w:hAnsi="Arial"/>
          <w:sz w:val="16"/>
          <w:szCs w:val="16"/>
          <w:color w:val="auto"/>
        </w:rPr>
      </w:pPr>
    </w:p>
    <w:p>
      <w:pPr>
        <w:ind w:left="540" w:right="180" w:firstLine="8"/>
        <w:spacing w:after="0" w:line="250" w:lineRule="auto"/>
        <w:tabs>
          <w:tab w:leader="none" w:pos="8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18,768 shares of Common Stock issuable upon the exercise of options that are or will become exercisable within 60 days of the date hereof, held by Dr. Gunzner-Toste.</w:t>
      </w:r>
    </w:p>
    <w:p>
      <w:pPr>
        <w:ind w:left="540" w:hanging="42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(i) 72,080 shares of Common Stock issuable upon the conversion of Series A Preferred Stock, (ii) 2,570 shares of Common Stock and</w:t>
      </w:r>
    </w:p>
    <w:p>
      <w:pPr>
        <w:spacing w:after="0" w:line="32" w:lineRule="exact"/>
        <w:rPr>
          <w:rFonts w:ascii="Arial" w:cs="Arial" w:eastAsia="Arial" w:hAnsi="Arial"/>
          <w:sz w:val="16"/>
          <w:szCs w:val="16"/>
          <w:color w:val="auto"/>
        </w:rPr>
      </w:pPr>
    </w:p>
    <w:p>
      <w:pPr>
        <w:ind w:left="540" w:right="180" w:firstLine="8"/>
        <w:spacing w:after="0" w:line="250" w:lineRule="auto"/>
        <w:tabs>
          <w:tab w:leader="none" w:pos="8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15,765 shares of Common Stock issuable upon the exercise of options that are or will become exercisable within 60 days of the date hereof, held by Mr. LaFountaine.</w:t>
      </w:r>
    </w:p>
    <w:p>
      <w:pPr>
        <w:ind w:left="540" w:right="60" w:hanging="424"/>
        <w:spacing w:after="0" w:line="26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68,720 shares of Common Stock issuable upon the conversion of Series A Preferred Stock held by Wedbush Healthcare Partners 2023 Fund, LLC. The address for Wedbush Healthcare Partners 2023</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40"/>
        <w:spacing w:after="0" w:line="255" w:lineRule="auto"/>
        <w:rPr>
          <w:sz w:val="20"/>
          <w:szCs w:val="20"/>
          <w:color w:val="auto"/>
        </w:rPr>
      </w:pPr>
      <w:r>
        <w:rPr>
          <w:rFonts w:ascii="Arial" w:cs="Arial" w:eastAsia="Arial" w:hAnsi="Arial"/>
          <w:sz w:val="18"/>
          <w:szCs w:val="18"/>
          <w:color w:val="auto"/>
        </w:rPr>
        <w:t>Fund, LLC is Wedbush Center, 1000 Wilshire Blvd., Los Angeles, CA 90017. The shares of Common Stock issuable upon conversion of the shares of Series A Preferred Stock held by Wedbush Healthcare Partners 2023 Fund, LLC are subject to a Beneficial Ownership Limitation of 9.99%.</w:t>
      </w:r>
    </w:p>
    <w:p>
      <w:pPr>
        <w:spacing w:after="0" w:line="3" w:lineRule="exact"/>
        <w:rPr>
          <w:sz w:val="20"/>
          <w:szCs w:val="20"/>
          <w:color w:val="auto"/>
        </w:rPr>
      </w:pPr>
    </w:p>
    <w:p>
      <w:pPr>
        <w:ind w:left="540" w:right="360" w:hanging="424"/>
        <w:spacing w:after="0" w:line="265"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34,360 shares of Common Stock issuable upon the conversion of Series A Preferred Stock held by Sessions LLC. The address for Sessions LLC is 96 Fairbanks Ave, Wellesley, MA 02481. The shares of Common Stock issuable upon conversion of the shares of Series A Preferred Stock held by Sessions LLC are subject to a Beneficial Ownership Limitation of 19.99%.</w:t>
      </w:r>
    </w:p>
    <w:p>
      <w:pPr>
        <w:ind w:left="540" w:right="480" w:hanging="424"/>
        <w:spacing w:after="0" w:line="255"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13,760 shares of Common Stock issuable upon the conversion of Series A Preferred Stock held by Harry Turtle. The shares of Common Stock issuable upon conversion of the shares of Series A Preferred Stock held by Mr. Turtle are subject to a Beneficial Ownership Limitation of 19.99%.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Relationship with the Selling Stockholders</w:t>
      </w:r>
    </w:p>
    <w:p>
      <w:pPr>
        <w:spacing w:after="0" w:line="117"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In addition to the Securities Purchase Agreement, on June 22, 2023, in connection with the PIPE, we entered into the New RRA on June 22, 2023 with certain Selling Stockholders. Andrew Spencer is our SVP, Preclinical R&amp;D, Janet Gunzner-Toste is our SVP, Operations and Justin LaFountaine is our VP, Corporate Development. Wedbush PacGrow served as lead financial advisor to our board of directors with respect to the Asset Acquisition.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Pursuant to the terms of our New RRA, we agreed to prepare and file with the SEC a registration statement that permits the resale or other disposition of the Selling Stockholders’ shares of Common Stock issued upon conversion of the Series A Preferred Stock issued to such Selling Stockholder pursuant to the Securities Purchase Agreement and Acquisition Agreement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New RRA).</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have also agreed, among other things, to indemnify the Selling Stockholders and each of their respective officers, directors, members, employees, partners, managers, stockholders, affiliates, investment advisors and agents, each person who controls any such Selling Stockholder and the officers, directors, members, employees, partners, managers, stockholders, affiliates, investment advisors and agents of each such controlling person from certain liabilities and pay all fees and expenses (excluding any legal fees of the selling holder(s), and any underwriting discounts and selling commissions) incident to our obligations under the New RRA.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are registering the Resale Shares issued to the Selling Stockholders to permit the sale, transfer or other disposition of these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Selling Stockholders may sell all or a portion of the Resale Shares beneficially owned by them and offered hereby from time to time, and in the case of the Private Placement Conversion Shares and Merger Conversion Shares, may only be offered after such shares are converted to Common Stock pursuant to the terms of the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9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or through underwriters or 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such options are listed on an options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Selling Stockholders also may resell all or a portion of the Resale Shares in open market transactions in reliance upon Rule 144 under the Securities Act (“Rule 144”), as permitted by that rule, or Section 4(a)(1) under the Securities Act, if available, rather than under this prospectus, provided that they meet the criteria and conform to the requirements of those provisions.</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7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shall take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to cover short sales of our Common Stock made prior to the date the registration statement, of which this prospectus forms a part, has been declared effective by the SEC.</w:t>
      </w:r>
    </w:p>
    <w:p>
      <w:pPr>
        <w:spacing w:after="0" w:line="182"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17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2(a)(11)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16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Resale Shares registered pursuant to the shelf registration statement, of which this prospectus forms a part.</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19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will pay all expenses of the registration of the Resale Shares pursuant to the New RRA,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New RRA, or the Selling Stockholders will be entitled to contribution. We may be indemnified by the Selling Stockholders against certain civil liabilities set forth in the New RRA,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Our authorized capital stock consists of 20,000,000 shares of Common Stock, $0.0001 par value per share, and 10,000,000 shares of preferred stock (“Preferred Stock”), of which 1,086,341 shares have been designated as Series A Preferred Stock, $0.0001 par value per share.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November 9, 2023, there were 4,048,927 shares of our Common Stock and 1,086,339 shares of Series A Preferred Stock outstanding.</w:t>
      </w:r>
    </w:p>
    <w:p>
      <w:pPr>
        <w:spacing w:after="0" w:line="237" w:lineRule="exact"/>
        <w:rPr>
          <w:sz w:val="20"/>
          <w:szCs w:val="20"/>
          <w:color w:val="auto"/>
        </w:rPr>
      </w:pPr>
    </w:p>
    <w:p>
      <w:pPr>
        <w:ind w:left="120" w:right="640"/>
        <w:spacing w:after="0" w:line="311" w:lineRule="auto"/>
        <w:rPr>
          <w:sz w:val="20"/>
          <w:szCs w:val="20"/>
          <w:color w:val="auto"/>
        </w:rPr>
      </w:pPr>
      <w:r>
        <w:rPr>
          <w:rFonts w:ascii="Arial" w:cs="Arial" w:eastAsia="Arial" w:hAnsi="Arial"/>
          <w:sz w:val="16"/>
          <w:szCs w:val="16"/>
          <w:color w:val="auto"/>
        </w:rPr>
        <w:t>The following description summarizes the most important terms of our capital stock. Because it is only a summary, it does not contain all the information that may be important to you. For a complete description, you should refer to our Certificate of Incorporation (the “Certificate of Incorporation”) and Bylaws (the “Bylaws”), which are included as exhibits to this prospectus, and to the applicable provisions of Delaware law.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We have not provided for cumulative voting for the election of directors in our Certificate of Incorporation. Accordingly, pursuant to our Certificate of Incorporation, holders of a majority of the shares of our Common Stock are able to elect all of our directors. Our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preemptive or similar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limitations or restrictions, in each case without further vote or action by our stockholders. Subject to the Certificate of Designation,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 other than the shares of our Series A Preferred Stock that were issued in connection with the Transactions.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Preferred Stock</w:t>
      </w:r>
    </w:p>
    <w:p>
      <w:pPr>
        <w:spacing w:after="0" w:line="117"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Holders of Series A Preferred Stock are entitled to receive dividends on shares of Series A Preferred Stock equal to, on an as-if-converted-to-common-stock basis, and in the same form as dividends actually paid on shares of our Common Stock. Except as provided in the Certificate of Designation or as otherwise required by law,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or alter or amend the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of the Series A Preferred Stock into shares of Common Stock in accordance with Nasdaq Stock Market Rules (the “Conversion Proposal”) or at any time while at least 30% of the originally issued Series A Preferred Stock remains issued and outstanding, consummate (x) any Fundamental Transaction (as defined in the Certificate of Designation) or (y)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or (d) enter into any agreement with respect to any of the foregoing. The Series A Preferred Stock does not have a preference upon any liquidation, dissolution or winding-up of the Company.</w:t>
      </w:r>
    </w:p>
    <w:p>
      <w:pPr>
        <w:spacing w:after="0" w:line="19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Following stockholder approval of the Conversion Proposal, each share of Series A Preferred Stock will automatically convert into 40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(established by the holder between 0% and 19.99%) of the total number of shares of Common Stock issued and outstanding immediately after giving effect to such conversion.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Pursuant to the terms of the Baker RRA entered into on March 16, 2021 with the Baker Funds, following a request by the Baker Funds, we are obligated to file a resale registration statement on Form S-3, or other appropriate form, covering the shares of our Common Stock held by the Baker Funds. Under the Baker RRA, the Baker Funds also have the right to request up to two underwritten public offerings or block trades in any twelve month period, but not more than three underwritten public offerings and eight block trades in total, to effect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sale or distribution of the Baker Registrable Securities, subject to specified exceptions, conditions and limitations. The Baker RRA also includes customary indemnification obligations in connection with registrations conducted pursuant to the Baker RRA. The rights of the Baker Funds under the Baker RRA terminate automatically upon the earlier to occur of the following events: (i) all Baker Registrable Securities covered by the Baker RRA have been sold pursuant to an effective registration statement; (ii) all Baker Registrable Securities covered by the Baker RRA have been sold pursuant to Rule 144, or other similar rule; (iii) at any time after the Baker Funds are no longer our affiliate, all Baker Registrable Securities covered by the Baker RRA may be resold by the Baker Funds without limitations as to volume or manner of sale pursuant to Rule 144; or (iv) ten (10) years after the date of the Baker RRA.</w:t>
      </w:r>
    </w:p>
    <w:p>
      <w:pPr>
        <w:spacing w:after="0" w:line="1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addition, certain of the holders of our Series A Preferred Stock are entitled to certain rights with respect to the registration of such securities as further provided under the heading “</w:t>
      </w:r>
      <w:r>
        <w:rPr>
          <w:rFonts w:ascii="Arial" w:cs="Arial" w:eastAsia="Arial" w:hAnsi="Arial"/>
          <w:sz w:val="18"/>
          <w:szCs w:val="18"/>
          <w:i w:val="1"/>
          <w:iCs w:val="1"/>
          <w:color w:val="auto"/>
        </w:rPr>
        <w:t>Selling Stockholders – Registration Rights Agreement</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provisions of Delaware law,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 law</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are subject to the provisions of Section 203 of the Delaware General Corporation Law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9" w:lineRule="exact"/>
        <w:rPr>
          <w:sz w:val="20"/>
          <w:szCs w:val="20"/>
          <w:color w:val="auto"/>
        </w:rPr>
      </w:pPr>
    </w:p>
    <w:p>
      <w:pPr>
        <w:ind w:left="1080" w:right="3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40" w:hanging="424"/>
        <w:spacing w:after="0" w:line="29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upon consummation of the transaction,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66"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 Provisions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Certificate of Incorporation and our Bylaws include a number of provisions that could deter hostile takeovers or delay or prevent changes in control of our company, including the following:</w:t>
      </w:r>
    </w:p>
    <w:p>
      <w:pPr>
        <w:spacing w:after="0" w:line="76" w:lineRule="exact"/>
        <w:rPr>
          <w:sz w:val="20"/>
          <w:szCs w:val="20"/>
          <w:color w:val="auto"/>
        </w:rPr>
      </w:pPr>
    </w:p>
    <w:p>
      <w:pPr>
        <w:ind w:left="1080" w:right="3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Our Certificate of Incorporation and Bylaws authorize our board of directors to fill vacant directorships,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newly created seats unless the board of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determines that any such vacancies shall be filled by the stockholders.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93" w:lineRule="exact"/>
        <w:rPr>
          <w:sz w:val="20"/>
          <w:szCs w:val="20"/>
          <w:color w:val="auto"/>
        </w:rPr>
      </w:pPr>
    </w:p>
    <w:p>
      <w:pPr>
        <w:jc w:val="both"/>
        <w:ind w:left="1080" w:hanging="424"/>
        <w:spacing w:after="0" w:line="31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Classified board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Certificate of Incorporation and Bylaws provide that our board is classified into three classes of directors, each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54" w:lineRule="exact"/>
        <w:rPr>
          <w:rFonts w:ascii="Arial" w:cs="Arial" w:eastAsia="Arial" w:hAnsi="Arial"/>
          <w:sz w:val="16"/>
          <w:szCs w:val="16"/>
          <w:color w:val="auto"/>
        </w:rPr>
      </w:pPr>
    </w:p>
    <w:p>
      <w:pPr>
        <w:ind w:left="1080" w:right="40" w:hanging="424"/>
        <w:spacing w:after="0" w:line="291"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Stockholder action; special meetings of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Certificate of Incorporation provides that our stockholders may not take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71" w:lineRule="exact"/>
        <w:rPr>
          <w:rFonts w:ascii="Arial" w:cs="Arial" w:eastAsia="Arial" w:hAnsi="Arial"/>
          <w:sz w:val="16"/>
          <w:szCs w:val="16"/>
          <w:color w:val="auto"/>
        </w:rPr>
      </w:pPr>
    </w:p>
    <w:p>
      <w:pPr>
        <w:ind w:left="1080" w:right="20" w:hanging="424"/>
        <w:spacing w:after="0" w:line="272"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Advance notice requirements for stockholder proposals and director nominations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advance notice procedures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2" w:lineRule="exact"/>
        <w:rPr>
          <w:rFonts w:ascii="Arial" w:cs="Arial" w:eastAsia="Arial" w:hAnsi="Arial"/>
          <w:sz w:val="17"/>
          <w:szCs w:val="17"/>
          <w:color w:val="auto"/>
        </w:rPr>
      </w:pPr>
    </w:p>
    <w:p>
      <w:pPr>
        <w:jc w:val="both"/>
        <w:ind w:left="1080" w:right="36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a corporation’s certificate of incorporation provides otherwise. Our Certificate of Incorporation and Bylaws do not provide for cumulative voting.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Directors removed only for cause</w:t>
      </w:r>
      <w:r>
        <w:rPr>
          <w:rFonts w:ascii="Arial" w:cs="Arial" w:eastAsia="Arial" w:hAnsi="Arial"/>
          <w:sz w:val="17"/>
          <w:szCs w:val="17"/>
          <w:color w:val="auto"/>
        </w:rPr>
        <w:t>. Our Certificate of Incorporation provides that stockholders may remove directors only for cause.</w:t>
      </w:r>
    </w:p>
    <w:p>
      <w:pPr>
        <w:spacing w:after="0" w:line="142"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of charter provisions</w:t>
      </w:r>
      <w:r>
        <w:rPr>
          <w:rFonts w:ascii="Arial" w:cs="Arial" w:eastAsia="Arial" w:hAnsi="Arial"/>
          <w:sz w:val="18"/>
          <w:szCs w:val="18"/>
          <w:color w:val="auto"/>
        </w:rPr>
        <w:t>. Any amendment of the above provisions in our Certificate of Incorporation requires approval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at least two-thirds of our outstanding Common Stock, provided that if two-thirds of our board of directors approves such an amendment, then only the approval of a majority of holders is required.</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Issuance of Preferred Stock</w:t>
      </w:r>
      <w:r>
        <w:rPr>
          <w:rFonts w:ascii="Arial" w:cs="Arial" w:eastAsia="Arial" w:hAnsi="Arial"/>
          <w:sz w:val="18"/>
          <w:szCs w:val="18"/>
          <w:color w:val="auto"/>
        </w:rPr>
        <w:t>. Our board of directors has the authority, without further action by the stockholders, to issue up to 10,000,000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merger, tender offer, proxy contest or other means.</w:t>
      </w:r>
    </w:p>
    <w:p>
      <w:pPr>
        <w:spacing w:after="0" w:line="92"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Choice of forum</w:t>
      </w:r>
      <w:r>
        <w:rPr>
          <w:rFonts w:ascii="Arial" w:cs="Arial" w:eastAsia="Arial" w:hAnsi="Arial"/>
          <w:sz w:val="17"/>
          <w:szCs w:val="17"/>
          <w:color w:val="auto"/>
        </w:rPr>
        <w:t>. Our Certificate of Incorporation provides that the Court of Chancery of the State of Delaware is the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In addition, our Bylaws also provide that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federal district courts of the United States is the exclusive forum for the resolution of any complaint asserting a cause of action arising under the Securities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transfer agent and registrar for our Common Stock is Equiniti Trust Company, LLC (previously known as American Stock Transfer &amp; Trust Company LLC). The transfer agent’s address is 6201 15th Avenue, Brooklyn, New York 11219, and its telephone number is (800) 937-5449.</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Capital Market under the symbol “AGLE.”</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760"/>
          </w:cols>
          <w:pgMar w:left="320" w:top="459" w:right="81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Certain legal matters, including the legality of the securities offered, has been passed upon for us by Gibson, Dunn &amp; Crutcher LLP, San Francisco, California. Additional legal matters may be passed upon for us or any underwriters, dealers or agents, by counsel that we will name in the applicable prospectus supplement.</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820"/>
          </w:cols>
          <w:pgMar w:left="320" w:top="459" w:right="7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financial statements of Aeglea BioTherapeutics, Inc. as of December 31, 2022 and 2021 and for each of the three years in the period ended December 31, 2022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audited Statement of Assets Acquired and Liabilities Assumed from Spyre Therapeutics, Inc. by Aeglea BioTherapeutics, Inc., as of June 22, 2023 included in this prospectus have been so included in reliance on the report (which contains an emphasis of matter relating to the basis of presentation as described in Note 1 and an explanatory paragraph relating to the Company’s ability to continue as a going concern as described in Note 1 to the financial statement) of PricewaterhouseCoopers LLP, an independent registered public accounting firm, given on the authority of said firm as experts in auditing and accounting.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are subject to the informational requirements of the Exchange Act and are required to file annual, quarterly and other reports, proxy statements and other information with the SEC. The SEC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various other information about us.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Information about us is also available at our website at http://www.aeglea.com.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have filed a registration statement on Form S-1 with the SEC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60"/>
          </w:cols>
          <w:pgMar w:left="320" w:top="459" w:right="5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7"/>
            <w:vMerge w:val="restart"/>
          </w:tcPr>
          <w:p>
            <w:pPr>
              <w:spacing w:after="0"/>
              <w:rPr>
                <w:sz w:val="20"/>
                <w:szCs w:val="20"/>
                <w:color w:val="auto"/>
              </w:rPr>
            </w:pPr>
            <w:r>
              <w:rPr>
                <w:rFonts w:ascii="Arial" w:cs="Arial" w:eastAsia="Arial" w:hAnsi="Arial"/>
                <w:sz w:val="18"/>
                <w:szCs w:val="18"/>
                <w:i w:val="1"/>
                <w:iCs w:val="1"/>
                <w:color w:val="auto"/>
              </w:rPr>
              <w:t>Consolidated Financial Statements for each of the three years in the period ended December 31, 2022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2"/>
        </w:trPr>
        <w:tc>
          <w:tcPr>
            <w:tcW w:w="10560" w:type="dxa"/>
            <w:vAlign w:val="bottom"/>
            <w:gridSpan w:val="17"/>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00" w:type="dxa"/>
            <w:vAlign w:val="bottom"/>
            <w:gridSpan w:val="16"/>
          </w:tcPr>
          <w:p>
            <w:pPr>
              <w:spacing w:after="0" w:line="190" w:lineRule="exact"/>
              <w:rPr>
                <w:sz w:val="20"/>
                <w:szCs w:val="20"/>
                <w:color w:val="auto"/>
              </w:rPr>
            </w:pPr>
            <w:r>
              <w:rPr>
                <w:rFonts w:ascii="Arial" w:cs="Arial" w:eastAsia="Arial" w:hAnsi="Arial"/>
                <w:sz w:val="18"/>
                <w:szCs w:val="18"/>
                <w:color w:val="0000EE"/>
              </w:rPr>
              <w:t>Report of Independent Registered Public Accounting Firm (ID 238 PricewaterhouseCoopers LLP)</w:t>
            </w:r>
          </w:p>
        </w:tc>
        <w:tc>
          <w:tcPr>
            <w:tcW w:w="80" w:type="dxa"/>
            <w:vAlign w:val="bottom"/>
          </w:tcPr>
          <w:p>
            <w:pPr>
              <w:spacing w:after="0"/>
              <w:rPr>
                <w:sz w:val="16"/>
                <w:szCs w:val="16"/>
                <w:color w:val="auto"/>
              </w:rPr>
            </w:pPr>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08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31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Arial" w:cs="Arial" w:eastAsia="Arial" w:hAnsi="Arial"/>
                <w:sz w:val="18"/>
                <w:szCs w:val="18"/>
                <w:color w:val="0000EE"/>
              </w:rPr>
              <w:t>Consolidated Statements of Operations</w:t>
            </w:r>
          </w:p>
        </w:tc>
        <w:tc>
          <w:tcPr>
            <w:tcW w:w="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Consolidated Statements of Comprehensive Loss</w:t>
            </w:r>
          </w:p>
        </w:tc>
        <w:tc>
          <w:tcPr>
            <w:tcW w:w="666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Consolidated Statements of Changes in Stockholders’ Equity</w:t>
            </w:r>
          </w:p>
        </w:tc>
        <w:tc>
          <w:tcPr>
            <w:tcW w:w="58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10960" w:type="dxa"/>
            <w:vAlign w:val="bottom"/>
            <w:gridSpan w:val="19"/>
          </w:tcPr>
          <w:p>
            <w:pPr>
              <w:jc w:val="center"/>
              <w:spacing w:after="0"/>
              <w:rPr>
                <w:sz w:val="20"/>
                <w:szCs w:val="20"/>
                <w:color w:val="auto"/>
              </w:rPr>
            </w:pPr>
            <w:r>
              <w:rPr>
                <w:rFonts w:ascii="Arial" w:cs="Arial" w:eastAsia="Arial" w:hAnsi="Arial"/>
                <w:sz w:val="18"/>
                <w:szCs w:val="18"/>
                <w:b w:val="1"/>
                <w:bCs w:val="1"/>
                <w:color w:val="auto"/>
              </w:rPr>
              <w:t>INDEX TO STATEMENT OF ASSETS ACQUIRED AND LIABILITIES ASSUMED FROM SPYRE THERAPEUTICS, INC. BY AEGLEA</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0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BIOTHERAPEUTICS,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60" w:type="dxa"/>
            <w:vAlign w:val="bottom"/>
            <w:gridSpan w:val="17"/>
            <w:vMerge w:val="restart"/>
          </w:tcPr>
          <w:p>
            <w:pPr>
              <w:spacing w:after="0"/>
              <w:rPr>
                <w:sz w:val="20"/>
                <w:szCs w:val="20"/>
                <w:color w:val="auto"/>
              </w:rPr>
            </w:pPr>
            <w:r>
              <w:rPr>
                <w:rFonts w:ascii="Arial" w:cs="Arial" w:eastAsia="Arial" w:hAnsi="Arial"/>
                <w:sz w:val="18"/>
                <w:szCs w:val="18"/>
                <w:i w:val="1"/>
                <w:iCs w:val="1"/>
                <w:color w:val="auto"/>
                <w:w w:val="96"/>
              </w:rPr>
              <w:t>Statement of Assets Acquired and Liabilities Assumed from Spyre Therapeutics, Inc. by Aeglea BioTherapeutics, Inc. as of June 22, 2023</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gridSpan w:val="17"/>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00" w:type="dxa"/>
            <w:vAlign w:val="bottom"/>
            <w:gridSpan w:val="16"/>
          </w:tcPr>
          <w:p>
            <w:pPr>
              <w:spacing w:after="0" w:line="190" w:lineRule="exact"/>
              <w:rPr>
                <w:sz w:val="20"/>
                <w:szCs w:val="20"/>
                <w:color w:val="auto"/>
              </w:rPr>
            </w:pPr>
            <w:r>
              <w:rPr>
                <w:rFonts w:ascii="Arial" w:cs="Arial" w:eastAsia="Arial" w:hAnsi="Arial"/>
                <w:sz w:val="18"/>
                <w:szCs w:val="18"/>
                <w:color w:val="0000EE"/>
              </w:rPr>
              <w:t>Report of Independent Registered Public Accounting Firm (ID 238 PricewaterhouseCoopers LLP)</w:t>
            </w:r>
          </w:p>
        </w:tc>
        <w:tc>
          <w:tcPr>
            <w:tcW w:w="40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F-33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5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1"/>
              </w:rPr>
              <w:t>Statement of Assets Acquired and Liabilities Assumed from Spyre Therapeutics, Inc. by Aeglea BioTherapeutics, Inc.</w:t>
            </w:r>
          </w:p>
        </w:tc>
        <w:tc>
          <w:tcPr>
            <w:tcW w:w="1680" w:type="dxa"/>
            <w:vAlign w:val="bottom"/>
            <w:gridSpan w:val="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1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Notes to Statement of Assets Acquired and Liabilities Assumed from Spyre Therapeutics, Inc. by Aeglea BioTherapeutics, Inc.</w:t>
            </w:r>
          </w:p>
        </w:tc>
        <w:tc>
          <w:tcPr>
            <w:tcW w:w="104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668"/>
        </w:trPr>
        <w:tc>
          <w:tcPr>
            <w:tcW w:w="360" w:type="dxa"/>
            <w:vAlign w:val="bottom"/>
          </w:tcPr>
          <w:p>
            <w:pPr>
              <w:spacing w:after="0"/>
              <w:rPr>
                <w:sz w:val="24"/>
                <w:szCs w:val="24"/>
                <w:color w:val="auto"/>
              </w:rPr>
            </w:pPr>
          </w:p>
        </w:tc>
        <w:tc>
          <w:tcPr>
            <w:tcW w:w="10200" w:type="dxa"/>
            <w:vAlign w:val="bottom"/>
            <w:gridSpan w:val="16"/>
          </w:tcPr>
          <w:p>
            <w:pPr>
              <w:jc w:val="center"/>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17"/>
            <w:vMerge w:val="restart"/>
          </w:tcPr>
          <w:p>
            <w:pPr>
              <w:spacing w:after="0"/>
              <w:rPr>
                <w:sz w:val="20"/>
                <w:szCs w:val="20"/>
                <w:color w:val="auto"/>
              </w:rPr>
            </w:pPr>
            <w:r>
              <w:rPr>
                <w:rFonts w:ascii="Arial" w:cs="Arial" w:eastAsia="Arial" w:hAnsi="Arial"/>
                <w:sz w:val="18"/>
                <w:szCs w:val="18"/>
                <w:i w:val="1"/>
                <w:iCs w:val="1"/>
                <w:color w:val="auto"/>
              </w:rPr>
              <w:t>Unaudited Condensed Consolidated Financial Statements for the three and nine months ended September 30, 2023</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gridSpan w:val="17"/>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00" w:type="dxa"/>
            <w:vAlign w:val="bottom"/>
            <w:gridSpan w:val="16"/>
          </w:tcPr>
          <w:p>
            <w:pPr>
              <w:spacing w:after="0" w:line="190" w:lineRule="exact"/>
              <w:rPr>
                <w:sz w:val="20"/>
                <w:szCs w:val="20"/>
                <w:color w:val="auto"/>
              </w:rPr>
            </w:pPr>
            <w:r>
              <w:rPr>
                <w:rFonts w:ascii="Arial" w:cs="Arial" w:eastAsia="Arial" w:hAnsi="Arial"/>
                <w:sz w:val="18"/>
                <w:szCs w:val="18"/>
                <w:color w:val="0000EE"/>
              </w:rPr>
              <w:t>Condensed Consolidated Balance Sheets</w:t>
            </w:r>
          </w:p>
        </w:tc>
        <w:tc>
          <w:tcPr>
            <w:tcW w:w="40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w:t>
            </w:r>
          </w:p>
        </w:tc>
        <w:tc>
          <w:tcPr>
            <w:tcW w:w="654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Condensed Consolidated Statements of Comprehensive Loss</w:t>
            </w:r>
          </w:p>
        </w:tc>
        <w:tc>
          <w:tcPr>
            <w:tcW w:w="5820" w:type="dxa"/>
            <w:vAlign w:val="bottom"/>
            <w:gridSpan w:val="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Condensed Consolidated Statements of Changes in Convertible Preferred Stock and Stockholders’ (Deficit) Equity</w:t>
            </w:r>
          </w:p>
        </w:tc>
        <w:tc>
          <w:tcPr>
            <w:tcW w:w="192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700" w:type="dxa"/>
            <w:vAlign w:val="bottom"/>
            <w:gridSpan w:val="8"/>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Arial" w:cs="Arial" w:eastAsia="Arial" w:hAnsi="Arial"/>
                <w:sz w:val="18"/>
                <w:szCs w:val="18"/>
                <w:color w:val="0000EE"/>
              </w:rPr>
              <w:t>Notes to Unaudited Condensed Consolidated Financial Statements</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F-47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420" w:type="dxa"/>
            <w:vAlign w:val="bottom"/>
            <w:gridSpan w:val="5"/>
          </w:tcPr>
          <w:p>
            <w:pPr>
              <w:jc w:val="center"/>
              <w:ind w:right="4700"/>
              <w:spacing w:after="0"/>
              <w:rPr>
                <w:sz w:val="20"/>
                <w:szCs w:val="20"/>
                <w:color w:val="auto"/>
              </w:rPr>
            </w:pPr>
            <w:r>
              <w:rPr>
                <w:rFonts w:ascii="Arial" w:cs="Arial" w:eastAsia="Arial" w:hAnsi="Arial"/>
                <w:sz w:val="18"/>
                <w:szCs w:val="18"/>
                <w:color w:val="auto"/>
                <w:w w:val="88"/>
              </w:rPr>
              <w:t>F-1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Aeglea BioTherapeutics,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Aeglea BioTherapeutics, Inc. and its subsidiaries (the “Company”) as of December 31, 2022 and 2021, and the related consolidated statements of operations, of comprehensive loss, of changes in stockholders’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not generated any product revenues and has not achieved profitable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hanging="4"/>
        <w:spacing w:after="0" w:line="263" w:lineRule="auto"/>
        <w:tabs>
          <w:tab w:leader="none" w:pos="3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Accrued Contracted Research and Development Costs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described in Notes 2 and 6 to the consolidated financial statements, the Company has entered into various agreements with contract research organizations (CROs), contract manufacturing organizations (CMOs), and other outside service providers. Management records accruals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Company’s research and development expense for the year ended December 31, 2022 was $59 million, a portion of which relates to contracted research and development costs. Within accrued and other current liabilities, management has accrued $7 million of contracted research and development costs as of December 31, 2022.</w:t>
      </w:r>
    </w:p>
    <w:p>
      <w:pPr>
        <w:spacing w:after="0" w:line="16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principal consideration for our determination that performing procedures relating to accrued contracted research and development costs is a critical audit matter is a high degree of auditor effort in performing procedures related to management’s estimate of the accrued contracted research and development costs.</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also included, among others (i) testing management’s process for estimating accrued contracted research and development costs, (ii) testing the completeness and accuracy of the data used to develop the estimate, (iii) testing the completeness and accuracy of costs incurred, on a sample basis, by tracing information to the underlying contracts, purchase orders, invoices and information received from certain third party service providers, where applicable, and (iv) evaluating the reasonableness of the estimated costs incurred for the services which have not been invoiced by tracing to underlying supporting documentation, such as underlying contracts, purchase orders and information received from certain third party service, providers, where applicable.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March 2, 2023, except for the effects of the reverse stock split discussed in Note 14 to the consolidated financial statements, as to which the date is November 15, 2023</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2014.</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ind w:left="51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34,863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15,142</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20,848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77,986</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receivable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4,948</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98,891</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1,838</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4,549</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3,806</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109,926</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ind w:left="35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3,319</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2,359</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14,030</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20,144</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4,608</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25,985</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rPr>
              <w:t>Preferred stock, $0.0001 par value; 10,000,000 shares authorized as of</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80" w:type="dxa"/>
            <w:vAlign w:val="bottom"/>
          </w:tcPr>
          <w:p>
            <w:pPr>
              <w:ind w:left="540"/>
              <w:spacing w:after="0"/>
              <w:rPr>
                <w:sz w:val="20"/>
                <w:szCs w:val="20"/>
                <w:color w:val="auto"/>
              </w:rPr>
            </w:pPr>
            <w:r>
              <w:rPr>
                <w:rFonts w:ascii="Arial" w:cs="Arial" w:eastAsia="Arial" w:hAnsi="Arial"/>
                <w:sz w:val="18"/>
                <w:szCs w:val="18"/>
                <w:color w:val="auto"/>
              </w:rPr>
              <w:t>December 31, 2022 and 2021; no shares issued and outstanding as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December 31, 2022 and 2021</w:t>
            </w:r>
          </w:p>
        </w:tc>
        <w:tc>
          <w:tcPr>
            <w:tcW w:w="100" w:type="dxa"/>
            <w:vAlign w:val="bottom"/>
          </w:tcPr>
          <w:p>
            <w:pPr>
              <w:spacing w:after="0"/>
              <w:rPr>
                <w:sz w:val="20"/>
                <w:szCs w:val="20"/>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$0.0001 par value; 20,000,000 shares authorized as of</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2022 and 2021, 2,614,013 shares and 1,974,205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issued and outstanding as of December 31, 2022 and 2021,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475,971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425,765</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(425,624)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(341,809)</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83,941</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109,926</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License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12,000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fee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2,329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6,739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58,579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57,069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59,638</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28,531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27,319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21,843</w:t>
            </w:r>
          </w:p>
        </w:tc>
      </w:tr>
      <w:tr>
        <w:trPr>
          <w:trHeight w:val="230"/>
        </w:trPr>
        <w:tc>
          <w:tcPr>
            <w:tcW w:w="6020" w:type="dxa"/>
            <w:vAlign w:val="bottom"/>
          </w:tcPr>
          <w:p>
            <w:pPr>
              <w:ind w:left="1080"/>
              <w:spacing w:after="0"/>
              <w:rPr>
                <w:sz w:val="20"/>
                <w:szCs w:val="20"/>
                <w:color w:val="auto"/>
              </w:rPr>
            </w:pPr>
            <w:r>
              <w:rPr>
                <w:rFonts w:ascii="Arial" w:cs="Arial" w:eastAsia="Arial" w:hAnsi="Arial"/>
                <w:sz w:val="18"/>
                <w:szCs w:val="18"/>
                <w:color w:val="auto"/>
              </w:rPr>
              <w:t>Total operating expenses</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84,388</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81,481</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(65,649)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(81,481)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593</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other income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588</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(65,660)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(80,893)</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(65,801</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(25.02)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(37.89)</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w w:val="87"/>
              </w:rPr>
              <w:t>3,371,231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w w:val="89"/>
              </w:rPr>
              <w:t>2,629,784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2,134,869</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$(83,815)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$(65,801)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(80,893)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Unrealized gain (loss) on marketable securities</w:t>
            </w:r>
          </w:p>
        </w:tc>
        <w:tc>
          <w:tcPr>
            <w:tcW w:w="2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r>
      <w:tr>
        <w:trPr>
          <w:trHeight w:val="27"/>
        </w:trPr>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(83,843)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(65,832)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(80,933)</w:t>
            </w:r>
          </w:p>
        </w:tc>
      </w:tr>
      <w:tr>
        <w:trPr>
          <w:trHeight w:val="20"/>
        </w:trPr>
        <w:tc>
          <w:tcPr>
            <w:tcW w:w="6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0" w:type="dxa"/>
            <w:vAlign w:val="bottom"/>
            <w:gridSpan w:val="4"/>
            <w:vMerge w:val="restart"/>
          </w:tcPr>
          <w:p>
            <w:pPr>
              <w:jc w:val="center"/>
              <w:ind w:left="251"/>
              <w:spacing w:after="0"/>
              <w:rPr>
                <w:sz w:val="20"/>
                <w:szCs w:val="20"/>
                <w:color w:val="auto"/>
              </w:rPr>
            </w:pPr>
            <w:r>
              <w:rPr>
                <w:rFonts w:ascii="Arial" w:cs="Arial" w:eastAsia="Arial" w:hAnsi="Arial"/>
                <w:sz w:val="14"/>
                <w:szCs w:val="14"/>
                <w:b w:val="1"/>
                <w:bCs w:val="1"/>
                <w:color w:val="auto"/>
                <w:w w:val="95"/>
              </w:rPr>
              <w:t>Common</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74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7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2"/>
            <w:vMerge w:val="restart"/>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9"/>
                <w:szCs w:val="9"/>
                <w:color w:val="auto"/>
              </w:rPr>
            </w:pPr>
          </w:p>
        </w:tc>
        <w:tc>
          <w:tcPr>
            <w:tcW w:w="13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7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(Loss) Income</w:t>
            </w:r>
          </w:p>
        </w:tc>
        <w:tc>
          <w:tcPr>
            <w:tcW w:w="1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Balances—December 31, 2019</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1,163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3</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$255,142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(195,115)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Issuance of common stock and pre-funded warrants in</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connection with public and at-the-market offerings, net of</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offering costs</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86"/>
              </w:rPr>
              <w:t>747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153,570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153,572</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exercise of</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 with employee</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(80,893)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(80,893)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Balances—December 31, 2020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1,918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415,824</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(276,008)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139,832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Issuance of common stock in connection with exercise of</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pre-funded warrants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exercise of</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 with employee</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(65,801)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(65,801)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Balances—December 31, 2021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1,974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425,765</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(341,809)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Issuance of common stock and pre-funded warrants in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connection with registered direct offering, net of offering</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costs</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w w:val="86"/>
              </w:rPr>
              <w:t>430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42,873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42,874</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exercise of</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pre-funded warrants</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204</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 with employee</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(83,815)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(83,815)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Balances—December 31, 2022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2,614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475,971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(425,624)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50,305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(83,815)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(65,801)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(80,893)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7,111</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8,038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6,256</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Purchase net (premium) discount on marketable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of premium (accretion of discount) on marketable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Non-cash operating lease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Development receivable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(2,641)</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Accrued and other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(1,146)</w:t>
            </w:r>
          </w:p>
        </w:tc>
      </w:tr>
      <w:tr>
        <w:trPr>
          <w:trHeight w:val="27"/>
        </w:trPr>
        <w:tc>
          <w:tcPr>
            <w:tcW w:w="7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(80,144)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(75,775)</w:t>
            </w: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(39,500)</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(133,079)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(129,000)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sales of marketable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96,546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111,033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125,676</w:t>
            </w:r>
          </w:p>
        </w:tc>
      </w:tr>
      <w:tr>
        <w:trPr>
          <w:trHeight w:val="230"/>
        </w:trPr>
        <w:tc>
          <w:tcPr>
            <w:tcW w:w="7020" w:type="dxa"/>
            <w:vAlign w:val="bottom"/>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(22,619)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12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rPr>
              <w:t>Proceeds from issuance of common stock and pre-funded warrants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in registered direct offering, net of offering costs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42,874</w:t>
            </w: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153,716</w:t>
            </w: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employee stock plan purchases and stock option</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exercises</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Principal payments on finance lease obligation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7"/>
        </w:trPr>
        <w:tc>
          <w:tcPr>
            <w:tcW w:w="7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154,512</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INCREASE IN CASH, CASH EQUIVALENTS, AND</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19,436</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(74,957)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71,184</w:t>
            </w: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16,980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20,753</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End of period</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36,416</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91,937</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70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Information:</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Leased assets obtained in exchange for lease obligations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Unpaid amounts related to purchase of property and equipment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Aeglea BioTherapeutics, Inc. (“Aeglea” or the “Company”) is a clinical-stage biotechnology company developing human enzyme therapeutics to benefit people with rare metabolic diseases. The Company was formed as a Limited Liability Company (LLC) in Delaware on December 16, 2013 under the name Aeglea BioTherapeutics Holdings, LLC and was converted from a Delaware LLC to a Delaware corporation on March 10, 2015. The Company operates in one segment and has its principal offices in Austin, Texas.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December 31, 2022, the Company had working capital of $47.6 million, an accumulated deficit of $425.6 million, and cash, cash equivalents, marketable securities, and restricted cash of $57.3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accordance with ASC 205-40, Going Concern, the Company has evaluated whether there are conditions and events, considered in the aggregate, that raise substantial doubt about the Company’s ability to continue as a going concern within one year after the date the financial statements included in this Annual Report on Form 10-K are issued. Based upon the Company’s current operating plans, the Company believes that it has sufficient resources to fund operations into the fourth quarter of 2023 with its existing cash, cash equivalents, and marketable securities. Accordingly, based on its recurring losses from operations incurred since inception, the expectation of continued operating losses, and the need to raise additional capital to finance its future operations, the Company determined that there is substantial doubt about the Company’s ability to continue as a going concern within twelve months of the issuance date of these financial statements. The accompanying consolidated financial statements do not include any adjustments that might result from the outcome of this uncertainty and assumes the Company will continue as a going concern through the realization of assets and satisfaction of liabilities and commitments in the ordinary course of business. The Company plans to address this condition through the sale of common stock in public offerings and/or private placements, debt financings, or through other capital sources, including collaborations with other companies or other strategic transactions.</w:t>
      </w:r>
    </w:p>
    <w:p>
      <w:pPr>
        <w:spacing w:after="0" w:line="182"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of its research and development programs or commercialization activities, which could materially adversely affect its business prospects or its ability to continue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consolidated financial statements have been prepared in conformity with generally accepted accounting principles in the United States (“U.S. GAAP”) as defined by the Financial Accounting Standards Board (“FASB”) and include the accounts of the Company and its wholly owned subsidiaries. All intercompany balances and transactions have been eliminated in consolidation.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Management bases its estimates on historical experience and on various other market-specific and relevant assumptions that management believes to be reasonable under the circumstances, the results of which form the basis for making judgements about the carrying value of assets, liabilities, and equity and the amount of revenues and expenses. Estimates are used in accounting for, among other items, accrued research and development costs and revenue recognition. Actual results could differ materially from those estimates.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money market funds and debt securities and are stated at fair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All investments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The Company may hold securities with stated maturities greater than one year until maturity. All available-for-sale securities are considered available to support current operations and are classified as current assets. The Company presents credit losses as an allowance rather than as a reduction in the amortized cost of the available-for-sale securities.</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results of operations. For available-for-sale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an allowance is recorded for the difference between the present value of cash flows expected to be collected and the amortized cost basis of the security. Impairment losses attributable to credit loss factors are charged against the allowance when management believes an available-for-sale security is uncollectible or when either of the criteria regarding intent or requirement to sell is met.</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unrealized losses from declines in fair value below the amortized cost basis as a result of non-credit loss factors is recognized as a component of accumulated other comprehensive (loss) income, along with unrealized gains. Realized gains and losses and declines in fair value, if any, on available-for-sale securities are included in other income (expense) in the results of operations. The cost of securities sold is based on the specific-identification method.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Restricted cash consists of money market accounts held by financial institutions as collateral for the Company’s obligations under a credit agreement and a facility lease for the Company’s corporate headquarters in Austin, Texas.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marketable securities, and restricted cash. The Company’s investment policy limits investments to high credit quality securities issued by the U.S. government, U.S. government-sponsored agencies, highly rated banks, and corporate issuers, subject to certain concentration limits and restrictions on maturities. The Company’s cash, cash equivalents, marketable securities, and restricted cash are held by financial institutions that management believes are of high credit quality. Amounts on deposit may at times exceed federally insured limits. The Company has not experienced any losses on its deposits of cash, cash equivalents, and restricted cash and its accounts are monitored by management to mitigate risk. The Company is exposed to credit risk in the event of default by the financial institutions holding its cash, cash equivalents, and restricted cash, and bond issuers.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are computed using the straight-line method over the estimated useful lives of the assets. Repairs and maintenance that do not extend the life or improve an asset are expensed as incurred. Upon retirement or sale, the cost of disposed assets and their related accumulated depreciation and amortization are removed from the balance sheet. Any gain or loss is credited or charged to operations.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useful lives of the property and equipment are as follows:</w:t>
      </w:r>
    </w:p>
    <w:p>
      <w:pPr>
        <w:sectPr>
          <w:pgSz w:w="11900" w:h="16838" w:orient="portrait"/>
          <w:cols w:equalWidth="0" w:num="1">
            <w:col w:w="11100"/>
          </w:cols>
          <w:pgMar w:left="320" w:top="459" w:right="47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Laboratory equipment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Furniture and office equipment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Computer equipment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remaining lease term or estimated useful life</w:t>
      </w:r>
    </w:p>
    <w:p>
      <w:pPr>
        <w:spacing w:after="0" w:line="222"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Long-lived assets are reviewed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An impairment loss is recognized to the extent an asset group is not recoverable, and the carrying amount exceeds the fair value. There were no impairments of long-lived assets for the years ended December 31, 2022, 2021, and 2020.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records the costs associated with research nonclinical studies, clinical trials,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and manufacturing organizations.</w:t>
      </w:r>
    </w:p>
    <w:p>
      <w:pPr>
        <w:spacing w:after="0" w:line="14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accrues for expenses resulting from obligations under agreements with contract research organizations (“CROs”), contract manufacturing organizations (“CMOs”), and other outside service providers for which payment flows do not match the periods over which materials or services are provided to the Company. Accruals are recorded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makes significant judgments and estimates in determining the accrual balance in each reporting period. In the event advance payments are made to a CRO, CMO, or outside service provider, the payments will be recorded as a prepaid asset which will be amortized as the contracted services are performed. As actual costs become known, the Company adjusts its accruals. Inputs, such as the services performed, the number of patients enrolled, or the study duration, may vary from the Company’s estimates, resulting in adjustments to research and development expense in future periods. Changes in these estimates that result in material changes to the Company’s accruals could materially affect the Company’s results of operations. Historically, the Company has not experienced any material deviations between accrued and actual research and development expenses.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Company determines if an arrangement is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As the Company’s leases do not provide an implicit rate, the Company uses its incremental borrowing rate based on the information available at the lease commencement date in determining the present value of future lease payments. To determine the incremental borrowing rate, the Company uses the lease-term appropriate current treasury bond rates adjusted for collateral and inflation risks combined with quoted bank financing rates. The ROU asset is based on the measurement of the lease liability and also includes any lease payments made prior to or on lease commencement and excludes lease incentives and initial direct costs incurred, as applicable. The lease terms may include options to extend or terminate the lease when it is reasonably certain the Company will exercise any such options. Rent expense for the Company’s operating leases is recognized on a straight-line basis over the lease term. Amortization expense for the ROU asset associated with its finance leases is recognized on a straight-line basis over the term of the lease and interest expense associated with its finance leases is recognized on the balance of the lease liability using the effective interest method based on the estimated incremental borrowing rate.</w:t>
      </w:r>
    </w:p>
    <w:p>
      <w:pPr>
        <w:spacing w:after="0" w:line="18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has lease agreements with lease and non-lease components. As allowed under Topic 842, the Company has elected to not separate lease and non-lease components for any leases involving real estate and office equipment classes of assets and, as a result, accounts for the lease and non-lease components as a single lease component. The Company has also elected to not apply the recognition requirement of Topic 842 to leases with a term of 12 months or less for all classes of assets.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 uses fair value measurements to record fair value adjustments to certain financial and non-financial assets and liabilities and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252"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117" w:lineRule="exact"/>
        <w:rPr>
          <w:sz w:val="20"/>
          <w:szCs w:val="20"/>
          <w:color w:val="auto"/>
        </w:rPr>
      </w:pPr>
    </w:p>
    <w:p>
      <w:pPr>
        <w:ind w:left="1560" w:right="80" w:hanging="1443"/>
        <w:spacing w:after="0" w:line="308"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38" w:lineRule="exact"/>
        <w:rPr>
          <w:sz w:val="20"/>
          <w:szCs w:val="20"/>
          <w:color w:val="auto"/>
        </w:rPr>
      </w:pPr>
    </w:p>
    <w:p>
      <w:pPr>
        <w:ind w:left="1560" w:right="860" w:hanging="1443"/>
        <w:spacing w:after="0" w:line="342" w:lineRule="auto"/>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Valuations based on unobservable inputs to the valuation methodology and including data about assumptions that market participants would use in pricing the asset or liability based on the best information available under the circumstances.</w:t>
      </w:r>
    </w:p>
    <w:p>
      <w:pPr>
        <w:spacing w:after="0" w:line="12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Financial instruments carried at fair value include cash, cash equivalents, marketable securities, and restricted cash. The carrying amounts of accounts payable and accrued liabilities approximate fair value due to their relatively short maturities.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Under ASC Topic 606, “Revenue from Contracts with Customers”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w:t>
      </w:r>
    </w:p>
    <w:p>
      <w:pPr>
        <w:spacing w:after="0" w:line="2" w:lineRule="exact"/>
        <w:rPr>
          <w:sz w:val="20"/>
          <w:szCs w:val="20"/>
          <w:color w:val="auto"/>
        </w:rPr>
      </w:pPr>
    </w:p>
    <w:p>
      <w:pPr>
        <w:ind w:left="120" w:right="200" w:hanging="4"/>
        <w:spacing w:after="0" w:line="255"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assesses its license arrangements within the scope of Topic 606 in accordance with this framework as follows: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are separable from the other aspects of the contractual relationship. In assessing whether a promised good or service is distinct, and therefore a performance obligation, the Company considers factors such as the research, stage of development of the licensed product, manufacturing and commercialization capabilities of the customer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is required to combine that good or service with other promised goods or services until it identifies a bundle of goods or services that is distinct.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transaction price is determined and allocated to the identified performance obligations in proportion to their stand-alone selling prices (“SSP”) on a relative SSP basis. SSP is based on observable prices of the performance obligations or, when such prices are not observable, are estimated. The estimation of SSP may include factors such as forecasted revenues or costs, development timelines, discount rates, probabilities of technical and regulatory success, and considerations such as market conditions and entity-specific factors. In certain circumstances, the Company may apply the residual method to determine the SSP of a good or service if the SSP is considered highly variable or uncertain.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amount of estimated variable consideration in the transaction price to the extent that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 arrangement includes development, regulatory or commercial milestone payments, the Company evaluates whether the milestones are considered likely of being reached and estimates the amount to be included in the transaction price using the most likely amount method. If it is probable that a significant cumulative revenue reversal would not occur, the associated milestone value is included in the transaction price. Milestone payments that are not within the Company’s control or the licensee’s control, such as regulatory approvals, are generally not considered likely of being achieved until those approvals are received.</w:t>
      </w:r>
    </w:p>
    <w:p>
      <w:pPr>
        <w:spacing w:after="0" w:line="18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 and the transfer of the promised goods or services to the licensees will be one year or less.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95" w:lineRule="exact"/>
        <w:rPr>
          <w:sz w:val="20"/>
          <w:szCs w:val="20"/>
          <w:color w:val="auto"/>
        </w:rPr>
      </w:pPr>
    </w:p>
    <w:p>
      <w:pPr>
        <w:jc w:val="both"/>
        <w:ind w:left="120" w:right="260" w:firstLine="440"/>
        <w:spacing w:after="0" w:line="342" w:lineRule="auto"/>
        <w:rPr>
          <w:sz w:val="20"/>
          <w:szCs w:val="20"/>
          <w:color w:val="auto"/>
        </w:rPr>
      </w:pPr>
      <w:r>
        <w:rPr>
          <w:rFonts w:ascii="Arial" w:cs="Arial" w:eastAsia="Arial" w:hAnsi="Arial"/>
          <w:sz w:val="16"/>
          <w:szCs w:val="16"/>
          <w:color w:val="auto"/>
        </w:rPr>
        <w:t>The Company recognizes as revenue the amount of the transaction price that is allocated to the respective performance obligation when (or as) each performance obligation is satisfied at a point in time or over time, and if over time, recognition is based on the use of an output or input method.</w:t>
      </w:r>
    </w:p>
    <w:p>
      <w:pPr>
        <w:spacing w:after="0" w:line="12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Company’s contracts may be modified for changes in the customer’s requirements. If contract modifications are for additional goods and services that are distinct from the existing contract, the modification will be accounted for as either a separate contract or a termination of the existing contract, depending on whether the additional goods or services reflects the SSP.</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the additional goods or services in a contract modification are not distinct from the existing contract, they are accounted for as if they were part of the original contract. The effect of the contract modification on the transaction price and the measure of progress for the performance obligation to which it relates is recognized as an adjustment to revenue on a cumulative catch-up basis. The cumulative catch-up adjustment is calculated using an updated measure of progress applied to the sum of (1) the remaining consideration allocated to the partially satisfied performance obligation and (2) the revenue already recognized on that performance obligation. The revenue recognized for fully satisfied goods or services and distinct from the remaining performance obligations is not altered by the modification.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Collaborative arrangements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Company analyzes its license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(“Topic 808”). This assessment is performed throughout the life of the arrangement based on changes in the responsibilities of all parties in the arrangement. For arrangements within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the scope of Topic 808 that contain multiple elements, the Company first determines which elements of the collaboration are deemed to be within the scope of Topic 808 and which elements of the collaboration are more reflective of a vendor-customer relationship and therefore within the scope of Topic 606. For elements of collaboration arrangements that are accounted for pursuant to Topic 808, an appropriate recognition method is determined and applied consistently, either by analogy to authoritative accounting literature or by applying a reasonable and rational policy election. For those elements of the arrangement that are accounted for pursuant to Topic 606, the Company applies the five-step model described above.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costs include, but are not limited to, salaries, benefits, travel, stock-based compensation, consulting costs, contract research service costs, laboratory supplies and facilities, contract manufacturing costs, and costs paid to other third parties that conduct research and development activities on the Company’s behalf. Amounts incurred in connection with license agreements are also included in research and development expense.</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Advance payments for goods or services to be rendered in the future for use in research and development activities are recorded as a prepaid asset and expensed as the related goods are delivered or the services are performed.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recognizes the cost of stock-based awards granted to employees and non-employees based on the estimated grant-date fair values of the awards. The fair values of stock options are estimated on the date of grant using the Black-Scholes option pricing model. The fair values of restricted stock units (“RSUs”) are based on the fair value of the Company’s common stock on the date of the grant. The value of the award is recognized as compensation expense on a straight-line basis over the requisite service period. Forfeitures are recognized when they occur, which may result in the reversal of compensation costs in subsequent periods as the forfeitures arise. Compensation expense for employee and non-employee share-based payment awards with performance conditions is recognized when the performance condition is deemed probable.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and its ten wholly owned subsidiary corporations use the asset and liability method of accounting for income taxes. Under this method, deferred tax assets and liabilities are recognized for the expected future tax consequences of temporary differences between the financial statements and the tax bases of assets and liabilities. Additionally, any changes in income tax laws are immediately recognized in the year of enactment.</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 valuation allowance is established against the deferred tax assets to reduce their carrying value to an amount that is more likely than not to be realized. The deferred tax assets and liabilities are classified as noncurrent along with the related valuation allowance. Due to a lack of earnings history, the net deferred tax assets have been fully offset by a valuation allowance.</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 technical merits, as the largest amount of benefits that is more likely than not to be realized upon the ultimate settlement. The Company’s policy is to recognize interest and penalties related to the unrecognized tax benefits as a component of income tax expense, if applicable. As of December 31, 2022 and 2021, the Company had no unrecognized tax benefits and there were no interest or penalties incurred by the Company in the years ended December 31, 2022, 2021, or 2020.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Comprehensive loss is the change in stockholders’ equity from transactions and other events and circumstances other than those resulting from investments by stockholders and distributions to stockholders. The Company’s other comprehensive income (loss) is currently comprised of changes in unrealized losses and gains on available-for-sale securities and foreign currency translation adjustments reflecting the cumulative effect of changes in exchange rates between the foreign entity’s functional currency and the reporting currency.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Company measures and reports certain financial instruments as assets and liabilities at fair value on a recurring basis. The following tables sets forth the fair value of the Company’s financial assets and liabilities at fair value on a recurring basis based on the three-tier fair value hierarchy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w w:val="96"/>
              </w:rPr>
              <w:t>December 31, 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140" w:type="dxa"/>
            <w:vAlign w:val="bottom"/>
            <w:gridSpan w:val="4"/>
          </w:tcPr>
          <w:p>
            <w:pPr>
              <w:jc w:val="right"/>
              <w:ind w:right="440"/>
              <w:spacing w:after="0"/>
              <w:rPr>
                <w:sz w:val="20"/>
                <w:szCs w:val="20"/>
                <w:color w:val="auto"/>
              </w:rPr>
            </w:pPr>
            <w:r>
              <w:rPr>
                <w:rFonts w:ascii="Arial" w:cs="Arial" w:eastAsia="Arial" w:hAnsi="Arial"/>
                <w:sz w:val="18"/>
                <w:szCs w:val="18"/>
                <w:color w:val="auto"/>
              </w:rPr>
              <w:t>$15,250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23,641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4,230</w:t>
            </w:r>
          </w:p>
        </w:tc>
        <w:tc>
          <w:tcPr>
            <w:tcW w:w="22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2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15,250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31,603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46,853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w w:val="99"/>
              </w:rPr>
              <w:t>December 31, 2021</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Level 1</w:t>
            </w:r>
          </w:p>
        </w:tc>
        <w:tc>
          <w:tcPr>
            <w:tcW w:w="82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140" w:type="dxa"/>
            <w:vAlign w:val="bottom"/>
            <w:gridSpan w:val="4"/>
          </w:tcPr>
          <w:p>
            <w:pPr>
              <w:jc w:val="right"/>
              <w:ind w:right="440"/>
              <w:spacing w:after="0"/>
              <w:rPr>
                <w:sz w:val="20"/>
                <w:szCs w:val="20"/>
                <w:color w:val="auto"/>
              </w:rPr>
            </w:pPr>
            <w:r>
              <w:rPr>
                <w:rFonts w:ascii="Arial" w:cs="Arial" w:eastAsia="Arial" w:hAnsi="Arial"/>
                <w:sz w:val="18"/>
                <w:szCs w:val="18"/>
                <w:color w:val="auto"/>
              </w:rPr>
              <w:t>$8,888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5"/>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65,412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12,574</w:t>
            </w:r>
          </w:p>
        </w:tc>
        <w:tc>
          <w:tcPr>
            <w:tcW w:w="22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20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77,986</w:t>
            </w:r>
          </w:p>
        </w:tc>
        <w:tc>
          <w:tcPr>
            <w:tcW w:w="6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86,874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measures the fair value of money market funds on quoted prices in active markets for identical asset or liabilities. The Level 2 assets include U.S. government agency securities, commercial paper and corporate bonds, and are valued based on quoted prices for similar assets in active markets and inputs other than quoted prices that are derived from observable market data.</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between Level 1 and Level 2 during the periods presented.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tables summarize the estimated fair value of the Company’s cash equivalents and marketable securities and the gross unrealized gains and losses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December 31, 2022</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Unrealized</w:t>
            </w:r>
          </w:p>
        </w:tc>
        <w:tc>
          <w:tcPr>
            <w:tcW w:w="34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740" w:type="dxa"/>
            <w:vAlign w:val="bottom"/>
            <w:gridSpan w:val="3"/>
          </w:tcPr>
          <w:p>
            <w:pPr>
              <w:jc w:val="right"/>
              <w:ind w:right="340"/>
              <w:spacing w:after="0"/>
              <w:rPr>
                <w:sz w:val="20"/>
                <w:szCs w:val="20"/>
                <w:color w:val="auto"/>
              </w:rPr>
            </w:pPr>
            <w:r>
              <w:rPr>
                <w:rFonts w:ascii="Arial" w:cs="Arial" w:eastAsia="Arial" w:hAnsi="Arial"/>
                <w:sz w:val="18"/>
                <w:szCs w:val="18"/>
                <w:color w:val="auto"/>
              </w:rPr>
              <w:t>$ 15,250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$ 15,250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7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3,736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26,005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40" w:type="dxa"/>
            <w:vAlign w:val="bottom"/>
          </w:tcPr>
          <w:p>
            <w:pPr>
              <w:ind w:left="1300"/>
              <w:spacing w:after="0"/>
              <w:rPr>
                <w:sz w:val="20"/>
                <w:szCs w:val="20"/>
                <w:color w:val="auto"/>
              </w:rPr>
            </w:pPr>
            <w:r>
              <w:rPr>
                <w:rFonts w:ascii="Arial" w:cs="Arial" w:eastAsia="Arial" w:hAnsi="Arial"/>
                <w:sz w:val="18"/>
                <w:szCs w:val="18"/>
                <w:color w:val="auto"/>
              </w:rPr>
              <w:t>F-16</w:t>
            </w: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December 31, 2022</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Gross</w:t>
            </w:r>
          </w:p>
        </w:tc>
        <w:tc>
          <w:tcPr>
            <w:tcW w:w="3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6"/>
              </w:rPr>
              <w:t>Losses</w:t>
            </w:r>
          </w:p>
        </w:tc>
        <w:tc>
          <w:tcPr>
            <w:tcW w:w="3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Marketable securities:</w:t>
            </w:r>
          </w:p>
        </w:tc>
        <w:tc>
          <w:tcPr>
            <w:tcW w:w="1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560" w:type="dxa"/>
            <w:vAlign w:val="bottom"/>
            <w:gridSpan w:val="5"/>
          </w:tcPr>
          <w:p>
            <w:pPr>
              <w:jc w:val="right"/>
              <w:ind w:right="300"/>
              <w:spacing w:after="0"/>
              <w:rPr>
                <w:sz w:val="20"/>
                <w:szCs w:val="20"/>
                <w:color w:val="auto"/>
              </w:rPr>
            </w:pPr>
            <w:r>
              <w:rPr>
                <w:rFonts w:ascii="Arial" w:cs="Arial" w:eastAsia="Arial" w:hAnsi="Arial"/>
                <w:sz w:val="18"/>
                <w:szCs w:val="18"/>
                <w:color w:val="auto"/>
              </w:rPr>
              <w:t>16,644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5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3,738</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600" w:type="dxa"/>
            <w:vAlign w:val="bottom"/>
            <w:gridSpan w:val="2"/>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25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$ 20,877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$ 20,848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4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rPr>
              <w:t>Gross</w:t>
            </w:r>
          </w:p>
        </w:tc>
        <w:tc>
          <w:tcPr>
            <w:tcW w:w="3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84"/>
              </w:rPr>
              <w:t>Unrealized</w:t>
            </w:r>
          </w:p>
        </w:tc>
        <w:tc>
          <w:tcPr>
            <w:tcW w:w="32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52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  8,888</w:t>
            </w: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  8,888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15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8,888</w:t>
            </w:r>
          </w:p>
        </w:tc>
        <w:tc>
          <w:tcPr>
            <w:tcW w:w="3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65,443</w:t>
            </w:r>
          </w:p>
        </w:tc>
        <w:tc>
          <w:tcPr>
            <w:tcW w:w="3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52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12,581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5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$ 78,024</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$ 77,986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following table summarizes the available-for-sale securities in an unrealized loss position for which an allowance for credit losses has not been recorded as of December 31, 2022 and 2021, aggregated by major security type and length of time in a continuous unrealized loss position:</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24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2"/>
                <w:szCs w:val="12"/>
                <w:color w:val="auto"/>
              </w:rPr>
            </w:pPr>
          </w:p>
        </w:tc>
        <w:tc>
          <w:tcPr>
            <w:tcW w:w="16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12 Months or Longer</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0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80" w:type="dxa"/>
            <w:vAlign w:val="bottom"/>
          </w:tcPr>
          <w:p>
            <w:pPr>
              <w:spacing w:after="0"/>
              <w:rPr>
                <w:sz w:val="10"/>
                <w:szCs w:val="10"/>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0"/>
                <w:szCs w:val="10"/>
                <w:color w:val="auto"/>
              </w:rPr>
            </w:pPr>
          </w:p>
        </w:tc>
        <w:tc>
          <w:tcPr>
            <w:tcW w:w="7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2"/>
              </w:rPr>
              <w:t>Losses</w:t>
            </w:r>
          </w:p>
        </w:tc>
        <w:tc>
          <w:tcPr>
            <w:tcW w:w="6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$ 17,699</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$ 17,699</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3,735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3,732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$ 25,166</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$ 25,166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24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2"/>
                <w:szCs w:val="12"/>
                <w:color w:val="auto"/>
              </w:rPr>
            </w:pPr>
          </w:p>
        </w:tc>
        <w:tc>
          <w:tcPr>
            <w:tcW w:w="16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12 Months or Longer</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0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80" w:type="dxa"/>
            <w:vAlign w:val="bottom"/>
          </w:tcPr>
          <w:p>
            <w:pPr>
              <w:spacing w:after="0"/>
              <w:rPr>
                <w:sz w:val="10"/>
                <w:szCs w:val="10"/>
                <w:color w:val="auto"/>
              </w:rPr>
            </w:pPr>
          </w:p>
        </w:tc>
        <w:tc>
          <w:tcPr>
            <w:tcW w:w="6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420" w:type="dxa"/>
            <w:vAlign w:val="bottom"/>
          </w:tcPr>
          <w:p>
            <w:pPr>
              <w:spacing w:after="0"/>
              <w:rPr>
                <w:sz w:val="10"/>
                <w:szCs w:val="10"/>
                <w:color w:val="auto"/>
              </w:rPr>
            </w:pPr>
          </w:p>
        </w:tc>
        <w:tc>
          <w:tcPr>
            <w:tcW w:w="7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2"/>
              </w:rPr>
              <w:t>Losses</w:t>
            </w:r>
          </w:p>
        </w:tc>
        <w:tc>
          <w:tcPr>
            <w:tcW w:w="6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$ 47,425</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$ 47,425</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Corporate bonds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12,573</w:t>
            </w: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12,573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$ 59,998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$ 59,998</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does not expect they will be required to sell the securities before recovery of the unamortized cost basis. As of December 31, 2022 and 2021, an allowance for credit losses had not been recognized. Given the Company’s intent and ability to hold such securities until recovery, and the lack of significant change in credit risk of these investments, the Company does not consider these marketable securities to be impaired as of December 31, 2022 and 2021.</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There were no realized gains or losses on marketable securities for the years ended December 31, 2022 and 2021. Interest on marketable securities is included in interest income. Accrued interest receivable on available-for-sale debt securities totaled $0.1 million and $0.1 million as of December 31, 2022 and 2021, respectively, and is excluded from the estimate of credit losses.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contractual maturities of the Company’s marketable securities at estimated fair value (in thousands):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6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left="159"/>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2"/>
                <w:szCs w:val="12"/>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$ 20,848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$ 77,986</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Due in 1 – 2 years</w:t>
            </w:r>
          </w:p>
        </w:tc>
        <w:tc>
          <w:tcPr>
            <w:tcW w:w="216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300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$ 20,848</w:t>
            </w:r>
          </w:p>
        </w:tc>
        <w:tc>
          <w:tcPr>
            <w:tcW w:w="920" w:type="dxa"/>
            <w:vAlign w:val="bottom"/>
            <w:gridSpan w:val="3"/>
            <w:shd w:val="clear" w:color="auto" w:fill="CCEEFF"/>
          </w:tcPr>
          <w:p>
            <w:pPr>
              <w:jc w:val="center"/>
              <w:ind w:left="99"/>
              <w:spacing w:after="0"/>
              <w:rPr>
                <w:sz w:val="20"/>
                <w:szCs w:val="20"/>
                <w:color w:val="auto"/>
              </w:rPr>
            </w:pPr>
            <w:r>
              <w:rPr>
                <w:rFonts w:ascii="Arial" w:cs="Arial" w:eastAsia="Arial" w:hAnsi="Arial"/>
                <w:sz w:val="18"/>
                <w:szCs w:val="18"/>
                <w:color w:val="auto"/>
                <w:w w:val="88"/>
              </w:rPr>
              <w:t>$ 77,986</w:t>
            </w:r>
          </w:p>
        </w:tc>
      </w:tr>
      <w:tr>
        <w:trPr>
          <w:trHeight w:val="20"/>
        </w:trPr>
        <w:tc>
          <w:tcPr>
            <w:tcW w:w="4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 may sell investments at any time for use in current operations even if they have not yet reached maturity. As a result, the Company classifies marketable securities, including securities with maturities beyond twelve months as current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$ 2,257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$ 2,245</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520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Software</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121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4,393</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4,393</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(4,144)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$ 3,220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$ 4,549</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2022, 2021, and 2020 was $1.4 million, $1.4 million, and $1.0 million, respectively. All of the Company’s long-lived assets are located in the United States.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88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1"/>
              </w:rPr>
              <w:t>Accrued contracted research and development costs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6,972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5,995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and consulting fees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783</w:t>
            </w:r>
          </w:p>
        </w:tc>
      </w:tr>
      <w:tr>
        <w:trPr>
          <w:trHeight w:val="27"/>
        </w:trPr>
        <w:tc>
          <w:tcPr>
            <w:tcW w:w="3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12,837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14,030</w:t>
            </w:r>
          </w:p>
        </w:tc>
      </w:tr>
      <w:tr>
        <w:trPr>
          <w:trHeight w:val="20"/>
        </w:trPr>
        <w:tc>
          <w:tcPr>
            <w:tcW w:w="3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2820" w:type="dxa"/>
            <w:vAlign w:val="bottom"/>
            <w:gridSpan w:val="2"/>
          </w:tcPr>
          <w:p>
            <w:pPr>
              <w:jc w:val="right"/>
              <w:ind w:right="2250"/>
              <w:spacing w:after="0"/>
              <w:rPr>
                <w:sz w:val="20"/>
                <w:szCs w:val="20"/>
                <w:color w:val="auto"/>
              </w:rPr>
            </w:pPr>
            <w:r>
              <w:rPr>
                <w:rFonts w:ascii="Arial" w:cs="Arial" w:eastAsia="Arial" w:hAnsi="Arial"/>
                <w:sz w:val="18"/>
                <w:szCs w:val="18"/>
                <w:color w:val="auto"/>
              </w:rPr>
              <w:t>F-18</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leases certain office space, laboratory facilities, and equipment. These leases require monthly lease payments that may be subject to annual increases throughout the lease term. Certain of these leases also include renewal options at the election of the Company to renew or extend the lease for an additional three to five years. These optional periods have not been considered in the determination of the right-of-use assets or lease liabilities associated with these leases as the Company did not consider it reasonably certain it would exercise the options. The Company performed evaluations of its contracts and determined it has both operating and finance leases. Variable lease expense for these leases primarily consists of common area maintenance and other operating costs.</w:t>
      </w:r>
    </w:p>
    <w:p>
      <w:pPr>
        <w:spacing w:after="0" w:line="19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April 2019, the Company entered into a lease agreement (the “Las Cimas Lease”) for its corporate headquarters and laboratory space located in Austin, Texas. The Las Cimas Lease includes approximately 30,000 square feet and commenced on April 30, 2019, with an expiration on April 30, 2028. The Company posted a customary letter of credit in the amount of $1.5 million as security, which is subject to automatic reductions per the terms of the Las Cimas Lease. A tenant allowance of up to $1.0 million was provided by the lessor and fully reimbursed to the Company.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recognition of its operating and finance leases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566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56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5660" w:type="dxa"/>
            <w:vAlign w:val="bottom"/>
          </w:tcPr>
          <w:p>
            <w:pPr>
              <w:ind w:left="840"/>
              <w:spacing w:after="0"/>
              <w:rPr>
                <w:sz w:val="20"/>
                <w:szCs w:val="20"/>
                <w:color w:val="auto"/>
              </w:rPr>
            </w:pPr>
            <w:r>
              <w:rPr>
                <w:rFonts w:ascii="Arial" w:cs="Arial" w:eastAsia="Arial" w:hAnsi="Arial"/>
                <w:sz w:val="18"/>
                <w:szCs w:val="18"/>
                <w:color w:val="auto"/>
              </w:rPr>
              <w:t>Operating lease right-of-use assets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$3,430</w:t>
            </w:r>
          </w:p>
        </w:tc>
        <w:tc>
          <w:tcPr>
            <w:tcW w:w="3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$3,806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5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 non-current assets</w:t>
            </w: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597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3060" w:type="dxa"/>
            <w:vAlign w:val="bottom"/>
          </w:tcPr>
          <w:p>
            <w:pPr>
              <w:ind w:left="720"/>
              <w:spacing w:after="0"/>
              <w:rPr>
                <w:sz w:val="20"/>
                <w:szCs w:val="20"/>
                <w:color w:val="auto"/>
              </w:rPr>
            </w:pPr>
            <w:r>
              <w:rPr>
                <w:rFonts w:ascii="Arial" w:cs="Arial" w:eastAsia="Arial" w:hAnsi="Arial"/>
                <w:sz w:val="18"/>
                <w:szCs w:val="18"/>
                <w:color w:val="auto"/>
              </w:rPr>
              <w:t>Total leased assets</w:t>
            </w:r>
          </w:p>
        </w:tc>
        <w:tc>
          <w:tcPr>
            <w:tcW w:w="5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Leases</w:t>
            </w:r>
          </w:p>
        </w:tc>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Current</w:t>
            </w: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5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Operating lease liabilities</w:t>
            </w: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625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Finance</w:t>
            </w:r>
          </w:p>
        </w:tc>
        <w:tc>
          <w:tcPr>
            <w:tcW w:w="5660" w:type="dxa"/>
            <w:vAlign w:val="bottom"/>
          </w:tcPr>
          <w:p>
            <w:pPr>
              <w:ind w:left="840"/>
              <w:spacing w:after="0"/>
              <w:rPr>
                <w:sz w:val="20"/>
                <w:szCs w:val="20"/>
                <w:color w:val="auto"/>
              </w:rPr>
            </w:pPr>
            <w:r>
              <w:rPr>
                <w:rFonts w:ascii="Arial" w:cs="Arial" w:eastAsia="Arial" w:hAnsi="Arial"/>
                <w:sz w:val="18"/>
                <w:szCs w:val="18"/>
                <w:color w:val="auto"/>
              </w:rPr>
              <w:t>Accrued and other current liabilities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5660" w:type="dxa"/>
            <w:vAlign w:val="bottom"/>
          </w:tcPr>
          <w:p>
            <w:pPr>
              <w:ind w:left="840"/>
              <w:spacing w:after="0"/>
              <w:rPr>
                <w:sz w:val="20"/>
                <w:szCs w:val="20"/>
                <w:color w:val="auto"/>
              </w:rPr>
            </w:pPr>
            <w:r>
              <w:rPr>
                <w:rFonts w:ascii="Arial" w:cs="Arial" w:eastAsia="Arial" w:hAnsi="Arial"/>
                <w:sz w:val="18"/>
                <w:szCs w:val="18"/>
                <w:color w:val="auto"/>
              </w:rPr>
              <w:t>Non-current operating lease liabilities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4,004</w:t>
            </w:r>
          </w:p>
        </w:tc>
        <w:tc>
          <w:tcPr>
            <w:tcW w:w="3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5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060" w:type="dxa"/>
            <w:vAlign w:val="bottom"/>
          </w:tcPr>
          <w:p>
            <w:pPr>
              <w:ind w:left="720"/>
              <w:spacing w:after="0"/>
              <w:rPr>
                <w:sz w:val="20"/>
                <w:szCs w:val="20"/>
                <w:color w:val="auto"/>
              </w:rPr>
            </w:pPr>
            <w:r>
              <w:rPr>
                <w:rFonts w:ascii="Arial" w:cs="Arial" w:eastAsia="Arial" w:hAnsi="Arial"/>
                <w:sz w:val="18"/>
                <w:szCs w:val="18"/>
                <w:color w:val="auto"/>
              </w:rPr>
              <w:t>Total lease liabilities</w:t>
            </w:r>
          </w:p>
        </w:tc>
        <w:tc>
          <w:tcPr>
            <w:tcW w:w="5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4,645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weighted-average remaining lease term and discount rates for the Company’s operating and finance leases: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78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196"/>
        </w:trPr>
        <w:tc>
          <w:tcPr>
            <w:tcW w:w="2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 term (years)</w:t>
            </w:r>
          </w:p>
        </w:tc>
        <w:tc>
          <w:tcPr>
            <w:tcW w:w="4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7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5000" w:type="dxa"/>
            <w:vAlign w:val="bottom"/>
            <w:gridSpan w:val="3"/>
          </w:tcPr>
          <w:p>
            <w:pPr>
              <w:jc w:val="right"/>
              <w:ind w:right="500"/>
              <w:spacing w:after="0"/>
              <w:rPr>
                <w:sz w:val="20"/>
                <w:szCs w:val="20"/>
                <w:color w:val="auto"/>
              </w:rPr>
            </w:pPr>
            <w:r>
              <w:rPr>
                <w:rFonts w:ascii="Arial" w:cs="Arial" w:eastAsia="Arial" w:hAnsi="Arial"/>
                <w:sz w:val="18"/>
                <w:szCs w:val="18"/>
                <w:color w:val="auto"/>
              </w:rPr>
              <w:t>5.3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Discount rate</w:t>
            </w: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5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30"/>
        </w:trPr>
        <w:tc>
          <w:tcPr>
            <w:tcW w:w="278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5000" w:type="dxa"/>
            <w:vAlign w:val="bottom"/>
            <w:gridSpan w:val="3"/>
          </w:tcPr>
          <w:p>
            <w:pPr>
              <w:jc w:val="right"/>
              <w:ind w:right="360"/>
              <w:spacing w:after="0"/>
              <w:rPr>
                <w:sz w:val="20"/>
                <w:szCs w:val="20"/>
                <w:color w:val="auto"/>
              </w:rPr>
            </w:pPr>
            <w:r>
              <w:rPr>
                <w:rFonts w:ascii="Arial" w:cs="Arial" w:eastAsia="Arial" w:hAnsi="Arial"/>
                <w:sz w:val="18"/>
                <w:szCs w:val="18"/>
                <w:color w:val="auto"/>
              </w:rPr>
              <w:t>10.2%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350"/>
        </w:trPr>
        <w:tc>
          <w:tcPr>
            <w:tcW w:w="2780" w:type="dxa"/>
            <w:vAlign w:val="bottom"/>
          </w:tcPr>
          <w:p>
            <w:pPr>
              <w:spacing w:after="0"/>
              <w:rPr>
                <w:sz w:val="24"/>
                <w:szCs w:val="24"/>
                <w:color w:val="auto"/>
              </w:rPr>
            </w:pPr>
          </w:p>
        </w:tc>
        <w:tc>
          <w:tcPr>
            <w:tcW w:w="5000" w:type="dxa"/>
            <w:vAlign w:val="bottom"/>
            <w:gridSpan w:val="3"/>
          </w:tcPr>
          <w:p>
            <w:pPr>
              <w:jc w:val="right"/>
              <w:ind w:right="3420"/>
              <w:spacing w:after="0"/>
              <w:rPr>
                <w:sz w:val="20"/>
                <w:szCs w:val="20"/>
                <w:color w:val="auto"/>
              </w:rPr>
            </w:pPr>
            <w:r>
              <w:rPr>
                <w:rFonts w:ascii="Arial" w:cs="Arial" w:eastAsia="Arial" w:hAnsi="Arial"/>
                <w:sz w:val="18"/>
                <w:szCs w:val="18"/>
                <w:color w:val="auto"/>
              </w:rPr>
              <w:t>F-19</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lease costs pertaining to the Company’s operating leases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2022</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2021</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$ 1,258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Variable lease cost</w:t>
            </w: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9"/>
                <w:szCs w:val="19"/>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1,923</w:t>
            </w:r>
          </w:p>
        </w:tc>
        <w:tc>
          <w:tcPr>
            <w:tcW w:w="8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Cash paid for amounts included in the measurement of operating lease liabilities during the years ended December 31, 2022 and 2021 was $0.9 million and $1.1 million, respectively, and was included within net cash used in operating activities in the cash flows.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maturities of the Company’s operating and finance lease liabilities as of December 31, 2022 were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340" w:type="dxa"/>
            <w:vAlign w:val="bottom"/>
          </w:tcPr>
          <w:p>
            <w:pPr>
              <w:spacing w:after="0"/>
              <w:rPr>
                <w:sz w:val="14"/>
                <w:szCs w:val="1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Finance</w:t>
            </w:r>
          </w:p>
        </w:tc>
      </w:t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4"/>
              </w:rPr>
              <w:t>Leases</w:t>
            </w:r>
          </w:p>
        </w:tc>
        <w:tc>
          <w:tcPr>
            <w:tcW w:w="340" w:type="dxa"/>
            <w:vAlign w:val="bottom"/>
          </w:tcPr>
          <w:p>
            <w:pPr>
              <w:spacing w:after="0"/>
              <w:rPr>
                <w:sz w:val="14"/>
                <w:szCs w:val="14"/>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rPr>
              <w:t>Leases</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1,163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403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(1,445)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ind w:left="10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Stockholders’ Equity</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is authorized to issue 30,000,000 shares of capital stock of which 20,000,000 shares are designated as common stock and 10,000,000 shares are designated as preferred stock, all with a par value of $0.0001 per share. Each holder of common stock is entitled to one vote for each share of common stock held. The Company’s common stock is not entitled to preemptive rights, and is not subject to conversion, redemption or sinking fund provisions. Subject to preferences that may apply to any shares of preferred stock outstanding at the time, the holders of common stock are entitled to receive dividends out of funds legally available if the board of directors, in its discretion, determines to issue dividends and then only at the times and in the amounts that the board of directors may determine. As of December 31, 2022 and 2021, no common stock dividends had been declared by the board of directors and there were no shares of preferred stock outstanding.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In May 2022, the Company issued and sold 430,107 shares of common stock at an offering price of $40.00 per share and pre-funded warrants to purchase up to 694,892 shares of common stock at an offering price of $39.9975 per warrant (representing the price per share of common stock sold in the offering minus the $0.0025 exercise price per warrant) in a registered direct offering pursuant to a shelf registration statement on Form S-3. The net proceeds to the Company from this offering were approximately $42.9 million, after deducting placement agent fees and offering costs of $2.1 million.</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February 2019, the Company issued and sold 185,000 shares of common stock at a public offering price of $200.00 per share and pre-funded warrants to purchase up to 160,000 shares of common stock at a public offering price of $199.9975 per warrant in an underwritten public offering pursuant to a shelf registration statement on Form S-3. This includes the full exercise by the underwriters of their option to purchase up to 45,000 additional shares of common stock. The net proceeds to the Company from this public offering were $64.5 million, after deducting underwriting discounts and commissions of $4.1 million and offering costs of $0.4 million.</w:t>
      </w:r>
    </w:p>
    <w:p>
      <w:pPr>
        <w:spacing w:after="0" w:line="188" w:lineRule="exact"/>
        <w:rPr>
          <w:sz w:val="20"/>
          <w:szCs w:val="20"/>
          <w:color w:val="auto"/>
        </w:rPr>
      </w:pPr>
    </w:p>
    <w:p>
      <w:pPr>
        <w:jc w:val="both"/>
        <w:ind w:left="120" w:right="400" w:firstLine="440"/>
        <w:spacing w:after="0" w:line="275" w:lineRule="auto"/>
        <w:rPr>
          <w:sz w:val="20"/>
          <w:szCs w:val="20"/>
          <w:color w:val="auto"/>
        </w:rPr>
      </w:pPr>
      <w:r>
        <w:rPr>
          <w:rFonts w:ascii="Arial" w:cs="Arial" w:eastAsia="Arial" w:hAnsi="Arial"/>
          <w:sz w:val="17"/>
          <w:szCs w:val="17"/>
          <w:color w:val="auto"/>
        </w:rPr>
        <w:t>In April 2020, the Company issued and sold 617,692 shares of common stock at a public offering price of $118.75 per share and pre-funded warrants to purchase up to 544,413 shares of common stock at a public offering price of $118.7475 per warrant in an underwritten public offering pursuant to a shelf registration statement on Form S-3. This includes the full exercise by the underwriters of their option to purchase up to 151,578 additional shares of common stock. The net proceeds to the Company from this public offering were $129.0 million, after deducting underwriting discounts and commissions of $8.2 million and offering costs of $0.8 million.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February 2019, April 2020 and May 2022, the Company issued pre-funded warrants to purchase the Company’s common stock in underwritten public offerings at the offering price of the common stock, less the $0.0025 per share exercise price of each warrant. The warrants were recorded as a component of stockholders’ equity within additional paid-in capital and have no expiration date. Per the terms of the warrant agreements, the outstanding warrants to purchase shares of common stock may not be exercised if the holder’s ownership of the Company’s common stock would exceed 4.99% (“Maximum Ownership Percentage”) or 9.99% for certain holders. By written notice to the Company, each holder may increase or decrease the Maximum Ownership Percentage to any other percentage (not in excess of 19.99% for the majority of such warrants). The revised Maximum Ownership Percentage would be effective 61 days after the notice is received by the Company.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2022, the following pre-funded warrants to purchase common stock were issued and outstanding: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Issue Date</w:t>
            </w:r>
          </w:p>
        </w:tc>
        <w:tc>
          <w:tcPr>
            <w:tcW w:w="2980" w:type="dxa"/>
            <w:vAlign w:val="bottom"/>
            <w:vMerge w:val="restart"/>
          </w:tcPr>
          <w:p>
            <w:pPr>
              <w:spacing w:after="0"/>
              <w:rPr>
                <w:sz w:val="14"/>
                <w:szCs w:val="14"/>
                <w:color w:val="auto"/>
              </w:rPr>
            </w:pPr>
          </w:p>
        </w:tc>
        <w:tc>
          <w:tcPr>
            <w:tcW w:w="1400" w:type="dxa"/>
            <w:vAlign w:val="bottom"/>
          </w:tcPr>
          <w:p>
            <w:pPr>
              <w:spacing w:after="0"/>
              <w:rPr>
                <w:sz w:val="14"/>
                <w:szCs w:val="14"/>
                <w:color w:val="auto"/>
              </w:rPr>
            </w:pPr>
          </w:p>
        </w:tc>
        <w:tc>
          <w:tcPr>
            <w:tcW w:w="2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Expiration Date</w:t>
            </w: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Number of Warrants</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3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2019</w:t>
            </w:r>
          </w:p>
        </w:tc>
        <w:tc>
          <w:tcPr>
            <w:tcW w:w="14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None</w:t>
            </w: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0.0025</w:t>
            </w:r>
          </w:p>
        </w:tc>
        <w:tc>
          <w:tcPr>
            <w:tcW w:w="7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April 2020</w:t>
            </w:r>
          </w:p>
        </w:tc>
        <w:tc>
          <w:tcPr>
            <w:tcW w:w="3580" w:type="dxa"/>
            <w:vAlign w:val="bottom"/>
            <w:gridSpan w:val="3"/>
          </w:tcPr>
          <w:p>
            <w:pPr>
              <w:ind w:left="140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0.0025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474,413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2022</w:t>
            </w:r>
          </w:p>
        </w:tc>
        <w:tc>
          <w:tcPr>
            <w:tcW w:w="35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0.0025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Total pre-funded warrants</w:t>
            </w: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1,155,663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April 2020, the Company entered into a new sales agreement with JonesTrading Institutional Services LLC, as sales agent, to issue and sell shares of its common stock for an aggregate offering price of $60.0 million under an at-the-market (“2020 ATM”) offering program. In the fourth quarter of 2020, the Company issued and sold 129,803 shares of common stock under the 2020 ATM for gross proceeds of $25.3 million, resulting in net proceeds of $24.6 million, after deducting underwriting discounts, commissions, and offering costs.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Strategic License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Immedica Pharma AB License and Development Agreement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March 21, 2021, the Company entered into an exclusive license and supply agreement with Immedica Pharma AB (“Immedica”). By entering into this agreement, the Company agreed to provide Immedica the following goods and services:</w:t>
      </w:r>
    </w:p>
    <w:p>
      <w:pPr>
        <w:spacing w:after="0" w:line="76" w:lineRule="exact"/>
        <w:rPr>
          <w:sz w:val="20"/>
          <w:szCs w:val="20"/>
          <w:color w:val="auto"/>
        </w:rPr>
      </w:pPr>
    </w:p>
    <w:p>
      <w:pPr>
        <w:ind w:left="1080" w:hanging="532"/>
        <w:spacing w:after="0" w:line="286"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Deliver an exclusive, sublicensable, license and know-how (the “License”) to develop and commercialize pegzilarginase (the “Product”) in the territory comprising the members states of the European Economic Area, United Kingdom, Switzerland, Andorra, Monaco, San Marino, Vatican City, Turkey, Saudi Arabia, United Arab Emirates, Qatar, Kuwait, Bahrain, and Oman (the “Territory”);</w:t>
      </w:r>
    </w:p>
    <w:p>
      <w:pPr>
        <w:spacing w:after="0" w:line="70" w:lineRule="exact"/>
        <w:rPr>
          <w:rFonts w:ascii="Arial" w:cs="Arial" w:eastAsia="Arial" w:hAnsi="Arial"/>
          <w:sz w:val="17"/>
          <w:szCs w:val="17"/>
          <w:color w:val="auto"/>
        </w:rPr>
      </w:pPr>
    </w:p>
    <w:p>
      <w:pPr>
        <w:ind w:left="1080" w:right="80" w:hanging="532"/>
        <w:spacing w:after="0" w:line="286"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Complete the global pivotal PEACE (Pegzilarginase Effect on Arginase 1 Deficiency Clinical Endpoints) Phase 3 trial (“PEACE Trial”) and related Biologics License Application (“BLA”) package to file with the United States Food and Drug Administration (“FDA”), which will be leveraged by Immedica in obtaining the necessary regulatory approvals in the Territory; and</w:t>
      </w:r>
    </w:p>
    <w:p>
      <w:pPr>
        <w:spacing w:after="0" w:line="70"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 a Pediatric Investigation Plan trial (“PIP Trial”) in order for Immedica to be able to receive certain regulatory approvals within the Territory.</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the Company and Immedica formed a Joint Steering Committee (“JSC”) to provide oversight to the activities performed under the agreement; however, the substance of the Company’s participation in the JSC does not represent an additional promised service, but rather, a right of the Company to protect its own interests in the arrangement.</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Further, the Company agreed to supply to Immedica, and Immedica agreed to purchase from the Company, substantially all commercial requirements of the Product. The terms of the agreement do not provide for either (i) an option to Immedica to purchase the Product from the Company at a discount from the standalone selling price or (ii) minimum purchase quantities. Finally, Immedica will bear (i) all costs and expenses for any development or commercialization of the Product in the Territory subject to the License exclusive of the Company’s promised goods and services summarized above and (ii) all costs and fees associated with applying for regulatory approval of the Product in the Territory. In July 2021, the Company modified the agreement with Immedica to provide certain additional services in relation to the PEACE Phase 3 Trial and BLA package performance obligation in exchange for the reimbursement of up to $3.0 million of the actual costs incurred in relation to such incremental services.</w:t>
      </w:r>
    </w:p>
    <w:p>
      <w:pPr>
        <w:spacing w:after="0" w:line="16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received a non-refundable payment of $21.5 million and Immedica agreed to provide payment of 50% of the Company’s costs incurred in performing the PIP Trial up to a maximum of $1.8 million. In addition, the Company has the ability to receive additional payments under the agreement of up to approximately $120.8 million in regulatory and commercial milestone payments, assuming an exchange rate of $1.07 to €1.00. The Company is also entitled to receive royalties in the mid-20 percent range on net sales of the Product in the Territory.</w:t>
      </w:r>
    </w:p>
    <w:p>
      <w:pPr>
        <w:spacing w:after="0" w:line="17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Company concluded that Immedica meets the definition to be accounted for as a customer because the Company is delivering intellectual property and other services within the Company’s normal course of business, in which the parties are not jointly sharing the risks and rewards. Therefore, the Company concluded that the promises summarized above represent transactions with a customer within the scope of ASC 606. The Company determined that the following promises represent distinct promised services, and therefore, performance obligations: (i) the License, (ii) the PEACE Trial and BLA package, and (iii) the PIP Trial.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Specifically, in making these determinations, the Company considered the following factors:</w:t>
      </w:r>
    </w:p>
    <w:p>
      <w:pPr>
        <w:spacing w:after="0" w:line="131" w:lineRule="exact"/>
        <w:rPr>
          <w:sz w:val="20"/>
          <w:szCs w:val="20"/>
          <w:color w:val="auto"/>
        </w:rPr>
      </w:pPr>
    </w:p>
    <w:p>
      <w:pPr>
        <w:ind w:left="1080" w:right="1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of inception of the agreement, the Company had completed the Phase 1/2 clinical trial related to the Product and were conducting the ongoing PEACE Trial. Accordingly, the Company is not promising,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nor expecting, to perform additional research and development activities pursuant to the agreement that would either significantly modify, customize or be considered highly interdependent or interrelated with pegzilarginase.</w:t>
      </w:r>
    </w:p>
    <w:p>
      <w:pPr>
        <w:spacing w:after="0" w:line="76" w:lineRule="exact"/>
        <w:rPr>
          <w:sz w:val="20"/>
          <w:szCs w:val="20"/>
          <w:color w:val="auto"/>
        </w:rPr>
      </w:pPr>
    </w:p>
    <w:p>
      <w:pPr>
        <w:ind w:left="1080" w:right="2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License represents functional intellectual property given the functionality of the License is not expected to change substantially as a result of the company’s ongoing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services necessary to complete the PEACE Trial, BLA package and PIP Trial could be performed by other parties.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Given that Immedica is not obligated to purchase any minimum amount or quantities of the Product, the supply of the Product for commercial use to Immedica was determined to be an option for Immedica, rather than a performance obligation of the Company at contract inception and will be accounted for if and when exercised. The Company also determined that Immedica’s option to purchase the Product does not create a material right as the expected pricing is not at a discount.</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 determined that the upfront fixed payment amount of $21.5 million must be included in the transaction price. Additionally, the Company determined at inception of the arrangement that 50% of the estimated costs to be incurred in relation to the PIP Trial exceeded $1.8 million and included the full reimbursement amount of $1.8 million in the transaction price. Upon subsequent re-evaluation due to changing facts and circumstances, the Company determined the estimated costs are now less than the maximum allowable reimbursement and a portion of the variable consideration was constrained, which did not materially impact the revenue recognized to date. Additionally, upon the modification of the agreement in July 2021, the Company determined that the estimated costs to perform the additional services related to the PEACE Trial and BLA package exceeds the maximum allowable reimbursement of $3.0 million. Therefore, the Company included an estimated total of $3.6 million that will be due in relation to the PIP Trial, PEACE Trial, and BLA package in the transaction price and it is probable that a significant reversal will not occur in the future. In total, the modified transaction price was determined to be $25.1 million.</w:t>
      </w:r>
    </w:p>
    <w:p>
      <w:pPr>
        <w:spacing w:after="0" w:line="18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Company has allocated $9.6 million and $3.5 million of the modified transaction price to the PEACE Trial and BLA package and PIP Trial performance obligations, respectively, based on the stand-alone selling prices (“SSP”), which was based on the estimated costs that a third-party would charge in performing such services on a stand-alone basis. The SSP for the License was established at inception of the arrangement using a residual value approach due to the uniqueness of and lack of observable data related to the License, and without a specific analog from which to make reliable estimates, resulting in an allocation of $12.0 million.</w:t>
      </w:r>
    </w:p>
    <w:p>
      <w:pPr>
        <w:spacing w:after="0" w:line="18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potential regulatory milestone payments that the Company is eligible to receive were excluded from the transaction price, as the milestone amounts were fully constrained based on the probability of achievement, since the milestones relate to successful achievement of certain regulatory approvals, which might not be achieved. The Company determined that the royalties and commercial milestone payments relate predominantly to the license of intellectual property and are therefore excluded from the transaction price under the sales- or usage-based royalty exception of ASC 606. The Company will reevaluate the transaction price, including all constrained amounts, at the end of each reporting period and as uncertain events are resolved or other changes in circumstances occur, the Company will adjust its estimate of the transaction price as necessary. The Company will recognize the royalties and commercial milestone payments as revenue when the associated sales occur, and relevant sales-based thresholds are met. The Company assessed the arrangement with Immedica and concluded that a significant financing component does not exist.</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Company recognized revenue allocated to the License performance obligation at a point in time and upon transfer of the License. The Company completed the transfer of the know-how necessary for Immedica to benefit from the License in June 2021 and recognized $12.0 million of revenue at that time. The development fee allocated to the PEACE Trial, BLA package and PIP Trial performance obligations will be recognized over time using an input method of costs incurred related to the performance obligations.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For the year ended December 31, 2022, the Company recognized revenue of $2.3 million related to the PEACE Trial and BLA package performance obligation using a cost to cost model. The Company recognized revenue of $6.7 million related to the PEACE Trial and BLA package performance obligation using a cost to cost model and $12.0 million related to the transfer of the License for the year ended December 31, 2021 and no revenue for the year ended December 31, 2020. As of December 31, 2022, the Company has recorded deferred revenue of $2.7 million associated with the license and supply agreement with Immedica, of which $0.5 million is classified as current. As of December 31, 2021, the Company had recorded deferred revenue of $3.6 million associated with the license and supply agreement with Immedica, of which $2.4 million was classified as current.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 from Customer Contract</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on the balance sheets. The Company recognizes license and development receivables based on billed services, which are derecognized upon reimbursement.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goods or services is transferred to the customer and all revenue recognition criteria have been met.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changes in the Company’s contract liabilities for the periods presented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Ended December 31, 2021</w:t>
            </w:r>
          </w:p>
        </w:tc>
        <w:tc>
          <w:tcPr>
            <w:tcW w:w="3160" w:type="dxa"/>
            <w:vAlign w:val="bottom"/>
          </w:tcPr>
          <w:p>
            <w:pPr>
              <w:spacing w:after="0"/>
              <w:rPr>
                <w:sz w:val="14"/>
                <w:szCs w:val="14"/>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1940" w:type="dxa"/>
            <w:vAlign w:val="bottom"/>
            <w:tcBorders>
              <w:bottom w:val="single" w:sz="8" w:color="auto"/>
            </w:tcBorders>
            <w:vMerge w:val="continue"/>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Contract liabilities:</w:t>
            </w:r>
          </w:p>
        </w:tc>
        <w:tc>
          <w:tcPr>
            <w:tcW w:w="3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3,576</w:t>
            </w:r>
          </w:p>
        </w:tc>
        <w:tc>
          <w:tcPr>
            <w:tcW w:w="920" w:type="dxa"/>
            <w:vAlign w:val="bottom"/>
            <w:gridSpan w:val="2"/>
          </w:tcPr>
          <w:p>
            <w:pPr>
              <w:spacing w:after="0"/>
              <w:rPr>
                <w:sz w:val="20"/>
                <w:szCs w:val="20"/>
                <w:color w:val="auto"/>
              </w:rPr>
            </w:pPr>
            <w:r>
              <w:rPr>
                <w:rFonts w:ascii="Arial" w:cs="Arial" w:eastAsia="Arial" w:hAnsi="Arial"/>
                <w:sz w:val="18"/>
                <w:szCs w:val="18"/>
                <w:color w:val="auto"/>
              </w:rPr>
              <w:t>$  1,449</w:t>
            </w:r>
          </w:p>
        </w:tc>
        <w:tc>
          <w:tcPr>
            <w:tcW w:w="1720" w:type="dxa"/>
            <w:vAlign w:val="bottom"/>
            <w:gridSpan w:val="3"/>
          </w:tcPr>
          <w:p>
            <w:pPr>
              <w:ind w:left="340"/>
              <w:spacing w:after="0"/>
              <w:rPr>
                <w:sz w:val="20"/>
                <w:szCs w:val="20"/>
                <w:color w:val="auto"/>
              </w:rPr>
            </w:pPr>
            <w:r>
              <w:rPr>
                <w:rFonts w:ascii="Arial" w:cs="Arial" w:eastAsia="Arial" w:hAnsi="Arial"/>
                <w:sz w:val="18"/>
                <w:szCs w:val="18"/>
                <w:color w:val="auto"/>
              </w:rPr>
              <w:t>$  (2,329)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had no contract assets during the years ended December 31, 2022, 2021 and 2020 and no contract liabilities during the year ended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University of Texas at Austin License Agreement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December 2013, two of the Company’s wholly owned subsidiaries AECase, Inc. and AEMase, Inc. each entered into an exclusive, worldwide license agreement, including the right to grant sublicenses, with the University of Texas at Austin (the “University”) for certain intellectual property owned by the University related to cystinase and methioninase. In January 2017, the Company and the University entered into an Amended and Restated Patent License Agreement (the “Restated License”), which consolidated the two license agreements, revised certain obligations, and licensed additional patent applications and invention disclosures to us. The Restated License was amended in August 2017, December 2017, and December 2018 to revise diligence milestones and license additional patent applications, including our program candidates under the pegtarviliase and Cystinuria Programs.</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Pursuant to the terms of the Restated License, the Company may be required to pay the University up to $6.4 million in milestone payments based on the achievement of certain development milestones, including clinical trials and regulatory approvals, the majority of which are due upon the achievement of later development milestones, including a $5.0 million payment due on regulatory approval of a product and a $0.5 million payment payable on final regulatory approval of a product for a second indication. In addition, the Company is required to pay the University a low single-digit royalty on worldwide-net sales of products covered under the Restated License, together with a revenue share on non-royalty consideration received from sublicensees. The rate of the revenue share ranges from 6.5% to 25% depending on the date the sublicense agreement is signed.</w:t>
      </w:r>
    </w:p>
    <w:p>
      <w:pPr>
        <w:spacing w:after="0" w:line="16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the year ended December 31, 2022, the Company paid $0.1 million in milestone payments pursuant to the Restated License. For the years ended December 31, 2021 and 2020, the Company paid $0.1 million in license fees annually.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March 2015, the Company adopted the 2015 Equity Incentive Plan (“2015 Plan”), administered by the board of directors, and provides for the Company to sell or issue common stock or restricted common stock, or to grant incentive stock options or nonqualified stock options for the purchase of common stock, to employees, members of the board of directors and consultants of the Company. Under the terms of the 2015 Plan, the exercise prices, vesting and other restrictions may be determined at the discretion of the board of directors, or their committee if so delegated, except that the exercise price per share of stock options may not be less than 100% of the fair market value of the share of common stock on the date of grant, the term of stock options may not be greater than ten years for all grants, and for grantees holding more than 10% of the total combined voting power of all classes of stock, the term may not be greater than five years.</w:t>
      </w:r>
    </w:p>
    <w:p>
      <w:pPr>
        <w:spacing w:after="0" w:line="17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Company granted options under the 2015 Plan until April 2016 when it was terminated as to future awards, although it continues to govern the terms of options that remain outstanding under the 2015 Plan.</w:t>
      </w:r>
    </w:p>
    <w:p>
      <w:pPr>
        <w:spacing w:after="0" w:line="170"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As of December 31, 2022, a total of 3,785 shares of common stock are subject to options outstanding under the 2015 Plan and will become available under the 2016 Equity Incentive Plan (“2016 Plan”) to the extent the options are forfeited or lapse unexercised.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2016 Plan became effective in April 2016 and serves as the successor to the 2015 Plan. Under the 2016 Plan, the Company may grant stock options, stock appreciation rights, restricted stock awards, restricted stock units, performance awards, and stock bonuses. The 2016 Plan provides for an initial reserve of 44,000 shares of common stock, plus 20,394 shares of common stock remaining under the 2015 Plan, and any share awards that subsequently are forfeited or lapse unexercised under the 2015 Plan. The shares reserved exclude shares of common stock reserved for issuance under the 2015 Plan.</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October 2018, the 2016 plan was amended to increase the number of shares of common stock reserved for issuance thereunder by 70,384 shares, extend the term of the 2016 Plan through August 7, 2028, and provide for an automatic increase in the number of shares reserved for issuance thereunder on January 1 of each year for the remaining term of the plan equal to (a) 4.0% of the number of issued and outstanding shares of common stock on December 31 of the immediately preceding year, or (b) a lesser amount as approved by the board each year. As a result of the operation of each of these provisions, on January 1, 2022, 2021, and 2020, an additional 78,968, 76,734, and 46,535 shares, respectively, became available for issuance under the 2016 Plan.</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As of December 31, 2022, the total number of shares reserved for issuance under the 2016 Plan was 432,725, of which 319,122 shares were subject to outstanding option awards and restricted unit awards.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Equity Inducement Plan</w:t>
      </w:r>
    </w:p>
    <w:p>
      <w:pPr>
        <w:spacing w:after="0" w:line="117"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In February 2018, the board of directors approved and adopted the 2018 Equity Inducement Plan (“2018 Plan”), which became effective on the same date. The board of directors approved an initial reserve of 44,000 shares of common stock to be used exclusively for individuals who were not previously employees or directors, or following a bona fide period of non-employment, as an inducement material to the individual entering into employment with the Company. Nonqualified stock options or restricted stock units may be granted under the 2018 Plan at the discretion of the Compensation Committee or the board of directors. The Company did not seek stockholder approval of the 2018 Plan pursuant to Nasdaq Rule 5635(c)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December 31, 2022, the total number of shares reserved for issuance under the 2018 Plan was 44,000, of which 12,440 shares were subject to outstanding option awards.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Under the 2016 Plan and 2018 Plan, the Company may grant stock-based awards with service conditions (“service-based” awards), performance conditions (“performance-based” awards), and market conditions (“market-based” awards). Service-based awards granted under the 2018 Plan, 2016 Plan, and 2015 Plan generally vest over four years and expire after ten years, although awards have been granted with vesting terms less than four years.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CEO Inducement Grant</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In November 2022, the Company granted 75,393 non-qualified stock options to the new Chief Executive Officer in a stand alone inducement grant. The first 25% of these options vest on the one year anniversary of the grant, and the remaining 75% vest in equal amounts over 48 months following the one year anniversary date and are exercisable for a term of ten years.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employee and non-employee stock option activity for the year ended December 31, 2022:</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Weighted</w:t>
            </w: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Issuable</w:t>
            </w: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Under</w:t>
            </w: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Options</w:t>
            </w: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5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264,303</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$189.00</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235,199</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45.00</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(94,421)</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153.50</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405,081</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$113.75</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ind w:left="160"/>
              <w:spacing w:after="0"/>
              <w:rPr>
                <w:sz w:val="20"/>
                <w:szCs w:val="20"/>
                <w:color w:val="auto"/>
              </w:rPr>
            </w:pPr>
            <w:r>
              <w:rPr>
                <w:rFonts w:ascii="Arial" w:cs="Arial" w:eastAsia="Arial" w:hAnsi="Arial"/>
                <w:sz w:val="18"/>
                <w:szCs w:val="18"/>
                <w:b w:val="1"/>
                <w:bCs w:val="1"/>
                <w:color w:val="auto"/>
              </w:rPr>
              <w:t>December 31, 2022</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397,772</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$112.50</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December 31, 2022</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163,450</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$171.00</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aggregate intrinsic value of options outstanding, exercisable, vested and expected to vest were calculated as the difference between the exercise price of the options and the fair value of the Company’s common stock as of the reporting date.</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the years ended December 31, 2022, 2021, and 2020, the weighted-average grant date fair value of options granted was $45.00, $124.00, and $117.00, respectively. No options were exercised in the year ended December 31, 2022. The total intrinsic value of options exercised during the years ended December 31, 2021, and 2020 was $0.7 million and $0.4 million, respectively.</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There were no stock options issued to non-employees during the years ended December 31, 2022, 2021, and 2020. For the year ended December 31, 2020, 66 non-employee stock options vested in the period. For the years ended December 31, 2022 and 2021, no non-employee stock options vested in the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2016 Employee Stock Purchase Plan (“2016 ESPP”) became effective in April 2016. A total of 6,600 shares of common stock were reserved for issuance under the 2016 ESPP. Eligible employees may purchase shares of common stock under the 2016 ESPP at 85% of the lower of the fair market value of the Company’s common stock as of the first or the last day of each offering period. Employees are limited to contributing 15% of the employee’s eligible compensation and may not purchase more than $25,000 of stock during any calendar year. The 2016 ESPP will terminate ten years from the first purchase date under the plan, unless terminated earlier by the board of directors.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In June 2018, the 2016 ESPP was amended to provide for an automatic annual increase in the number of shares reserved for issuance thereunder on January 1 of each year for the remaining term of the year equal to (a) 1.0% of the number of issued and outstanding shares of common stock on December 31 of the immediately preceding year, or (b) a lesser amount as approved by the board of directors each year. As a result of the operation of this provision, on January 1, 2022, 2021 and 2020, an additional 19,742, 19,183, and 11,633 shares, respectively, became available for issuance under the 2016 ESPP. As of December 31, 2022, the reserve remaining and available for future issuance under the 2016 ESPP was 48,665 shares.</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February 2023, the 2016 ESPP was amended to increase the maximum shares purchased during any one period from 80 shares to 400 shares or a lesser amount determined by the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Common Stock Units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Company granted 9,128 restricted stock units (“RSUs”) during the year ended December 31, 2020 to certain employees with regulatory, commercial, and clinical milestones in addition to a service condition. There were no RSUs granted for the years ended December 31, 2022 and 2021.</w:t>
      </w:r>
    </w:p>
    <w:p>
      <w:pPr>
        <w:spacing w:after="0" w:line="12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As of December 31, 2022, the performance conditions of the granted RSUs were not probable of being achieved. If and when the performance milestones are deemed probable of being achieved within the required time frame, the Company may recognize up to $1.2 million of stock-based compensation for the remaining unvested RSUs as of December 31, 2022.</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employee restricted stock activity for the year ended December 31, 2022:</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4"/>
              </w:rPr>
              <w:t>Shares</w:t>
            </w: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2021</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(1,940)</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203.25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2022</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203.25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RSUs granted to non-employees during the years ended December 31, 2022, 2021,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Total stock-based compensation expense recognized from the Company’s equity incentive plans, 2018 Plan, and the 2016 ESPP for the years ended December 31, 2022, 2021, and 2020 was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Non-</w:t>
            </w:r>
          </w:p>
        </w:tc>
        <w:tc>
          <w:tcPr>
            <w:tcW w:w="400" w:type="dxa"/>
            <w:vAlign w:val="bottom"/>
          </w:tcPr>
          <w:p>
            <w:pPr>
              <w:spacing w:after="0"/>
              <w:rPr>
                <w:sz w:val="10"/>
                <w:szCs w:val="10"/>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89"/>
              </w:rPr>
              <w:t>Employees</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Non-</w:t>
            </w:r>
          </w:p>
        </w:tc>
        <w:tc>
          <w:tcPr>
            <w:tcW w:w="420" w:type="dxa"/>
            <w:vAlign w:val="bottom"/>
          </w:tcPr>
          <w:p>
            <w:pPr>
              <w:spacing w:after="0"/>
              <w:rPr>
                <w:sz w:val="10"/>
                <w:szCs w:val="10"/>
                <w:color w:val="auto"/>
              </w:rPr>
            </w:pPr>
          </w:p>
        </w:tc>
        <w:tc>
          <w:tcPr>
            <w:tcW w:w="7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86"/>
              </w:rPr>
              <w:t>Employees</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Non-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9"/>
              </w:rPr>
              <w:t>Employees</w:t>
            </w:r>
          </w:p>
        </w:tc>
        <w:tc>
          <w:tcPr>
            <w:tcW w:w="4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9"/>
              </w:rPr>
              <w:t>Employees</w:t>
            </w:r>
          </w:p>
        </w:tc>
        <w:tc>
          <w:tcPr>
            <w:tcW w:w="4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7"/>
              </w:rPr>
              <w:t>Employees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jc w:val="center"/>
              <w:ind w:right="2770"/>
              <w:spacing w:after="0"/>
              <w:rPr>
                <w:sz w:val="20"/>
                <w:szCs w:val="20"/>
                <w:color w:val="auto"/>
              </w:rPr>
            </w:pPr>
            <w:r>
              <w:rPr>
                <w:rFonts w:ascii="Arial" w:cs="Arial" w:eastAsia="Arial" w:hAnsi="Arial"/>
                <w:sz w:val="18"/>
                <w:szCs w:val="18"/>
                <w:color w:val="auto"/>
                <w:w w:val="88"/>
              </w:rPr>
              <w:t>Research and development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jc w:val="center"/>
              <w:ind w:right="2770"/>
              <w:spacing w:after="0"/>
              <w:rPr>
                <w:sz w:val="20"/>
                <w:szCs w:val="20"/>
                <w:color w:val="auto"/>
              </w:rPr>
            </w:pPr>
            <w:r>
              <w:rPr>
                <w:rFonts w:ascii="Arial" w:cs="Arial" w:eastAsia="Arial" w:hAnsi="Arial"/>
                <w:sz w:val="18"/>
                <w:szCs w:val="18"/>
                <w:color w:val="auto"/>
                <w:w w:val="90"/>
              </w:rPr>
              <w:t>General and administrative</w:t>
            </w:r>
          </w:p>
        </w:tc>
        <w:tc>
          <w:tcPr>
            <w:tcW w:w="1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4,520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5,315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4,052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jc w:val="center"/>
              <w:ind w:right="2730"/>
              <w:spacing w:after="0" w:line="201" w:lineRule="exact"/>
              <w:rPr>
                <w:sz w:val="20"/>
                <w:szCs w:val="20"/>
                <w:color w:val="auto"/>
              </w:rPr>
            </w:pPr>
            <w:r>
              <w:rPr>
                <w:rFonts w:ascii="Arial" w:cs="Arial" w:eastAsia="Arial" w:hAnsi="Arial"/>
                <w:sz w:val="18"/>
                <w:szCs w:val="18"/>
                <w:color w:val="auto"/>
                <w:w w:val="88"/>
              </w:rPr>
              <w:t>Total stock-based</w:t>
            </w: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compensation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3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F-27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related tax benefits were recognized for the years ended December 31, 2022, 2021, and 2020 (see Note 11).</w:t>
      </w:r>
    </w:p>
    <w:p>
      <w:pPr>
        <w:spacing w:after="0" w:line="225"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The employee and non-employee awards contain both performance and service-based vesting conditions. No expense was recognized for the unvested employee and non-employee awards with only a performance condition for the years ended December 31, 2022, 2021, and 2020. The performance-based vesting conditions represent specific performance targets. Compensation expense for employee and non-employee share-based payment awards with performance conditions is recognized when the performance condition is deemed probable of achievement.</w:t>
      </w:r>
    </w:p>
    <w:p>
      <w:pPr>
        <w:spacing w:after="0" w:line="15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As of December 31, 2022, the Company had an aggregate of $11.6 million of unrecognized stock-based compensation expense for options outstanding, which is expected to be recognized over a weighted average period of 1.6 years.</w:t>
      </w:r>
    </w:p>
    <w:p>
      <w:pPr>
        <w:spacing w:after="0" w:line="170" w:lineRule="exact"/>
        <w:rPr>
          <w:sz w:val="20"/>
          <w:szCs w:val="20"/>
          <w:color w:val="auto"/>
        </w:rPr>
      </w:pPr>
    </w:p>
    <w:p>
      <w:pPr>
        <w:jc w:val="both"/>
        <w:ind w:left="120" w:right="300" w:firstLine="440"/>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 to determine.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Term</w:t>
      </w:r>
    </w:p>
    <w:p>
      <w:pPr>
        <w:spacing w:after="0" w:line="117"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The Company’s expected term represents the period that the Company’s stock-based awards are expected to be outstanding and is determined using the simplified method (based on the midpoint between the vesting date and the end of the contractual term). The Company utilizes this method due to lack of historical exercise data and the plain-vanilla nature of the Company’s stock-based awards.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Volatility</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the Company was privately held through April 2016, it alone does not have the relevant company-specific historical data to support its expected volatility. As such, the Company has used an average of expected volatilities based on the volatilities of a representative group of publicly traded biopharmaceutical companies over a period equal to the expected term of the stock option grants. Subsequent to the Company’s initial public offering, it began to consider the Company’s own historic volatility. However, due to its limited history as a public company, the Company still uses peer company data to assist in this analysis. For purposes of identifying comparable companies,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Company intends to consistently apply this process using the same or similar comparable entities until a sufficient amount of historical information regarding the volatility of the Company’s own share price becomes available.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Risk-Free Interest Rate</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option.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Dividend</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Stock Options and 2016 ESPP</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The fair value of the stock options granted under the 2018 Plan, 2016 Plan, 2015 Plan and the CEO inducement grant, as well as the shares available for purchase under the 2016 ESPP were determined using the Black-Scholes option-pricing model. The following table summarizes the weighted-average assumptions used in calculating the fair value of the awards: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4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8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2022</w:t>
            </w:r>
          </w:p>
        </w:tc>
        <w:tc>
          <w:tcPr>
            <w:tcW w:w="5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5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2"/>
                <w:szCs w:val="12"/>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 Granted</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Expected term (in years)</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6.00</w:t>
            </w:r>
          </w:p>
        </w:tc>
        <w:tc>
          <w:tcPr>
            <w:tcW w:w="5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5.99</w:t>
            </w:r>
          </w:p>
        </w:tc>
        <w:tc>
          <w:tcPr>
            <w:tcW w:w="5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6.10</w:t>
            </w:r>
          </w:p>
        </w:tc>
        <w:tc>
          <w:tcPr>
            <w:tcW w:w="20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Risk-free interest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2.93%</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0.88%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1.06%</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2016 ESPP</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term (in years)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0.49</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0.50</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0.50</w:t>
            </w:r>
          </w:p>
        </w:tc>
        <w:tc>
          <w:tcPr>
            <w:tcW w:w="200" w:type="dxa"/>
            <w:vAlign w:val="bottom"/>
            <w:shd w:val="clear" w:color="auto" w:fill="CCEEFF"/>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1.95%</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0.08%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0.75%</w:t>
            </w:r>
          </w:p>
        </w:tc>
      </w:tr>
      <w:tr>
        <w:trPr>
          <w:trHeight w:val="230"/>
        </w:trPr>
        <w:tc>
          <w:tcPr>
            <w:tcW w:w="6840" w:type="dxa"/>
            <w:vAlign w:val="bottom"/>
          </w:tcPr>
          <w:p>
            <w:pPr>
              <w:ind w:left="360"/>
              <w:spacing w:after="0"/>
              <w:rPr>
                <w:sz w:val="20"/>
                <w:szCs w:val="20"/>
                <w:color w:val="auto"/>
              </w:rPr>
            </w:pPr>
            <w:r>
              <w:rPr>
                <w:rFonts w:ascii="Arial" w:cs="Arial" w:eastAsia="Arial" w:hAnsi="Arial"/>
                <w:sz w:val="18"/>
                <w:szCs w:val="18"/>
                <w:color w:val="auto"/>
              </w:rPr>
              <w:t>Dividend yield</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Defined Contribution Plan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 sponsors a 401(k) retirement plan in which substantially all of its full-time employees are eligible to participate. Participants may contribute a percentage of their annual compensation to this plan, subject to statutory limitations. During the years ended December 31, 2022, 2021, 2020, the Company provided $0.6 million, $0.6 million, and $0.5 million, respectively, in contributions to the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(loss) income before income tax expense by jurisdiction for the periods indicated: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8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9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(84,113)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$(65,940)</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$(80,893)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Foreign</w:t>
            </w:r>
          </w:p>
        </w:tc>
        <w:tc>
          <w:tcPr>
            <w:tcW w:w="19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46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(83,951)</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(65,660)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(80,893)</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For the year ended December 31, 2022, the Company recognized an income tax expense of $0.1 million, related to foreign subsidiaries refund from research client and foreign subsidiaries income tax expense. For the year ended December 31, 2021, the Company recognized an income tax expense of $0.1 million, related to foreign subsidiaries income tax expense and the Texas margins tax. For the year ended December 31, 2020, the</w:t>
      </w:r>
    </w:p>
    <w:p>
      <w:pPr>
        <w:spacing w:after="0" w:line="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0920"/>
          </w:cols>
          <w:pgMar w:left="320" w:top="459" w:right="6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Company recognized no provision or benefit from income taxes. The difference between the Company’s provision for income taxes and the amounts computed by applying the statutory federal income tax rate to income before income taxes is as follows (in thousands):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Tax provision derived by applying the federal statutory rate to income before</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(17,630)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(13,789)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(16,988)</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Permanent differences and other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(3,905)</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State tax credits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rate on foreign jurisdiction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Change in the valuation allowance</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16,900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20,662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deferred tax assets and liabilities consist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68,917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64,531</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2,767</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tax credits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18,579</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State tax credits</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108,328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87,991</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Depreciable assets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(107,652)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(87,043)</w:t>
            </w: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has established a full federal and state valuation allowance equal to the net deferred tax assets due to uncertainties regarding the realization of the deferred tax asset based on the Company’s lack of earnings history. The valuation allowance increased by $20.6 million, $16.9 million, and $20.7 million during the years ended December 31, 2022, 2021, and 2020, respectively, primarily due to continuing loss from operations.</w:t>
      </w:r>
    </w:p>
    <w:p>
      <w:pPr>
        <w:spacing w:after="0" w:line="14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As of December 31, 2022 and 2021, the Company had U.S. net operating loss carryforwards (“NOL”) of $328.2 million and $307.3 million, respectively. As of December 31, 2022 and 2021, the Company had U.S. tax credit carryforwards of $21.9 million and $18.6 million, respectively, and state tax credit carryforwards of $1.6 million and $1.0 million, respectively. Of the net operating loss and tax credit carryforwards, $58.4 million and $21.9 million, respectively, will expire in 2033, if not utilized. Any remaining net operating loss will carry forward indefinitely and can be utilized to offset up to 80% of the taxable income in any tax year. The net operating loss and credit carryforwards are subject to Internal Revenue Service adjustments until the statute closes on the year the net operating loss or tax credits are utilized.</w:t>
      </w:r>
    </w:p>
    <w:p>
      <w:pPr>
        <w:spacing w:after="0" w:line="17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Company has not completed a study to assess whether an ownership change has occurred or whether there have been multiple ownership changes since the Company’s formation due to the complexity and cost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associated with such a study, and the fact that there may be additional such ownership changes in the future. If the Company has experienced an ownership change at any time since its formation, utilization of the NOL or research and development credit carryforwards would be subject to an annual limitation under Section 382 or 383 of the Internal Revenue Code, which is determined by first multiplying the value of the Company’s stock at the time of the ownership change by the applicable long-term, tax-exempt rate, and then could be subject to additional adjustments, as required. Additionally, the separate return limitation year (“SRLY”) rules may apply to losses of the Company’s eight wholly owned U.S. subsidiary corporations. The SRLY rules limit the consolidated group’s use of a subsidiary corporation’s net operating losses to the amount of income generated by the subsidiary corporation after it becomes a member of the group. Any limitation may result in expiration of a portion of the NOL or research and development credit carryforwards before utilization. Further, until a study is completed and any limitation known, no amounts are being considered as an uncertain tax position or disclosed as an unrecognized tax benefit. Additionally, the Company does not expect any unrecognized tax benefits to change significantly over the next twelve months.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7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subject to examination by taxing authorities in its significant jurisdictions for the 2018 and subsequent years. However, due to NOL and tax attribute carryovers, the taxing authorities have the ability to adjust the NOLs and other tax attributes related to closed years. As of December 31, 2022 and 2021, there were no amounts recorded for uncertain tax positions. As of December 31, 2022, undistributed earnings of the Company’s newly incorporated foreign subsidiaries are immaterial. Under the Global Intangible Low-Taxed Income (“GILTI”) provisions of the 2017 Tax Cuts and Jobs Act, U.S. income taxes have been incurred on the undistributed earnings of the foreign subsidiaries and therefore, the tax impact upon distribution is limited to state income and withholding taxes and is not material.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Basic and diluted net loss per share is computed by dividing net loss by the weighted-average number of common stock and pre-funded warrants outstanding during the period. The pre-funded warrants are included in the computation of basic net loss per share as the exercise price is negligible and they are fully vested and exercisable. For periods in which the Company generated a net loss, the Company does not include the potential impact of dilutive securities in diluted net loss per share, as the impact of these items is anti-dilutive.</w:t>
      </w:r>
    </w:p>
    <w:p>
      <w:pPr>
        <w:spacing w:after="0" w:line="17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weighted-average equity instruments were excluded from the calculation of diluted net loss per share because their effect would have been anti-dilutive for the periods presented:</w:t>
      </w:r>
    </w:p>
    <w:p>
      <w:pPr>
        <w:spacing w:after="0" w:line="189"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6350</wp:posOffset>
            </wp:positionV>
            <wp:extent cx="17913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7600"/>
        <w:spacing w:after="0"/>
        <w:tabs>
          <w:tab w:leader="none" w:pos="8580" w:val="left"/>
          <w:tab w:leader="none" w:pos="96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tbl>
      <w:tblPr>
        <w:tblLayout w:type="fixed"/>
        <w:tblInd w:w="1000" w:type="dxa"/>
        <w:tblCellMar>
          <w:top w:w="0" w:type="dxa"/>
          <w:left w:w="0" w:type="dxa"/>
          <w:bottom w:w="0" w:type="dxa"/>
          <w:right w:w="0" w:type="dxa"/>
        </w:tblCellMar>
      </w:tblP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346,331</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264,858</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201,977</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780" w:type="dxa"/>
            <w:vAlign w:val="bottom"/>
          </w:tcPr>
          <w:p>
            <w:pPr>
              <w:jc w:val="right"/>
              <w:spacing w:after="0"/>
              <w:rPr>
                <w:sz w:val="20"/>
                <w:szCs w:val="20"/>
                <w:color w:val="auto"/>
              </w:rPr>
            </w:pPr>
            <w:r>
              <w:rPr>
                <w:rFonts w:ascii="Arial" w:cs="Arial" w:eastAsia="Arial" w:hAnsi="Arial"/>
                <w:sz w:val="18"/>
                <w:szCs w:val="18"/>
                <w:color w:val="auto"/>
              </w:rPr>
              <w:t>6,982</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7,975</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4,239</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reconciliation of the shares used as the denominator for the calculation of basic and diluted net loss per share: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6"/>
              </w:rPr>
              <w:t>Year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120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7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2,307,668</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1,956,933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1,608,952</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Weighted average pre-funded warrants</w:t>
            </w:r>
          </w:p>
        </w:tc>
        <w:tc>
          <w:tcPr>
            <w:tcW w:w="17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1,063,563</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672,851</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525,917</w:t>
            </w:r>
          </w:p>
        </w:tc>
        <w:tc>
          <w:tcPr>
            <w:tcW w:w="80" w:type="dxa"/>
            <w:vAlign w:val="bottom"/>
          </w:tcPr>
          <w:p>
            <w:pPr>
              <w:spacing w:after="0"/>
              <w:rPr>
                <w:sz w:val="19"/>
                <w:szCs w:val="19"/>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Total basic and diluted weighted average shares</w:t>
            </w:r>
          </w:p>
        </w:tc>
        <w:tc>
          <w:tcPr>
            <w:tcW w:w="17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3,371,231</w:t>
            </w: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2,629,784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2,134,869</w:t>
            </w:r>
          </w:p>
        </w:tc>
        <w:tc>
          <w:tcPr>
            <w:tcW w:w="8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2640" w:type="dxa"/>
            <w:vAlign w:val="bottom"/>
            <w:gridSpan w:val="2"/>
          </w:tcPr>
          <w:p>
            <w:pPr>
              <w:jc w:val="right"/>
              <w:ind w:right="1877"/>
              <w:spacing w:after="0"/>
              <w:rPr>
                <w:sz w:val="20"/>
                <w:szCs w:val="20"/>
                <w:color w:val="auto"/>
              </w:rPr>
            </w:pPr>
            <w:r>
              <w:rPr>
                <w:rFonts w:ascii="Arial" w:cs="Arial" w:eastAsia="Arial" w:hAnsi="Arial"/>
                <w:sz w:val="18"/>
                <w:szCs w:val="18"/>
                <w:color w:val="auto"/>
              </w:rPr>
              <w:t>F-31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Reverse Stock Split</w:t>
      </w:r>
    </w:p>
    <w:p>
      <w:pPr>
        <w:spacing w:after="0" w:line="12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On September 8, 2023, the Company effected a reverse stock split of its common stock at a ratio of 1-for-25 (the “Reverse Split”). Upon the effectiveness of the Reverse Split, (i) every 25 shares of outstanding common stock were reclassified and combined into one share of common stock,</w:t>
      </w:r>
    </w:p>
    <w:p>
      <w:pPr>
        <w:ind w:left="120" w:hanging="4"/>
        <w:spacing w:after="0" w:line="270" w:lineRule="auto"/>
        <w:tabs>
          <w:tab w:leader="none" w:pos="3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number of shares of common stock for which each outstanding option and warrant to purchase common stock is exercisable was proportionally decreased and the exercise price of each outstanding option and warrant to purchase common stock proportionally increased, and (iii) the total number of authorized shares of common stock was proportionally decreased. No fractional shares were issued as a result of the Reverse Split. Accordingly, all share and per share amounts for all periods presented in these financial statements and notes thereto have been adjusted retroactively, where applicable, to reflect the Reverse Split and adjustment of the exercise price of each outstanding option and warrant as if the transaction had occurred as of the beginning of the earliest period presented.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20"/>
          </w:cols>
          <w:pgMar w:left="320" w:top="459" w:right="5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of Aeglea BioTherapeutics,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left="120" w:right="940"/>
        <w:spacing w:after="0" w:line="342" w:lineRule="auto"/>
        <w:rPr>
          <w:sz w:val="20"/>
          <w:szCs w:val="20"/>
          <w:color w:val="auto"/>
        </w:rPr>
      </w:pPr>
      <w:r>
        <w:rPr>
          <w:rFonts w:ascii="Arial" w:cs="Arial" w:eastAsia="Arial" w:hAnsi="Arial"/>
          <w:sz w:val="16"/>
          <w:szCs w:val="16"/>
          <w:color w:val="auto"/>
        </w:rPr>
        <w:t>We have audited the accompanying statement of assets acquired and liabilities assumed from Spyre Therapeutics, Inc. (“Spyre”) by Aeglea BioTherapeutics, Inc. (“Aeglea”) as of June 22, 2023, including the related notes (collectively referred to as the “financial statement”).</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our opinion, the accompanying financial statement presents fairly, in all material respects, the assets acquired and liabilities assumed from Spyre by Aeglea as of June 22, 2023 in accordance with accounting principles generally accepted in the United States of America.</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We conducted our audit in accordance with auditing standards generally accepted in the United States of America (US GAAS). Our responsibilities under those standards are further described in the Auditors’ Responsibilities for the Audit of the Financial Statement section of our report. We are required to be independent of Aeglea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Substantial Doubt about the Company’s Ability to Continue as a Going Concern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accompanying financial statement has been prepared assuming that Aeglea will continue as a going concern. As discussed in Note 1 to the financial statement, holders of Aeglea Series A Preferred Stock are entitled to require Aeglea to settle their shares of Series A Preferred Stock for cash, and the cash redemption is not in Aeglea’s control, and Aeglea has stated that substantial doubt exists about it’s ability to continue as a going concern. Management’s evaluation of the events and conditions and management’s plans regarding these matters are also described in Note 1. The financial statement does not include any adjustments that might result from the outcome of the uncertainty. Our opinion is not modified with respect to this matter.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 described in Note 1 to the accompanying financial statement, the financial statement was prepared in connection with Aeglea’s acquisition of Spyre in accordance with a Securities and Exchange Commission (SEC) waiver received by Aeglea, for the purpose of Aeglea complying with Rule 3-05 of the SEC’s Regulation S-X. The financial statement is not intended to be a complete presentation of the financial position, results of operations, or cash flows of Spyre. Our opinion is not modified with respect to this matter.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Responsibilities of Management for the Financial Statement</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 financial statement in accordance with accounting principles generally accepted in the United States of America, and for the design, implementation, and maintenance of internal control relevant to the preparation and fair presentation of the financial statement that is free from material misstatement, whether due to fraud or error.</w:t>
      </w:r>
    </w:p>
    <w:p>
      <w:pPr>
        <w:spacing w:after="0" w:line="7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In preparing the financial statement, management is required to evaluate whether there are conditions or events, considered in the aggregate, that raise substantial doubt about Aeglea’s ability to continue as a going concern for one year after the date the financial statement is available to be issued.</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Auditors’ Responsibilities for the Audit of the Financial Statement</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objectives are to obtain reasonable assurance about whether the financial statement as a whole is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performing an audit in accordance with US GAAS, we:</w:t>
      </w:r>
    </w:p>
    <w:p>
      <w:pPr>
        <w:spacing w:after="0" w:line="13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130"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 whether due to fraud or error, and design and perform audit procedures responsive to those risks. Such procedures include examining, on a test basis, evidence regarding the amounts and disclosures in the financial statement.</w:t>
      </w:r>
    </w:p>
    <w:p>
      <w:pPr>
        <w:spacing w:after="0" w:line="89"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Aeglea’s internal control. Accordingly, no such opinion is expressed.</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Aeglea’s ability to continue as a going concern for a reasonable period of time.</w:t>
      </w:r>
    </w:p>
    <w:p>
      <w:pPr>
        <w:spacing w:after="0" w:line="17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October 6, 2023</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7500" w:type="dxa"/>
            <w:vAlign w:val="bottom"/>
            <w:gridSpan w:val="2"/>
          </w:tcPr>
          <w:p>
            <w:pPr>
              <w:jc w:val="center"/>
              <w:ind w:right="1839"/>
              <w:spacing w:after="0"/>
              <w:rPr>
                <w:sz w:val="20"/>
                <w:szCs w:val="20"/>
                <w:color w:val="auto"/>
              </w:rPr>
            </w:pPr>
            <w:r>
              <w:rPr>
                <w:rFonts w:ascii="Arial" w:cs="Arial" w:eastAsia="Arial" w:hAnsi="Arial"/>
                <w:sz w:val="18"/>
                <w:szCs w:val="18"/>
                <w:b w:val="1"/>
                <w:bCs w:val="1"/>
                <w:color w:val="auto"/>
                <w:w w:val="90"/>
              </w:rPr>
              <w:t>Aeglea BioTherapeutics, Inc.</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7500" w:type="dxa"/>
            <w:vAlign w:val="bottom"/>
            <w:gridSpan w:val="2"/>
          </w:tcPr>
          <w:p>
            <w:pPr>
              <w:jc w:val="center"/>
              <w:ind w:right="1859"/>
              <w:spacing w:after="0"/>
              <w:rPr>
                <w:sz w:val="20"/>
                <w:szCs w:val="20"/>
                <w:color w:val="auto"/>
              </w:rPr>
            </w:pPr>
            <w:r>
              <w:rPr>
                <w:rFonts w:ascii="Arial" w:cs="Arial" w:eastAsia="Arial" w:hAnsi="Arial"/>
                <w:sz w:val="18"/>
                <w:szCs w:val="18"/>
                <w:b w:val="1"/>
                <w:bCs w:val="1"/>
                <w:color w:val="auto"/>
                <w:w w:val="89"/>
              </w:rPr>
              <w:t>Statement of Assets Acquired and Liabilities Assumed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7500" w:type="dxa"/>
            <w:vAlign w:val="bottom"/>
            <w:gridSpan w:val="2"/>
          </w:tcPr>
          <w:p>
            <w:pPr>
              <w:jc w:val="center"/>
              <w:ind w:right="1859"/>
              <w:spacing w:after="0"/>
              <w:rPr>
                <w:sz w:val="20"/>
                <w:szCs w:val="20"/>
                <w:color w:val="auto"/>
              </w:rPr>
            </w:pPr>
            <w:r>
              <w:rPr>
                <w:rFonts w:ascii="Arial" w:cs="Arial" w:eastAsia="Arial" w:hAnsi="Arial"/>
                <w:sz w:val="18"/>
                <w:szCs w:val="18"/>
                <w:b w:val="1"/>
                <w:bCs w:val="1"/>
                <w:color w:val="auto"/>
                <w:w w:val="90"/>
              </w:rPr>
              <w:t>from Spyre Therapeutics, Inc. by Aeglea BioTherapeutics, Inc.</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7500" w:type="dxa"/>
            <w:vAlign w:val="bottom"/>
            <w:gridSpan w:val="2"/>
          </w:tcPr>
          <w:p>
            <w:pPr>
              <w:jc w:val="center"/>
              <w:ind w:right="1839"/>
              <w:spacing w:after="0"/>
              <w:rPr>
                <w:sz w:val="20"/>
                <w:szCs w:val="20"/>
                <w:color w:val="auto"/>
              </w:rPr>
            </w:pPr>
            <w:r>
              <w:rPr>
                <w:rFonts w:ascii="Arial" w:cs="Arial" w:eastAsia="Arial" w:hAnsi="Arial"/>
                <w:sz w:val="18"/>
                <w:szCs w:val="18"/>
                <w:b w:val="1"/>
                <w:bCs w:val="1"/>
                <w:color w:val="auto"/>
                <w:w w:val="88"/>
              </w:rPr>
              <w:t>(in thousands)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27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 of June 22,</w:t>
            </w:r>
          </w:p>
        </w:tc>
      </w:tr>
      <w:tr>
        <w:trPr>
          <w:trHeight w:val="171"/>
        </w:trPr>
        <w:tc>
          <w:tcPr>
            <w:tcW w:w="2720" w:type="dxa"/>
            <w:vAlign w:val="bottom"/>
            <w:tcBorders>
              <w:bottom w:val="single" w:sz="8" w:color="CCEEFF"/>
            </w:tcBorders>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2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 ACQUIRED</w:t>
            </w:r>
          </w:p>
        </w:tc>
        <w:tc>
          <w:tcPr>
            <w:tcW w:w="7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Current assets:</w:t>
            </w: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7500" w:type="dxa"/>
            <w:vAlign w:val="bottom"/>
            <w:gridSpan w:val="2"/>
            <w:shd w:val="clear" w:color="auto" w:fill="CCEEFF"/>
          </w:tcPr>
          <w:p>
            <w:pPr>
              <w:ind w:left="7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3,035</w:t>
            </w:r>
          </w:p>
        </w:tc>
      </w:tr>
      <w:tr>
        <w:trPr>
          <w:trHeight w:val="230"/>
        </w:trPr>
        <w:tc>
          <w:tcPr>
            <w:tcW w:w="27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0"/>
                <w:szCs w:val="20"/>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7500" w:type="dxa"/>
            <w:vAlign w:val="bottom"/>
            <w:gridSpan w:val="2"/>
            <w:shd w:val="clear" w:color="auto" w:fill="CCEEFF"/>
          </w:tcPr>
          <w:p>
            <w:pPr>
              <w:ind w:left="7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3,035</w:t>
            </w:r>
          </w:p>
        </w:tc>
      </w:tr>
      <w:tr>
        <w:trPr>
          <w:trHeight w:val="223"/>
        </w:trPr>
        <w:tc>
          <w:tcPr>
            <w:tcW w:w="272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7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7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7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20,047</w:t>
            </w:r>
          </w:p>
        </w:tc>
      </w:tr>
      <w:tr>
        <w:trPr>
          <w:trHeight w:val="27"/>
        </w:trPr>
        <w:tc>
          <w:tcPr>
            <w:tcW w:w="27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20,047</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20,047</w:t>
            </w:r>
          </w:p>
        </w:tc>
        <w:tc>
          <w:tcPr>
            <w:tcW w:w="120" w:type="dxa"/>
            <w:vAlign w:val="bottom"/>
          </w:tcPr>
          <w:p>
            <w:pPr>
              <w:spacing w:after="0"/>
              <w:rPr>
                <w:sz w:val="20"/>
                <w:szCs w:val="20"/>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liabilities assumed</w:t>
            </w:r>
          </w:p>
        </w:tc>
        <w:tc>
          <w:tcPr>
            <w:tcW w:w="7500" w:type="dxa"/>
            <w:vAlign w:val="bottom"/>
            <w:gridSpan w:val="2"/>
            <w:shd w:val="clear" w:color="auto" w:fill="CCEEFF"/>
          </w:tcPr>
          <w:p>
            <w:pPr>
              <w:ind w:left="73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(17,012)</w:t>
            </w:r>
          </w:p>
        </w:tc>
      </w:tr>
      <w:tr>
        <w:trPr>
          <w:trHeight w:val="20"/>
        </w:trPr>
        <w:tc>
          <w:tcPr>
            <w:tcW w:w="27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Statement of Assets Acquired and Liabilities Assumed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from Spyre Therapeutics, Inc. by Aeglea BioTherapeutics, Inc.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Notes to Statement of Assets Acquired and Liabilities Assumed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from Spyre Therapeutics, Inc. by Aeglea BioTherapeutics, Inc.</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Business and Summary of Significant Accounting Policies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On June 22, 2023, Aeglea BioTherapeutics, Inc. (“Aeglea”, the “Company”, and “our”) acquired, in accordance with the terms of the Agreement and Plan of Merger (the “Acquisition Agreement”), the assets from Spyre Therapeutics, Inc (“Spyre”), a privately held biotechnology company advancing a pipeline of antibody therapeutics through a research and development option agreement (“Paragon Agreement”) with Paragon Therapeutics (“Paragon”). Spyre was incorporated on April 28, 2023, for the purpose of holding rights to certain intellectual property being developed by Paragon.</w:t>
      </w:r>
    </w:p>
    <w:p>
      <w:pPr>
        <w:spacing w:after="0" w:line="15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On September 8, 2023, Aeglea effected a reverse stock split of its Common Stock at a ratio of 1-for-25 (the “Reverse Split”). Except as indicated otherwise, all share numbers related to our Common Stock disclosed in this statement have been adjusted on a post-Reverse Split basis.</w:t>
      </w:r>
    </w:p>
    <w:p>
      <w:pPr>
        <w:spacing w:after="0" w:line="12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transaction (the “Asset Acquisition”) was structured as a stock-for-stock transaction pursuant to which all of Spyre’s outstanding equity interests were exchanged based on a fixed exchange ratio of 0.5494488 to 1 for consideration from Aeglea of 517,809 shares of common stock and 364,887 shares of Series A non-voting convertible preferred stock, par value of $0.0001 per share (“Series A Preferred Stock”) (convertible on a 40 to 1 basis) in addition to the assumption of outstanding and unexercised stock options to purchase 2,734 shares of common stock from the Amended and Restated Spyre 2023 Equity Incentive Plan. The Aeglea common stock and the Aeglea Series A Preferred Stock related to the Asset Acquisition were issued to the Spyre stockholders on July 7, 2023.</w:t>
      </w:r>
    </w:p>
    <w:p>
      <w:pPr>
        <w:spacing w:after="0" w:line="19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Company concluded that the arrangement meets the definition of an asset acquisition rather than a business combination, as substantially all of the fair value of the gross assets acquired is concentrated in a single identifiable asset, Spyre’s option (the “Option”) to exclusively license certain in-process research and development (“IPR&amp;D”). The Company determined that the Option to license IPR&amp;D was a single asset as the Company’s strategy relies on developing a portfolio of combination treatments that simultaneously address different mechanisms of irritable bowel disease. The Company also determined that the pipeline candidates within the portfolio are similar in nature and risk profile. In addition, the Company did not obtain any substantive processes, assembled workforce, or employees capable of producing outputs in connection with the Asset Acquisition.</w:t>
      </w:r>
    </w:p>
    <w:p>
      <w:pPr>
        <w:spacing w:after="0" w:line="16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The Company determined that the cost to acquire the asset was $113.2 million, which was recorded as acquired IPR&amp;D. The fair value of the consideration issued consisted of the 364,887 shares of Series A Preferred Stock (14,595,480 shares of common stock on an as-converted basis) and 517,809 shares of common stock, valued at $291.08 per share and $7.277 per share, respectively.</w:t>
      </w:r>
    </w:p>
    <w:p>
      <w:pPr>
        <w:spacing w:after="0" w:line="16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Paragon Agreement provided for an annual equity grant of options to purchase 1% of the then outstanding shares of Spyre’s common stock, on a fully diluted basis, on the last business day of each calendar year during the term of the Option, at the fair market value determined by the board of directors of Spyre (the “Parapyre Option Obligation”). In connection with the Asset Acquisition, the Company assumed the rights and obligations of Spyre under the Paragon Agreement, including the Parapyre Option Obligation. As a result, the Parapyre Option Obligation shall continue and Parapyre shall be entitled to receive the equivalent shares of common stock of the Company on the same terms. For additional information, see Note 3.</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Asset Acquisition costs are shown on the following table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4"/>
              </w:rPr>
              <w:t>As of June 22,</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 in Series A Preferred Stock and common stock</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82"/>
              </w:rPr>
              <w:t>109,979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Transaction costs incurred by Aeglea</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to acquire asset</w:t>
            </w:r>
          </w:p>
        </w:tc>
        <w:tc>
          <w:tcPr>
            <w:tcW w:w="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113,176</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w w:val="99"/>
              </w:rPr>
              <w:t>The Company’s allocation of the purchase price to net assets acquired is as follows (in thousands):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w w:val="96"/>
              </w:rPr>
              <w:t>As of June 22,</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130,188</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acquired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(20,047)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20" w:type="dxa"/>
            <w:vAlign w:val="bottom"/>
          </w:tcPr>
          <w:p>
            <w:pPr>
              <w:ind w:left="360"/>
              <w:spacing w:after="0"/>
              <w:rPr>
                <w:sz w:val="20"/>
                <w:szCs w:val="20"/>
                <w:color w:val="auto"/>
              </w:rPr>
            </w:pPr>
            <w:r>
              <w:rPr>
                <w:rFonts w:ascii="Arial" w:cs="Arial" w:eastAsia="Arial" w:hAnsi="Arial"/>
                <w:sz w:val="18"/>
                <w:szCs w:val="18"/>
                <w:color w:val="auto"/>
              </w:rPr>
              <w:t>Total cost to acquire asset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113,176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accordance with ASC 730-10-25-2(c), intangible assets used in research and developmental activities acquired in an asset acquisition should be expensed at the acquisition date if there is no alternative future use in other R&amp;D projects or otherwise (i.e., if they have no economic value). The Company determined that product candidates pertaining to Spyre had no alternative future use at the time of acquisition and recorded $130.2 million to Acquired In-process Research and Development Expenses as of the date of acquisition. The difference between this amount and the $113.2 million cost to acquire Spyre represents the net liabilities assumed of $17.0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 result of acquiring Spyre, and based on the criteria in Rule 3-05 of the Securities and Exchange Commission’s (the “SEC”) Regulation S-X, the Company would ordinarily be required to file certain historical audited financial statements for Spyre and corresponding pro forma financial information pursuant to Article 11 of Regulation S-X. Further, the historical financial statements could require the inclusion of predecessor entity information, if warranted. However, because the Company believes that Spyre’s full financial statements are not material to the Company’s shareholders and would be of limited value to investors, the Company requested relief from the SEC from the requirements under Rule 3-05 and Article 11 of Regulation S-X to file audited financial statements and pro forma financial information in connection with the acquisition of Spyre. In response to the waiver request, the SEC provided the Company with a waiver that it could file an audited Statement of Assets Acquired and Liabilities Assumed from Spyre Therapeutics, Inc. on the basis of the allocation of the Company’s purchase price as of the acquisition date of June 22, 2023. Stand-alone full financial statements related to the assets acquired have not been prepared previously. This financial statement is not intended to be a complete presentation of the financial position, results of operations, or cash flows of Spyre.</w:t>
      </w:r>
    </w:p>
    <w:p>
      <w:pPr>
        <w:spacing w:after="0" w:line="18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Company determined that it was the acquirer of Spyre under ASC 805 due to the relative voting rights in the combined entity, the composition of the governing body of the combined entity, and the composition of the senior management of the combined entity remaining relatively the same before and after the consummation of the transaction. The Company determined that the future conversion of the Series A Preferred Stock, if approved by the Company’s voting shareholders, was an independent event based on it being outside of the control of the Company and therefore substantive. The Company did not succeed to substantially all of Paragon’s business nor acquire from Paragon any separately identifiable line of business, the Company concluded that Paragon did not meet the definition of predecessor.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92"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Company concluded that the arrangement meets the definition of an asset acquisition rather than a business combination, as substantially all of the fair value of the gross assets acquired is concentrated in a single identifiable asset, Spyre’s option to exclusively license IPR&amp;D.</w:t>
      </w:r>
    </w:p>
    <w:p>
      <w:pPr>
        <w:spacing w:after="0" w:line="124"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assets, which includes pre-acquisition direct costs recorded in accrued professional and consulting fees. Goodwill is not recognized in asset acquisitions. When a transaction accounted for as an asset acquisition includes an IPR&amp;D asset, the IPR&amp;D asset is only capitalized if it has an alternative future use other than in a particular research and development project. Otherwise, the cost allocated to acquire an IPR&amp;D asset with no alternative future use is charged to expense at the acquisition date.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 candidates will require significant additional financing before a commercial drug can be produced and marketed.</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 candidates. As a result of these and other factors and the related uncertainties, there can be no assurance of the Company’s future success.</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In April 2023, the Board of Directors approved a restructuring of the Company’s workforce pursuant to which the Company’s workforce was reduced by approximately 83%, retaining approximately 10 employees. Additionally, the Company announced interim results from its ongoing Phase 1/2 clinical trial of pegtarviliase for the treatment of classical homocystinuria. Following a review of the interim results and other business considerations, the Company explored strategic alternatives with the goal of maximizing stockholder value, including possible business combinations and/or a divestiture of the Company’s clinical programs.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June 22, 2023, the Company acquired the net liabilities from Spyre. Additionally, on June 26, 2023, the Company completed a private placement of shares of Series A Preferred Stock and sold an aggregate of 721,452 shares of Series A Preferred Stock for an aggregate purchase price of approximately $210.0 million before deducting approximately $12.7 million placement agent and other offering expenses. In accordance with ASC 205-40, Going Concern, in connection with the preparation of the statement of assets acquired and liabilities assumed of Spyre, the Company has evaluated whether there are conditions and events, considered in the aggregate, that raise substantial doubt about the Company’s ability to continue as a going concern within one year after the date the financial statement is available to be issued. Our Series A Preferred Stock agreement requires us to seek stockholder approval for the conversion of the Series A Preferred Stock to Common Stock. The Company has agreed to hold a stockholders’ meeting to submit this matter to its stockholders for their consideration. In connection with this, the Company filed with the SEC a preliminary proxy statement and other relevant materials. The stockholder meeting has not occurred as of October 6, 2023. If our stockholders do not timely approve the conversion of our Series A Preferred Stock, then the holders of our Series A Preferred Stock</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are entitled to require us to settle their shares of Series A Preferred Stock for cash at a price per share equal to the fair value of the Series A Preferred Stock, as described in our Certificate of Designation relating to the Series A Preferred Stock. The cash redemption is not in our control and raises substantial doubt about our ability to continue as a going concern. The accompanying financial statement assumes the Company will continue as a going concern through the realization of assets and satisfaction of liabilities and commitments in the ordinary course of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and certain financial statement disclosures. Management bases its estimates on historical experience and on various other market-specific and relevant assumptions that management believes to be reasonable under the circumstances, the results of which form the basis for making judgments about the carrying value of assets, liabilities, and equity and the amount of revenues and expenses. Actual results could differ significantly from those estimates. Key estimates that management considers in the preparation of the Company’s financial statements relate to accrued option costs payable to Paragon and the valuation of consideration transferred. The consideration transferred in acquiring IPR&amp;D in connection with the acquisition of Spyre was comprised of the Company’s common stock and shares of Series A preferred stock. To determine the fair value of the equity transferred, the Company considered the per share value of its concurrent private financing transaction, which was an over-subscribed financing event involving a group of investors.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June 22, 2023, Spyre held $3.0 million in cash and cash equivalents, which consisted of a single deposit account denominated in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dollars. At June 22, 2023, U.S. cash deposits in excess of the Federal Deposit Insurance Corporation’s insured limit were $2.8 million.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Accrued liabilities primarily consist of research initiation fees, reimbursable expenses under the Paragon Agreement for historical costs incurred by Paragon, professional and consulting fees, and the fair of assumed Parapyre Option Obligation.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Accrued liabilities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In connection with the Asset Acquisition, the Company assumed the rights and obligations of Spyre under the Paragon Agreement. Under the Paragon Agreement, Spyre is obligated to compensate Paragon on a quarterly basis for its services performed under each research program based on the actual costs incurred with mark-up costs pursuant to the terms of the Paragon Agreement. As of the date of the Asset Acquisition, Spyre had incurred total expenses of $19.0 million under the Paragon Agreement since inception, inclusive of a $3.0 million research initiation fee that was due upon signing of the Paragon Agreement and $16.0 million of historical reimbursable expenses owed to Paragon. As of June 22, 2023, $19.0 million was unpaid and was assumed by the Company through the Asset Acquisition.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4"/>
              </w:rPr>
              <w:t>As of June 22,</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Accrued option cost payable to Paragon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Accrued professional and consulting fees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assumed Parapyre Option Obligation (Note 3)</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3580"/>
              <w:spacing w:after="0"/>
              <w:rPr>
                <w:sz w:val="20"/>
                <w:szCs w:val="20"/>
                <w:color w:val="auto"/>
              </w:rPr>
            </w:pPr>
            <w:r>
              <w:rPr>
                <w:rFonts w:ascii="Arial" w:cs="Arial" w:eastAsia="Arial" w:hAnsi="Arial"/>
                <w:sz w:val="18"/>
                <w:szCs w:val="18"/>
                <w:color w:val="auto"/>
              </w:rPr>
              <w:t>F-39</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Parapyre Option Obligation</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June 22, 2023, in connection with the Asset Acquisition, the Company assumed the Parapyre Option Obligation which provided for an annual equity grant of options for Parapyre to purchase 1% of the then outstanding shares of Spyre’s common stock, on a fully diluted basis, on the last business day of each calendar year during the term of the Paragon Agreement, at the fair market value determined by the board of directors of Spyre. As a result of the Asset Acquisition the Parapyre Option Obligation shall continue and Parapyre shall be entitled to receive the equivalent shares of the Company with the same terms. The Parapyre Option Obligation is considered a Level 2 liability based on observable market data for substantially the full term of the liabilities. The Parapyre Option Obligation is measured each period using a Black-Scholes model to estimate the fair value of the option grant. Changes in the fair value of the Parapyre Option Obligation are recorded as stock-based compensation within Research and development expenses for non-employees who provided pre-clinical testing services within Research and development expenses. As of June 22, 2023, the estimated liability of the Parapyre Option Obligation was $0.1 million and was included in accrued liabilities.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Related Party Transactions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Paragon and Parapyre Holding LLC each beneficially owns less than 5% of the Company’s capital stock through their respective holdings of Common Stock and Series A Preferred Stock of the Company. Fairmount Funds Management LLC (“Fairmount”) beneficially owns more than 5% of our capital stock, has two seats on the Company’s board of directors and beneficially owns more than 5% of Paragon, which is a joint venture between Fairmount and Fair Journey Biologics. Fairmount has appointed Paragon’s board of directors and has the contractual right to approve the appointment of any executive officers. Parapyre is an entity formed by Paragon as a vehicle to hold equity in Spyre in order to share profits with certain employees of Paragon.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Subsequent Events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Company’s management has evaluated subsequent events up to October 6, 2023, the date the Statement of Assets Acquired and Liabilities Assumed from Spyre, Inc. was available to be issued. There have been no subsequent events that require recognition or disclosure in this financial statement except for the following described below.</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July 7, 2023, the Company issued 517,809 shares of common stock and 364,887 shares of Series A Preferred Stock as part of its consideration transferred in connection with the Asset Acquisition.</w:t>
      </w:r>
    </w:p>
    <w:p>
      <w:pPr>
        <w:spacing w:after="0" w:line="170"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On August 8, 2023, the Company filed a preliminary proxy statement with the SEC to solicit approval of the conversion of the Series A Preferred Stock into shares of Common Stock in connection with the Asset acquisition, among other matters, at a special meeting of stockholders.</w:t>
      </w:r>
    </w:p>
    <w:p>
      <w:pPr>
        <w:spacing w:after="0" w:line="12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On September 8, 2023, the Company’s Board of Directors approved a reverse stock split of the Company’s common stock, par value $0.0001 per share, at a ratio of 1-for-25 and a reduction in the total number of authorized shares of Common Stock from 500,000,000 shares to 20,000,000 shares.</w:t>
      </w:r>
    </w:p>
    <w:p>
      <w:pPr>
        <w:spacing w:after="0" w:line="12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On September 29, 2023, the Company amended the Paragon Agreement to amend and restate certain terms of the option grant pertaining to the Parapyre Option Obligation, including but not limited to (i) defining that the annual equity grant of options is based on the outstanding shares of Aeglea’s common stock, (ii) establishing the grant date as the last business day of each applicable calendar year, and (iii) defining the term of the options granted is ten years. The liability related to the Parapyre Option Obligation will be recorded pursuant to the amended Paragon Agreement on a go forward basis. The Company determined that these amendments would not have materially impacted the liability as of June 22, 2023.</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 thousands, except share and per share amounts)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4"/>
                <w:szCs w:val="14"/>
                <w:color w:val="auto"/>
                <w:w w:val="87"/>
              </w:rPr>
              <w:t>September 30,</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8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4"/>
                <w:szCs w:val="14"/>
                <w:color w:val="auto"/>
              </w:rPr>
            </w:pPr>
          </w:p>
        </w:tc>
      </w:tr>
      <w:tr>
        <w:trPr>
          <w:trHeight w:val="196"/>
        </w:trPr>
        <w:tc>
          <w:tcPr>
            <w:tcW w:w="8520" w:type="dxa"/>
            <w:vAlign w:val="bottom"/>
            <w:shd w:val="clear" w:color="auto" w:fill="CCEEFF"/>
          </w:tcPr>
          <w:p>
            <w:pPr>
              <w:ind w:left="3820"/>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90,592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34,863</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113,007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20,848</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receivables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6,172</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205,949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62,258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1,553</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3,430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207,265</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71,144</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CVR liability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517</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15,861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12,837</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Related party accounts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19,823</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44,872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14,656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Non-current CVR liability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20,690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4,004</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2,179</w:t>
            </w:r>
          </w:p>
        </w:tc>
      </w:tr>
      <w:tr>
        <w:trPr>
          <w:trHeight w:val="27"/>
        </w:trPr>
        <w:tc>
          <w:tcPr>
            <w:tcW w:w="8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65,562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20,839</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A non-voting convertible preferred stock, $0.0001 par value; 1,086,341 and no shares authorized as of</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September 30, 2023 and December 31, 2022, respectively; 1,086,339 and no shares issued and outstanding as of</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2023 and December 31, 2022, respectively</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387,105</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Preferred stock, $0.0001 par value; 8,913,659 shares and 10,000,000 authorized as of September 30, 2023 and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December 31, 2022; no shares issued and outstanding as of September 30, 2023 and December 31, 2022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52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$0.0001 par value; 20,000,000 shares authorized as of September 30, 2023 and December 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520" w:type="dxa"/>
            <w:vAlign w:val="bottom"/>
          </w:tcPr>
          <w:p>
            <w:pPr>
              <w:ind w:left="540"/>
              <w:spacing w:after="0"/>
              <w:rPr>
                <w:sz w:val="20"/>
                <w:szCs w:val="20"/>
                <w:color w:val="auto"/>
              </w:rPr>
            </w:pPr>
            <w:r>
              <w:rPr>
                <w:rFonts w:ascii="Arial" w:cs="Arial" w:eastAsia="Arial" w:hAnsi="Arial"/>
                <w:sz w:val="18"/>
                <w:szCs w:val="18"/>
                <w:color w:val="auto"/>
                <w:w w:val="98"/>
              </w:rPr>
              <w:t>2022; 4,048,687 shares and 2,614,014 shares issued and outstanding as of September 30, 2023 and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520" w:type="dxa"/>
            <w:vAlign w:val="bottom"/>
          </w:tcPr>
          <w:p>
            <w:pPr>
              <w:ind w:left="540"/>
              <w:spacing w:after="0"/>
              <w:rPr>
                <w:sz w:val="20"/>
                <w:szCs w:val="20"/>
                <w:color w:val="auto"/>
              </w:rPr>
            </w:pPr>
            <w:r>
              <w:rPr>
                <w:rFonts w:ascii="Arial" w:cs="Arial" w:eastAsia="Arial" w:hAnsi="Arial"/>
                <w:sz w:val="18"/>
                <w:szCs w:val="18"/>
                <w:color w:val="auto"/>
              </w:rPr>
              <w:t>December 31, 2022, respectively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455,957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475,971</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(701,234)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(425,624)</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(245,402)</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50,305</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207,265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71,144</w:t>
            </w:r>
          </w:p>
        </w:tc>
      </w:tr>
      <w:tr>
        <w:trPr>
          <w:trHeight w:val="20"/>
        </w:trPr>
        <w:tc>
          <w:tcPr>
            <w:tcW w:w="8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 thousands, except share and per share amounts)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81"/>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481"/>
              <w:spacing w:after="0"/>
              <w:rPr>
                <w:sz w:val="20"/>
                <w:szCs w:val="20"/>
                <w:color w:val="auto"/>
              </w:rPr>
            </w:pPr>
            <w:r>
              <w:rPr>
                <w:rFonts w:ascii="Arial" w:cs="Arial" w:eastAsia="Arial" w:hAnsi="Arial"/>
                <w:sz w:val="14"/>
                <w:szCs w:val="14"/>
                <w:color w:val="auto"/>
              </w:rPr>
              <w:t>Nine Months Ended</w:t>
            </w:r>
          </w:p>
        </w:tc>
      </w:tr>
      <w:tr>
        <w:trPr>
          <w:trHeight w:val="167"/>
        </w:trPr>
        <w:tc>
          <w:tcPr>
            <w:tcW w:w="5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781"/>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61"/>
              <w:spacing w:after="0"/>
              <w:rPr>
                <w:sz w:val="20"/>
                <w:szCs w:val="20"/>
                <w:color w:val="auto"/>
              </w:rPr>
            </w:pPr>
            <w:r>
              <w:rPr>
                <w:rFonts w:ascii="Arial" w:cs="Arial" w:eastAsia="Arial" w:hAnsi="Arial"/>
                <w:sz w:val="14"/>
                <w:szCs w:val="14"/>
                <w:color w:val="auto"/>
              </w:rPr>
              <w:t>September 30,</w:t>
            </w:r>
          </w:p>
        </w:tc>
      </w:tr>
      <w:tr>
        <w:trPr>
          <w:trHeight w:val="142"/>
        </w:trPr>
        <w:tc>
          <w:tcPr>
            <w:tcW w:w="55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2022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Development fee and royalty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174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886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2,161</w:t>
            </w:r>
          </w:p>
        </w:tc>
      </w:tr>
      <w:tr>
        <w:trPr>
          <w:trHeight w:val="27"/>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2,161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Operating expenses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5"/>
                <w:szCs w:val="25"/>
                <w:color w:val="auto"/>
                <w:vertAlign w:val="superscript"/>
              </w:rPr>
              <w:t>(1)</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24,660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11,977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55,822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44,328</w:t>
            </w: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8,584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6,952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25,874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23,452</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130,188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Gain on sale of in-process research and development asset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(14,609)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(14,609)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18,929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197,275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67,780</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(196,389)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(65,619)</w:t>
            </w:r>
          </w:p>
        </w:tc>
        <w:tc>
          <w:tcPr>
            <w:tcW w:w="120" w:type="dxa"/>
            <w:vAlign w:val="bottom"/>
          </w:tcPr>
          <w:p>
            <w:pPr>
              <w:spacing w:after="0"/>
              <w:rPr>
                <w:sz w:val="19"/>
                <w:szCs w:val="19"/>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427</w:t>
            </w: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forward contract liability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(25,360)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(83,530)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2,262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25</w:t>
            </w:r>
          </w:p>
        </w:tc>
      </w:tr>
      <w:tr>
        <w:trPr>
          <w:trHeight w:val="27"/>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(21,767)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(79,247)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452</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(275,636)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(65,167)</w:t>
            </w:r>
          </w:p>
        </w:tc>
        <w:tc>
          <w:tcPr>
            <w:tcW w:w="120" w:type="dxa"/>
            <w:vAlign w:val="bottom"/>
          </w:tcPr>
          <w:p>
            <w:pPr>
              <w:spacing w:after="0"/>
              <w:rPr>
                <w:sz w:val="19"/>
                <w:szCs w:val="19"/>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174</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(18,234</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(275,610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(69.57)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w w:val="87"/>
              </w:rPr>
              <w:t>4,293,812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w w:val="87"/>
              </w:rPr>
              <w:t>3,767,918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w w:val="87"/>
              </w:rPr>
              <w:t>3,961,546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3,222,987</w:t>
            </w:r>
          </w:p>
        </w:tc>
      </w:tr>
    </w:tbl>
    <w:p>
      <w:pPr>
        <w:spacing w:after="0" w:line="214" w:lineRule="exact"/>
        <w:rPr>
          <w:sz w:val="20"/>
          <w:szCs w:val="20"/>
          <w:color w:val="auto"/>
        </w:rPr>
      </w:pPr>
    </w:p>
    <w:p>
      <w:pPr>
        <w:ind w:left="540" w:right="200" w:hanging="424"/>
        <w:spacing w:after="0" w:line="27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$19.4 million and $20.8 million in related party expenses for the three and nine months ended September 30, 2023, respectively and no related party expenses for the three and nine months ended September 30, 2022.</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4"/>
                <w:szCs w:val="14"/>
                <w:color w:val="auto"/>
              </w:rPr>
              <w:t>Three Months Ended</w:t>
            </w:r>
          </w:p>
        </w:tc>
        <w:tc>
          <w:tcPr>
            <w:tcW w:w="1900" w:type="dxa"/>
            <w:vAlign w:val="bottom"/>
            <w:gridSpan w:val="4"/>
          </w:tcPr>
          <w:p>
            <w:pPr>
              <w:jc w:val="right"/>
              <w:ind w:right="440"/>
              <w:spacing w:after="0"/>
              <w:rPr>
                <w:sz w:val="20"/>
                <w:szCs w:val="20"/>
                <w:color w:val="auto"/>
              </w:rPr>
            </w:pPr>
            <w:r>
              <w:rPr>
                <w:rFonts w:ascii="Arial" w:cs="Arial" w:eastAsia="Arial" w:hAnsi="Arial"/>
                <w:sz w:val="14"/>
                <w:szCs w:val="14"/>
                <w:color w:val="auto"/>
              </w:rPr>
              <w:t>Nine Months Ended</w:t>
            </w:r>
          </w:p>
        </w:tc>
      </w:tr>
      <w:tr>
        <w:trPr>
          <w:trHeight w:val="167"/>
        </w:trPr>
        <w:tc>
          <w:tcPr>
            <w:tcW w:w="716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color w:val="auto"/>
              </w:rPr>
              <w:t>September 30,</w:t>
            </w:r>
          </w:p>
        </w:tc>
        <w:tc>
          <w:tcPr>
            <w:tcW w:w="1900" w:type="dxa"/>
            <w:vAlign w:val="bottom"/>
            <w:gridSpan w:val="4"/>
          </w:tcPr>
          <w:p>
            <w:pPr>
              <w:jc w:val="right"/>
              <w:ind w:right="600"/>
              <w:spacing w:after="0"/>
              <w:rPr>
                <w:sz w:val="20"/>
                <w:szCs w:val="20"/>
                <w:color w:val="auto"/>
              </w:rPr>
            </w:pPr>
            <w:r>
              <w:rPr>
                <w:rFonts w:ascii="Arial" w:cs="Arial" w:eastAsia="Arial" w:hAnsi="Arial"/>
                <w:sz w:val="14"/>
                <w:szCs w:val="14"/>
                <w:color w:val="auto"/>
              </w:rPr>
              <w:t>September 30,</w:t>
            </w:r>
          </w:p>
        </w:tc>
      </w:tr>
      <w:tr>
        <w:trPr>
          <w:trHeight w:val="142"/>
        </w:trPr>
        <w:tc>
          <w:tcPr>
            <w:tcW w:w="716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2023</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2022</w:t>
            </w:r>
          </w:p>
        </w:tc>
        <w:tc>
          <w:tcPr>
            <w:tcW w:w="320" w:type="dxa"/>
            <w:vAlign w:val="bottom"/>
          </w:tcPr>
          <w:p>
            <w:pPr>
              <w:spacing w:after="0"/>
              <w:rPr>
                <w:sz w:val="12"/>
                <w:szCs w:val="12"/>
                <w:color w:val="auto"/>
              </w:rPr>
            </w:pPr>
          </w:p>
        </w:tc>
        <w:tc>
          <w:tcPr>
            <w:tcW w:w="76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color w:val="auto"/>
              </w:rPr>
              <w:t>2023</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2022</w:t>
            </w:r>
          </w:p>
        </w:tc>
        <w:tc>
          <w:tcPr>
            <w:tcW w:w="120" w:type="dxa"/>
            <w:vAlign w:val="bottom"/>
          </w:tcPr>
          <w:p>
            <w:pPr>
              <w:spacing w:after="0"/>
              <w:rPr>
                <w:sz w:val="12"/>
                <w:szCs w:val="12"/>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$(40,107)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$(18,234)</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(275,610)</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(64,993)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Unrealized (loss) gain on marketable securities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74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7"/>
        </w:trPr>
        <w:tc>
          <w:tcPr>
            <w:tcW w:w="7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(40,250)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(18,198)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(275,694)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(65,157)</w:t>
            </w:r>
          </w:p>
        </w:tc>
      </w:tr>
      <w:tr>
        <w:trPr>
          <w:trHeight w:val="20"/>
        </w:trPr>
        <w:tc>
          <w:tcPr>
            <w:tcW w:w="7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Changes in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Convertible Preferred Stock and Stockholders’ (Deficit)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2"/>
          </w:tcPr>
          <w:p>
            <w:pPr>
              <w:ind w:left="320"/>
              <w:spacing w:after="0"/>
              <w:rPr>
                <w:sz w:val="20"/>
                <w:szCs w:val="20"/>
                <w:color w:val="auto"/>
              </w:rPr>
            </w:pPr>
            <w:r>
              <w:rPr>
                <w:rFonts w:ascii="Arial" w:cs="Arial" w:eastAsia="Arial" w:hAnsi="Arial"/>
                <w:sz w:val="14"/>
                <w:szCs w:val="14"/>
                <w:color w:val="auto"/>
                <w:w w:val="96"/>
              </w:rPr>
              <w:t>Nine Months Ended September 30, 2023</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900" w:type="dxa"/>
            <w:vAlign w:val="bottom"/>
            <w:gridSpan w:val="6"/>
            <w:vMerge w:val="restart"/>
          </w:tcPr>
          <w:p>
            <w:pPr>
              <w:jc w:val="center"/>
              <w:ind w:right="220"/>
              <w:spacing w:after="0"/>
              <w:rPr>
                <w:sz w:val="20"/>
                <w:szCs w:val="20"/>
                <w:color w:val="auto"/>
              </w:rPr>
            </w:pPr>
            <w:r>
              <w:rPr>
                <w:rFonts w:ascii="Arial" w:cs="Arial" w:eastAsia="Arial" w:hAnsi="Arial"/>
                <w:sz w:val="14"/>
                <w:szCs w:val="14"/>
                <w:color w:val="auto"/>
                <w:w w:val="94"/>
              </w:rPr>
              <w:t>Series A Non-Voting</w:t>
            </w: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ind w:right="320"/>
              <w:spacing w:after="0" w:line="123" w:lineRule="exact"/>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48"/>
              <w:spacing w:after="0" w:line="123" w:lineRule="exact"/>
              <w:rPr>
                <w:sz w:val="20"/>
                <w:szCs w:val="20"/>
                <w:color w:val="auto"/>
              </w:rPr>
            </w:pPr>
            <w:r>
              <w:rPr>
                <w:rFonts w:ascii="Arial" w:cs="Arial" w:eastAsia="Arial" w:hAnsi="Arial"/>
                <w:sz w:val="14"/>
                <w:szCs w:val="14"/>
                <w:color w:val="auto"/>
                <w:w w:val="96"/>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900" w:type="dxa"/>
            <w:vAlign w:val="bottom"/>
            <w:gridSpan w:val="6"/>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7"/>
                <w:szCs w:val="7"/>
                <w:color w:val="auto"/>
              </w:rPr>
            </w:pPr>
          </w:p>
        </w:tc>
        <w:tc>
          <w:tcPr>
            <w:tcW w:w="640" w:type="dxa"/>
            <w:vAlign w:val="bottom"/>
            <w:vMerge w:val="restart"/>
          </w:tcPr>
          <w:p>
            <w:pPr>
              <w:jc w:val="center"/>
              <w:ind w:left="208"/>
              <w:spacing w:after="0" w:line="149" w:lineRule="exact"/>
              <w:rPr>
                <w:sz w:val="20"/>
                <w:szCs w:val="20"/>
                <w:color w:val="auto"/>
              </w:rPr>
            </w:pPr>
            <w:r>
              <w:rPr>
                <w:rFonts w:ascii="Arial" w:cs="Arial" w:eastAsia="Arial" w:hAnsi="Arial"/>
                <w:sz w:val="14"/>
                <w:szCs w:val="14"/>
                <w:color w:val="auto"/>
                <w:w w:val="91"/>
              </w:rPr>
              <w:t>Other</w:t>
            </w: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3"/>
            <w:vMerge w:val="restart"/>
          </w:tcPr>
          <w:p>
            <w:pPr>
              <w:ind w:left="20"/>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1900" w:type="dxa"/>
            <w:vAlign w:val="bottom"/>
            <w:gridSpan w:val="6"/>
            <w:vMerge w:val="restart"/>
          </w:tcPr>
          <w:p>
            <w:pPr>
              <w:jc w:val="center"/>
              <w:ind w:right="200"/>
              <w:spacing w:after="0"/>
              <w:rPr>
                <w:sz w:val="20"/>
                <w:szCs w:val="20"/>
                <w:color w:val="auto"/>
              </w:rPr>
            </w:pPr>
            <w:r>
              <w:rPr>
                <w:rFonts w:ascii="Arial" w:cs="Arial" w:eastAsia="Arial" w:hAnsi="Arial"/>
                <w:sz w:val="14"/>
                <w:szCs w:val="14"/>
                <w:color w:val="auto"/>
                <w:w w:val="94"/>
              </w:rPr>
              <w:t>Convertible Preferred Stock</w:t>
            </w: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4"/>
            <w:vMerge w:val="restart"/>
          </w:tcPr>
          <w:p>
            <w:pPr>
              <w:ind w:left="100"/>
              <w:spacing w:after="0"/>
              <w:rPr>
                <w:sz w:val="20"/>
                <w:szCs w:val="20"/>
                <w:color w:val="auto"/>
              </w:rPr>
            </w:pPr>
            <w:r>
              <w:rPr>
                <w:rFonts w:ascii="Arial" w:cs="Arial" w:eastAsia="Arial" w:hAnsi="Arial"/>
                <w:sz w:val="14"/>
                <w:szCs w:val="14"/>
                <w:color w:val="auto"/>
                <w:w w:val="91"/>
              </w:rPr>
              <w:t>Common Stock</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620" w:type="dxa"/>
            <w:vAlign w:val="bottom"/>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auto"/>
              </w:rPr>
              <w:t>Paid-In</w:t>
            </w:r>
          </w:p>
        </w:tc>
        <w:tc>
          <w:tcPr>
            <w:tcW w:w="100" w:type="dxa"/>
            <w:vAlign w:val="bottom"/>
          </w:tcPr>
          <w:p>
            <w:pPr>
              <w:spacing w:after="0"/>
              <w:rPr>
                <w:sz w:val="8"/>
                <w:szCs w:val="8"/>
                <w:color w:val="auto"/>
              </w:rPr>
            </w:pPr>
          </w:p>
        </w:tc>
        <w:tc>
          <w:tcPr>
            <w:tcW w:w="116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Comprehensive</w:t>
            </w: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center"/>
              <w:ind w:right="219"/>
              <w:spacing w:after="0" w:line="149"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62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color w:val="auto"/>
                <w:w w:val="94"/>
              </w:rPr>
              <w:t>Income (Loss)</w:t>
            </w:r>
          </w:p>
        </w:tc>
        <w:tc>
          <w:tcPr>
            <w:tcW w:w="120" w:type="dxa"/>
            <w:vAlign w:val="bottom"/>
          </w:tcPr>
          <w:p>
            <w:pPr>
              <w:spacing w:after="0"/>
              <w:rPr>
                <w:sz w:val="14"/>
                <w:szCs w:val="14"/>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79"/>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42"/>
        </w:trPr>
        <w:tc>
          <w:tcPr>
            <w:tcW w:w="3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Balances—December 31, 2022</w:t>
            </w: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center"/>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right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475,971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(425,624)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50,305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Issuance of common stock in connection with employee</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40"/>
              <w:spacing w:after="0"/>
              <w:rPr>
                <w:sz w:val="20"/>
                <w:szCs w:val="20"/>
                <w:color w:val="auto"/>
              </w:rPr>
            </w:pPr>
            <w:r>
              <w:rPr>
                <w:rFonts w:ascii="Arial" w:cs="Arial" w:eastAsia="Arial" w:hAnsi="Arial"/>
                <w:sz w:val="14"/>
                <w:szCs w:val="14"/>
                <w:color w:val="auto"/>
              </w:rPr>
              <w:t>stock purchase plan</w:t>
            </w: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marketable securities</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(18,422)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(18,422)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Balances—March 31, 2023</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2,616</w:t>
            </w:r>
          </w:p>
        </w:tc>
        <w:tc>
          <w:tcPr>
            <w:tcW w:w="5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76"/>
              </w:rPr>
              <w:t>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477,698</w:t>
            </w:r>
          </w:p>
        </w:tc>
        <w:tc>
          <w:tcPr>
            <w:tcW w:w="7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(444,046)</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33,652</w:t>
            </w:r>
          </w:p>
        </w:tc>
        <w:tc>
          <w:tcPr>
            <w:tcW w:w="0" w:type="dxa"/>
            <w:vAlign w:val="bottom"/>
          </w:tcPr>
          <w:p>
            <w:pPr>
              <w:spacing w:after="0"/>
              <w:rPr>
                <w:sz w:val="1"/>
                <w:szCs w:val="1"/>
                <w:color w:val="auto"/>
              </w:rPr>
            </w:pPr>
          </w:p>
        </w:tc>
      </w:tr>
      <w:tr>
        <w:trPr>
          <w:trHeight w:val="137"/>
        </w:trPr>
        <w:tc>
          <w:tcPr>
            <w:tcW w:w="3620" w:type="dxa"/>
            <w:vAlign w:val="bottom"/>
          </w:tcPr>
          <w:p>
            <w:pPr>
              <w:spacing w:after="0" w:line="137" w:lineRule="exact"/>
              <w:rPr>
                <w:sz w:val="20"/>
                <w:szCs w:val="20"/>
                <w:color w:val="auto"/>
              </w:rPr>
            </w:pPr>
            <w:r>
              <w:rPr>
                <w:rFonts w:ascii="Arial" w:cs="Arial" w:eastAsia="Arial" w:hAnsi="Arial"/>
                <w:sz w:val="14"/>
                <w:szCs w:val="14"/>
                <w:color w:val="auto"/>
                <w:w w:val="98"/>
              </w:rPr>
              <w:t>Issuance of Series A non-voting convertible preferred stock</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140"/>
              <w:spacing w:after="0" w:line="149" w:lineRule="exact"/>
              <w:rPr>
                <w:sz w:val="20"/>
                <w:szCs w:val="20"/>
                <w:color w:val="auto"/>
              </w:rPr>
            </w:pPr>
            <w:r>
              <w:rPr>
                <w:rFonts w:ascii="Arial" w:cs="Arial" w:eastAsia="Arial" w:hAnsi="Arial"/>
                <w:sz w:val="14"/>
                <w:szCs w:val="14"/>
                <w:color w:val="auto"/>
              </w:rPr>
              <w:t>in connection with private placement, net of financing</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40"/>
              <w:spacing w:after="0"/>
              <w:rPr>
                <w:sz w:val="20"/>
                <w:szCs w:val="20"/>
                <w:color w:val="auto"/>
              </w:rPr>
            </w:pPr>
            <w:r>
              <w:rPr>
                <w:rFonts w:ascii="Arial" w:cs="Arial" w:eastAsia="Arial" w:hAnsi="Arial"/>
                <w:sz w:val="14"/>
                <w:szCs w:val="14"/>
                <w:color w:val="auto"/>
              </w:rPr>
              <w:t>costs</w:t>
            </w:r>
          </w:p>
        </w:tc>
        <w:tc>
          <w:tcPr>
            <w:tcW w:w="600" w:type="dxa"/>
            <w:vAlign w:val="bottom"/>
            <w:gridSpan w:val="2"/>
          </w:tcPr>
          <w:p>
            <w:pPr>
              <w:ind w:left="380"/>
              <w:spacing w:after="0"/>
              <w:rPr>
                <w:sz w:val="20"/>
                <w:szCs w:val="20"/>
                <w:color w:val="auto"/>
              </w:rPr>
            </w:pPr>
            <w:r>
              <w:rPr>
                <w:rFonts w:ascii="Arial" w:cs="Arial" w:eastAsia="Arial" w:hAnsi="Arial"/>
                <w:sz w:val="14"/>
                <w:szCs w:val="14"/>
                <w:color w:val="auto"/>
                <w:w w:val="85"/>
              </w:rPr>
              <w:t>721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197,323</w:t>
            </w: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forward in connection with the</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acquisition of Spyre</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3,768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3,768</w:t>
            </w: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Issuance of common stock in connection with exercise of</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40"/>
              <w:spacing w:after="0"/>
              <w:rPr>
                <w:sz w:val="20"/>
                <w:szCs w:val="20"/>
                <w:color w:val="auto"/>
              </w:rPr>
            </w:pPr>
            <w:r>
              <w:rPr>
                <w:rFonts w:ascii="Arial" w:cs="Arial" w:eastAsia="Arial" w:hAnsi="Arial"/>
                <w:sz w:val="14"/>
                <w:szCs w:val="14"/>
                <w:color w:val="auto"/>
              </w:rPr>
              <w:t>pre-funded warrants</w:t>
            </w: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640" w:type="dxa"/>
            <w:vAlign w:val="bottom"/>
            <w:gridSpan w:val="3"/>
          </w:tcPr>
          <w:p>
            <w:pPr>
              <w:ind w:left="320"/>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CVR distribution to common stockholders</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(29,500)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(29,500)</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1,775</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1,775</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(217,081)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(217,081)</w:t>
            </w:r>
          </w:p>
        </w:tc>
        <w:tc>
          <w:tcPr>
            <w:tcW w:w="0" w:type="dxa"/>
            <w:vAlign w:val="bottom"/>
          </w:tcPr>
          <w:p>
            <w:pPr>
              <w:spacing w:after="0"/>
              <w:rPr>
                <w:sz w:val="1"/>
                <w:szCs w:val="1"/>
                <w:color w:val="auto"/>
              </w:rPr>
            </w:pPr>
          </w:p>
        </w:tc>
      </w:tr>
      <w:tr>
        <w:trPr>
          <w:trHeight w:val="163"/>
        </w:trPr>
        <w:tc>
          <w:tcPr>
            <w:tcW w:w="3620" w:type="dxa"/>
            <w:vAlign w:val="bottom"/>
          </w:tcPr>
          <w:p>
            <w:pPr>
              <w:spacing w:after="0" w:line="155" w:lineRule="exact"/>
              <w:rPr>
                <w:sz w:val="20"/>
                <w:szCs w:val="20"/>
                <w:color w:val="auto"/>
              </w:rPr>
            </w:pPr>
            <w:r>
              <w:rPr>
                <w:rFonts w:ascii="Arial" w:cs="Arial" w:eastAsia="Arial" w:hAnsi="Arial"/>
                <w:sz w:val="14"/>
                <w:szCs w:val="14"/>
                <w:color w:val="auto"/>
              </w:rPr>
              <w:t>Balances—June 30, 2023</w:t>
            </w:r>
          </w:p>
        </w:tc>
        <w:tc>
          <w:tcPr>
            <w:tcW w:w="58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color w:val="auto"/>
                <w:w w:val="76"/>
              </w:rPr>
              <w:t>721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center"/>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197,323</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453,741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(661,127</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(207,369</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Series A non-voting convertible preferred stock</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 connection with the asset acquisition of Spyre and</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related forward contract</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85"/>
              </w:rPr>
              <w:t>365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189,741</w:t>
            </w:r>
          </w:p>
        </w:tc>
        <w:tc>
          <w:tcPr>
            <w:tcW w:w="12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Settlement of financing costs in connection with private</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ind w:left="140"/>
              <w:spacing w:after="0" w:line="149" w:lineRule="exact"/>
              <w:rPr>
                <w:sz w:val="20"/>
                <w:szCs w:val="20"/>
                <w:color w:val="auto"/>
              </w:rPr>
            </w:pPr>
            <w:r>
              <w:rPr>
                <w:rFonts w:ascii="Arial" w:cs="Arial" w:eastAsia="Arial" w:hAnsi="Arial"/>
                <w:sz w:val="14"/>
                <w:szCs w:val="14"/>
                <w:color w:val="auto"/>
              </w:rPr>
              <w:t>placement of Series A non-voting convertible preferred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40"/>
              <w:spacing w:after="0"/>
              <w:rPr>
                <w:sz w:val="20"/>
                <w:szCs w:val="20"/>
                <w:color w:val="auto"/>
              </w:rPr>
            </w:pPr>
            <w:r>
              <w:rPr>
                <w:rFonts w:ascii="Arial" w:cs="Arial" w:eastAsia="Arial" w:hAnsi="Arial"/>
                <w:sz w:val="14"/>
                <w:szCs w:val="14"/>
                <w:color w:val="auto"/>
              </w:rPr>
              <w:t>stock</w:t>
            </w: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41</w:t>
            </w: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 connection with the asset</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acquisition of Spyre and settlement of related forward</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contract</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Issuance of common stock in connection with exercise of</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40"/>
              <w:spacing w:after="0"/>
              <w:rPr>
                <w:sz w:val="20"/>
                <w:szCs w:val="20"/>
                <w:color w:val="auto"/>
              </w:rPr>
            </w:pPr>
            <w:r>
              <w:rPr>
                <w:rFonts w:ascii="Arial" w:cs="Arial" w:eastAsia="Arial" w:hAnsi="Arial"/>
                <w:sz w:val="14"/>
                <w:szCs w:val="14"/>
                <w:color w:val="auto"/>
              </w:rPr>
              <w:t>pre-funded warrants</w:t>
            </w:r>
          </w:p>
        </w:tc>
        <w:tc>
          <w:tcPr>
            <w:tcW w:w="6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640" w:type="dxa"/>
            <w:vAlign w:val="bottom"/>
            <w:gridSpan w:val="3"/>
          </w:tcPr>
          <w:p>
            <w:pPr>
              <w:ind w:left="320"/>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 connection with exercise of</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 and employee stock purchase plan</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2,112</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2,112</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6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(114)</w:t>
            </w:r>
          </w:p>
        </w:tc>
        <w:tc>
          <w:tcPr>
            <w:tcW w:w="120" w:type="dxa"/>
            <w:vAlign w:val="bottom"/>
          </w:tcPr>
          <w:p>
            <w:pPr>
              <w:spacing w:after="0"/>
              <w:rPr>
                <w:sz w:val="12"/>
                <w:szCs w:val="12"/>
                <w:color w:val="auto"/>
              </w:rPr>
            </w:pPr>
          </w:p>
        </w:tc>
        <w:tc>
          <w:tcPr>
            <w:tcW w:w="7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(40,107)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(40,107)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line="155" w:lineRule="exact"/>
              <w:rPr>
                <w:sz w:val="20"/>
                <w:szCs w:val="20"/>
                <w:color w:val="auto"/>
              </w:rPr>
            </w:pPr>
            <w:r>
              <w:rPr>
                <w:rFonts w:ascii="Arial" w:cs="Arial" w:eastAsia="Arial" w:hAnsi="Arial"/>
                <w:sz w:val="14"/>
                <w:szCs w:val="14"/>
                <w:color w:val="auto"/>
              </w:rPr>
              <w:t>Balances—September 30, 2023</w:t>
            </w:r>
          </w:p>
        </w:tc>
        <w:tc>
          <w:tcPr>
            <w:tcW w:w="580" w:type="dxa"/>
            <w:vAlign w:val="bottom"/>
            <w:tcBorders>
              <w:top w:val="single" w:sz="8" w:color="auto"/>
            </w:tcBorders>
            <w:vMerge w:val="restart"/>
          </w:tcPr>
          <w:p>
            <w:pPr>
              <w:ind w:left="260"/>
              <w:spacing w:after="0" w:line="155" w:lineRule="exact"/>
              <w:rPr>
                <w:sz w:val="20"/>
                <w:szCs w:val="20"/>
                <w:color w:val="auto"/>
              </w:rPr>
            </w:pPr>
            <w:r>
              <w:rPr>
                <w:rFonts w:ascii="Arial" w:cs="Arial" w:eastAsia="Arial" w:hAnsi="Arial"/>
                <w:sz w:val="14"/>
                <w:szCs w:val="14"/>
                <w:color w:val="auto"/>
                <w:w w:val="85"/>
              </w:rPr>
              <w:t>1,086</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vMerge w:val="restart"/>
          </w:tcPr>
          <w:p>
            <w:pPr>
              <w:jc w:val="center"/>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tcPr>
          <w:p>
            <w:pPr>
              <w:jc w:val="right"/>
              <w:spacing w:after="0" w:line="155" w:lineRule="exact"/>
              <w:rPr>
                <w:sz w:val="20"/>
                <w:szCs w:val="20"/>
                <w:color w:val="auto"/>
              </w:rPr>
            </w:pPr>
            <w:r>
              <w:rPr>
                <w:rFonts w:ascii="Arial" w:cs="Arial" w:eastAsia="Arial" w:hAnsi="Arial"/>
                <w:sz w:val="14"/>
                <w:szCs w:val="14"/>
                <w:color w:val="auto"/>
              </w:rPr>
              <w:t>387,105</w:t>
            </w: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tcBorders>
            <w:vMerge w:val="restart"/>
          </w:tcPr>
          <w:p>
            <w:pPr>
              <w:jc w:val="right"/>
              <w:spacing w:after="0" w:line="155" w:lineRule="exact"/>
              <w:rPr>
                <w:sz w:val="20"/>
                <w:szCs w:val="20"/>
                <w:color w:val="auto"/>
              </w:rPr>
            </w:pPr>
            <w:r>
              <w:rPr>
                <w:rFonts w:ascii="Arial" w:cs="Arial" w:eastAsia="Arial" w:hAnsi="Arial"/>
                <w:sz w:val="14"/>
                <w:szCs w:val="14"/>
                <w:color w:val="auto"/>
              </w:rPr>
              <w:t>4,049</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tcBorders>
            <w:vMerge w:val="restart"/>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vMerge w:val="restart"/>
          </w:tcPr>
          <w:p>
            <w:pPr>
              <w:jc w:val="right"/>
              <w:spacing w:after="0" w:line="155" w:lineRule="exact"/>
              <w:rPr>
                <w:sz w:val="20"/>
                <w:szCs w:val="20"/>
                <w:color w:val="auto"/>
              </w:rPr>
            </w:pPr>
            <w:r>
              <w:rPr>
                <w:rFonts w:ascii="Arial" w:cs="Arial" w:eastAsia="Arial" w:hAnsi="Arial"/>
                <w:sz w:val="14"/>
                <w:szCs w:val="14"/>
                <w:color w:val="auto"/>
                <w:w w:val="76"/>
              </w:rPr>
              <w:t>7</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vMerge w:val="restart"/>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tcPr>
          <w:p>
            <w:pPr>
              <w:jc w:val="right"/>
              <w:spacing w:after="0" w:line="155" w:lineRule="exact"/>
              <w:rPr>
                <w:sz w:val="20"/>
                <w:szCs w:val="20"/>
                <w:color w:val="auto"/>
              </w:rPr>
            </w:pPr>
            <w:r>
              <w:rPr>
                <w:rFonts w:ascii="Arial" w:cs="Arial" w:eastAsia="Arial" w:hAnsi="Arial"/>
                <w:sz w:val="14"/>
                <w:szCs w:val="14"/>
                <w:color w:val="auto"/>
              </w:rPr>
              <w:t>455,957</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vMerge w:val="restart"/>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vMerge w:val="restart"/>
          </w:tcPr>
          <w:p>
            <w:pPr>
              <w:jc w:val="right"/>
              <w:spacing w:after="0" w:line="155" w:lineRule="exact"/>
              <w:rPr>
                <w:sz w:val="20"/>
                <w:szCs w:val="20"/>
                <w:color w:val="auto"/>
              </w:rPr>
            </w:pPr>
            <w:r>
              <w:rPr>
                <w:rFonts w:ascii="Arial" w:cs="Arial" w:eastAsia="Arial" w:hAnsi="Arial"/>
                <w:sz w:val="14"/>
                <w:szCs w:val="14"/>
                <w:color w:val="auto"/>
                <w:w w:val="79"/>
              </w:rPr>
              <w:t>(132)</w:t>
            </w:r>
          </w:p>
        </w:tc>
        <w:tc>
          <w:tcPr>
            <w:tcW w:w="240" w:type="dxa"/>
            <w:vAlign w:val="bottom"/>
          </w:tcPr>
          <w:p>
            <w:pPr>
              <w:spacing w:after="0" w:line="20" w:lineRule="exact"/>
              <w:rPr>
                <w:sz w:val="1"/>
                <w:szCs w:val="1"/>
                <w:color w:val="auto"/>
              </w:rPr>
            </w:pPr>
          </w:p>
        </w:tc>
        <w:tc>
          <w:tcPr>
            <w:tcW w:w="120" w:type="dxa"/>
            <w:vAlign w:val="bottom"/>
            <w:tcBorders>
              <w:top w:val="single" w:sz="8" w:color="auto"/>
            </w:tcBorders>
            <w:vMerge w:val="restart"/>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line="155" w:lineRule="exact"/>
              <w:rPr>
                <w:sz w:val="20"/>
                <w:szCs w:val="20"/>
                <w:color w:val="auto"/>
              </w:rPr>
            </w:pPr>
            <w:r>
              <w:rPr>
                <w:rFonts w:ascii="Arial" w:cs="Arial" w:eastAsia="Arial" w:hAnsi="Arial"/>
                <w:sz w:val="14"/>
                <w:szCs w:val="14"/>
                <w:color w:val="auto"/>
              </w:rPr>
              <w:t>(701,234</w:t>
            </w:r>
          </w:p>
        </w:tc>
        <w:tc>
          <w:tcPr>
            <w:tcW w:w="140" w:type="dxa"/>
            <w:vAlign w:val="bottom"/>
            <w:vMerge w:val="restart"/>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line="20" w:lineRule="exact"/>
              <w:rPr>
                <w:sz w:val="1"/>
                <w:szCs w:val="1"/>
                <w:color w:val="auto"/>
              </w:rPr>
            </w:pPr>
          </w:p>
        </w:tc>
        <w:tc>
          <w:tcPr>
            <w:tcW w:w="120" w:type="dxa"/>
            <w:vAlign w:val="bottom"/>
            <w:tcBorders>
              <w:top w:val="single" w:sz="8" w:color="auto"/>
            </w:tcBorders>
            <w:vMerge w:val="restart"/>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line="155" w:lineRule="exact"/>
              <w:rPr>
                <w:sz w:val="20"/>
                <w:szCs w:val="20"/>
                <w:color w:val="auto"/>
              </w:rPr>
            </w:pPr>
            <w:r>
              <w:rPr>
                <w:rFonts w:ascii="Arial" w:cs="Arial" w:eastAsia="Arial" w:hAnsi="Arial"/>
                <w:sz w:val="14"/>
                <w:szCs w:val="14"/>
                <w:color w:val="auto"/>
              </w:rPr>
              <w:t>(245,402</w:t>
            </w:r>
          </w:p>
        </w:tc>
        <w:tc>
          <w:tcPr>
            <w:tcW w:w="100" w:type="dxa"/>
            <w:vAlign w:val="bottom"/>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36"/>
        </w:trPr>
        <w:tc>
          <w:tcPr>
            <w:tcW w:w="362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-119380</wp:posOffset>
            </wp:positionV>
            <wp:extent cx="88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889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1"/>
          </w:tcPr>
          <w:p>
            <w:pPr>
              <w:ind w:left="400"/>
              <w:spacing w:after="0"/>
              <w:rPr>
                <w:sz w:val="20"/>
                <w:szCs w:val="20"/>
                <w:color w:val="auto"/>
              </w:rPr>
            </w:pPr>
            <w:r>
              <w:rPr>
                <w:rFonts w:ascii="Arial" w:cs="Arial" w:eastAsia="Arial" w:hAnsi="Arial"/>
                <w:sz w:val="14"/>
                <w:szCs w:val="14"/>
                <w:color w:val="auto"/>
              </w:rPr>
              <w:t>Nine Months Ended September 30, 2022</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rPr>
                <w:sz w:val="10"/>
                <w:szCs w:val="10"/>
                <w:color w:val="auto"/>
              </w:rPr>
            </w:pPr>
          </w:p>
        </w:tc>
        <w:tc>
          <w:tcPr>
            <w:tcW w:w="1660" w:type="dxa"/>
            <w:vAlign w:val="bottom"/>
            <w:gridSpan w:val="4"/>
            <w:vMerge w:val="restart"/>
          </w:tcPr>
          <w:p>
            <w:pPr>
              <w:ind w:left="240"/>
              <w:spacing w:after="0"/>
              <w:rPr>
                <w:sz w:val="20"/>
                <w:szCs w:val="20"/>
                <w:color w:val="auto"/>
              </w:rPr>
            </w:pPr>
            <w:r>
              <w:rPr>
                <w:rFonts w:ascii="Arial" w:cs="Arial" w:eastAsia="Arial" w:hAnsi="Arial"/>
                <w:sz w:val="14"/>
                <w:szCs w:val="14"/>
                <w:color w:val="auto"/>
              </w:rPr>
              <w:t>Series A Non-Voting</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3"/>
          </w:tcPr>
          <w:p>
            <w:pPr>
              <w:jc w:val="center"/>
              <w:ind w:right="160"/>
              <w:spacing w:after="0" w:line="123" w:lineRule="exact"/>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7"/>
                <w:szCs w:val="7"/>
                <w:color w:val="auto"/>
              </w:rPr>
            </w:pPr>
          </w:p>
        </w:tc>
        <w:tc>
          <w:tcPr>
            <w:tcW w:w="8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660" w:type="dxa"/>
            <w:vAlign w:val="bottom"/>
            <w:gridSpan w:val="4"/>
            <w:vMerge w:val="restart"/>
          </w:tcPr>
          <w:p>
            <w:pPr>
              <w:ind w:left="20"/>
              <w:spacing w:after="0"/>
              <w:rPr>
                <w:sz w:val="20"/>
                <w:szCs w:val="20"/>
                <w:color w:val="auto"/>
              </w:rPr>
            </w:pPr>
            <w:r>
              <w:rPr>
                <w:rFonts w:ascii="Arial" w:cs="Arial" w:eastAsia="Arial" w:hAnsi="Arial"/>
                <w:sz w:val="14"/>
                <w:szCs w:val="14"/>
                <w:color w:val="auto"/>
                <w:w w:val="94"/>
              </w:rPr>
              <w:t>Convertible Preferred Stock</w:t>
            </w: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restart"/>
          </w:tcPr>
          <w:p>
            <w:pPr>
              <w:ind w:left="120"/>
              <w:spacing w:after="0"/>
              <w:rPr>
                <w:sz w:val="20"/>
                <w:szCs w:val="20"/>
                <w:color w:val="auto"/>
              </w:rPr>
            </w:pPr>
            <w:r>
              <w:rPr>
                <w:rFonts w:ascii="Arial" w:cs="Arial" w:eastAsia="Arial" w:hAnsi="Arial"/>
                <w:sz w:val="14"/>
                <w:szCs w:val="14"/>
                <w:color w:val="auto"/>
                <w:w w:val="96"/>
              </w:rPr>
              <w:t>Common Stock</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500" w:type="dxa"/>
            <w:vAlign w:val="bottom"/>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ind w:left="140"/>
              <w:spacing w:after="0" w:line="149" w:lineRule="exact"/>
              <w:rPr>
                <w:sz w:val="20"/>
                <w:szCs w:val="20"/>
                <w:color w:val="auto"/>
              </w:rPr>
            </w:pPr>
            <w:r>
              <w:rPr>
                <w:rFonts w:ascii="Arial" w:cs="Arial" w:eastAsia="Arial" w:hAnsi="Arial"/>
                <w:sz w:val="14"/>
                <w:szCs w:val="14"/>
                <w:color w:val="auto"/>
              </w:rPr>
              <w:t>Paid-In</w:t>
            </w: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Comprehensive</w:t>
            </w:r>
          </w:p>
        </w:tc>
        <w:tc>
          <w:tcPr>
            <w:tcW w:w="100" w:type="dxa"/>
            <w:vAlign w:val="bottom"/>
          </w:tcPr>
          <w:p>
            <w:pPr>
              <w:spacing w:after="0"/>
              <w:rPr>
                <w:sz w:val="8"/>
                <w:szCs w:val="8"/>
                <w:color w:val="auto"/>
              </w:rPr>
            </w:pPr>
          </w:p>
        </w:tc>
        <w:tc>
          <w:tcPr>
            <w:tcW w:w="1020" w:type="dxa"/>
            <w:vAlign w:val="bottom"/>
            <w:gridSpan w:val="2"/>
            <w:vMerge w:val="restart"/>
          </w:tcPr>
          <w:p>
            <w:pPr>
              <w:jc w:val="right"/>
              <w:ind w:right="181"/>
              <w:spacing w:after="0" w:line="149" w:lineRule="exact"/>
              <w:rPr>
                <w:sz w:val="20"/>
                <w:szCs w:val="20"/>
                <w:color w:val="auto"/>
              </w:rPr>
            </w:pPr>
            <w:r>
              <w:rPr>
                <w:rFonts w:ascii="Arial" w:cs="Arial" w:eastAsia="Arial" w:hAnsi="Arial"/>
                <w:sz w:val="14"/>
                <w:szCs w:val="14"/>
                <w:color w:val="auto"/>
                <w:w w:val="91"/>
              </w:rPr>
              <w:t>Accumulated</w:t>
            </w: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5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Shares</w:t>
            </w:r>
          </w:p>
        </w:tc>
        <w:tc>
          <w:tcPr>
            <w:tcW w:w="58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Capital</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Income (Loss)</w:t>
            </w:r>
          </w:p>
        </w:tc>
        <w:tc>
          <w:tcPr>
            <w:tcW w:w="100" w:type="dxa"/>
            <w:vAlign w:val="bottom"/>
          </w:tcPr>
          <w:p>
            <w:pPr>
              <w:spacing w:after="0"/>
              <w:rPr>
                <w:sz w:val="14"/>
                <w:szCs w:val="14"/>
                <w:color w:val="auto"/>
              </w:rPr>
            </w:pPr>
          </w:p>
        </w:tc>
        <w:tc>
          <w:tcPr>
            <w:tcW w:w="1020" w:type="dxa"/>
            <w:vAlign w:val="bottom"/>
            <w:gridSpan w:val="2"/>
          </w:tcPr>
          <w:p>
            <w:pPr>
              <w:jc w:val="right"/>
              <w:ind w:right="361"/>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Balances—December 31, 2021</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1,974</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$425,765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(341,809)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6"/>
              </w:rPr>
              <w:t>Issuance of common stock in connection with</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rPr>
              <w:t>(24,436)</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(24,436)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Balances—March 31, 2022</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1,977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5</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428,050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11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w w:val="99"/>
              </w:rPr>
              <w:t>$ (366,245)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61,657</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8"/>
                <w:szCs w:val="18"/>
                <w:color w:val="auto"/>
              </w:rPr>
              <w:t>Issuance of common stock and pre-funded</w:t>
            </w: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warrants in connection with registered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direct offering, net of offering costs</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430</w:t>
            </w:r>
          </w:p>
        </w:tc>
        <w:tc>
          <w:tcPr>
            <w:tcW w:w="380" w:type="dxa"/>
            <w:vAlign w:val="bottom"/>
          </w:tcPr>
          <w:p>
            <w:pPr>
              <w:spacing w:after="0"/>
              <w:rPr>
                <w:sz w:val="20"/>
                <w:szCs w:val="20"/>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1</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42,872</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42,873</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common stock in connection with</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pre-funded warrants</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20"/>
                <w:szCs w:val="20"/>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Unrealized loss on marketable securities</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(22,323)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(22,323)</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Balances—June 30, 2022</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2,447</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472,939</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(388,568</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and pre-funded</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in connection with registered</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offering, net of offering costs</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20"/>
                <w:szCs w:val="20"/>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6"/>
              </w:rPr>
              <w:t>Issuance of common stock in connection with</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exercise of pre-funded warrants</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common stock in connection with</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20"/>
                <w:szCs w:val="20"/>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1,566</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Unrealized loss on marketable securities</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(18,234)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Balances—September 30, 2022</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2,460</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474,535</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(406,802</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-4362450</wp:posOffset>
            </wp:positionV>
            <wp:extent cx="254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-4225290</wp:posOffset>
            </wp:positionV>
            <wp:extent cx="254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-3256915</wp:posOffset>
            </wp:positionV>
            <wp:extent cx="254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-3102610</wp:posOffset>
            </wp:positionV>
            <wp:extent cx="254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-1851025</wp:posOffset>
            </wp:positionV>
            <wp:extent cx="254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-1696720</wp:posOffset>
            </wp:positionV>
            <wp:extent cx="254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in thousands)</w:t>
      </w:r>
    </w:p>
    <w:p>
      <w:pPr>
        <w:spacing w:after="0" w:line="233" w:lineRule="exact"/>
        <w:rPr>
          <w:sz w:val="20"/>
          <w:szCs w:val="20"/>
          <w:color w:val="auto"/>
        </w:rPr>
      </w:pPr>
    </w:p>
    <w:p>
      <w:pPr>
        <w:jc w:val="center"/>
        <w:ind w:left="9000"/>
        <w:spacing w:after="0"/>
        <w:rPr>
          <w:sz w:val="20"/>
          <w:szCs w:val="20"/>
          <w:color w:val="auto"/>
        </w:rPr>
      </w:pPr>
      <w:r>
        <w:rPr>
          <w:rFonts w:ascii="Arial" w:cs="Arial" w:eastAsia="Arial" w:hAnsi="Arial"/>
          <w:sz w:val="14"/>
          <w:szCs w:val="14"/>
          <w:color w:val="auto"/>
        </w:rPr>
        <w:t>Nine Months Ended</w:t>
      </w:r>
    </w:p>
    <w:p>
      <w:pPr>
        <w:jc w:val="center"/>
        <w:ind w:left="9000"/>
        <w:spacing w:after="0" w:line="231" w:lineRule="auto"/>
        <w:rPr>
          <w:sz w:val="20"/>
          <w:szCs w:val="20"/>
          <w:color w:val="auto"/>
        </w:rPr>
      </w:pPr>
      <w:r>
        <w:rPr>
          <w:rFonts w:ascii="Arial" w:cs="Arial" w:eastAsia="Arial" w:hAnsi="Arial"/>
          <w:sz w:val="14"/>
          <w:szCs w:val="14"/>
          <w:color w:val="auto"/>
        </w:rPr>
        <w:t>September 30,</w:t>
      </w:r>
    </w:p>
    <w:tbl>
      <w:tblPr>
        <w:tblLayout w:type="fixed"/>
        <w:tblInd w:w="120" w:type="dxa"/>
        <w:tblCellMar>
          <w:top w:w="0" w:type="dxa"/>
          <w:left w:w="0" w:type="dxa"/>
          <w:bottom w:w="0" w:type="dxa"/>
          <w:right w:w="0" w:type="dxa"/>
        </w:tblCellMar>
      </w:tblPr>
      <w:tr>
        <w:trPr>
          <w:trHeight w:val="142"/>
        </w:trPr>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(275,610)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(64,993)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130,188</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CVR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Change in fair value of forward contract liability</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83,530</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in-process research and development asset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(14,609)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Lease ROU asset and leasehold improvement impairment loss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long-lived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Amortization of operating lease assets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accretion of discount on marketable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(2,863)</w:t>
            </w: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w:t>
            </w: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Development receivables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Related party payable</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(62,004)</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assumed from asset acquisition of Spyre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Proceeds from sale of in-process research &amp; development asset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(112,631)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(35,000)</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Proceeds from maturities and sales of marketable securities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78,046</w:t>
            </w: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and provided by 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(73,121)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43,008</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Proceeds from issuance of Series A non-voting convertible preferred stock in connection with private placement, net of</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 and other offering costs</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197,364</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w w:val="98"/>
              </w:rPr>
              <w:t>Proceeds from issuance of common stock and pre-funded warrants in registered direct offering, net of offering costs</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42,874</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 purchases and stock option exercises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Principal payments on finance lease obligation</w:t>
            </w: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197,471</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42,686</w:t>
            </w:r>
          </w:p>
        </w:tc>
        <w:tc>
          <w:tcPr>
            <w:tcW w:w="120" w:type="dxa"/>
            <w:vAlign w:val="bottom"/>
            <w:shd w:val="clear" w:color="auto" w:fill="CCEEFF"/>
          </w:tcPr>
          <w:p>
            <w:pPr>
              <w:spacing w:after="0"/>
              <w:rPr>
                <w:sz w:val="18"/>
                <w:szCs w:val="18"/>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55,483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16,980</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91,899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40,518</w:t>
            </w:r>
          </w:p>
        </w:tc>
        <w:tc>
          <w:tcPr>
            <w:tcW w:w="12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Information: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120" w:type="dxa"/>
            <w:vAlign w:val="bottom"/>
          </w:tcPr>
          <w:p>
            <w:pPr>
              <w:spacing w:after="0" w:line="201" w:lineRule="exact"/>
              <w:rPr>
                <w:sz w:val="20"/>
                <w:szCs w:val="20"/>
                <w:color w:val="auto"/>
              </w:rPr>
            </w:pPr>
            <w:r>
              <w:rPr>
                <w:rFonts w:ascii="Arial" w:cs="Arial" w:eastAsia="Arial" w:hAnsi="Arial"/>
                <w:sz w:val="18"/>
                <w:szCs w:val="18"/>
                <w:color w:val="auto"/>
                <w:w w:val="95"/>
              </w:rPr>
              <w:t>Settlement of forward contract liability and issuance of Series A non-voting convertible preferred stock in connection with</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120" w:type="dxa"/>
            <w:vAlign w:val="bottom"/>
          </w:tcPr>
          <w:p>
            <w:pPr>
              <w:ind w:left="180"/>
              <w:spacing w:after="0"/>
              <w:rPr>
                <w:sz w:val="20"/>
                <w:szCs w:val="20"/>
                <w:color w:val="auto"/>
              </w:rPr>
            </w:pPr>
            <w:r>
              <w:rPr>
                <w:rFonts w:ascii="Arial" w:cs="Arial" w:eastAsia="Arial" w:hAnsi="Arial"/>
                <w:sz w:val="18"/>
                <w:szCs w:val="18"/>
                <w:color w:val="auto"/>
              </w:rPr>
              <w:t>the asset acquisition of Spyre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189,741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The Company and Basis of Presentation</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Aeglea BioTherapeutics, Inc. (“Aeglea” or the “Company”) is a preclinical stage biotechnology company focused on developing next generation therapeutics for patients living with inflammatory bowel disease. The Company was formed as a Limited Liability Company (“LLC”) in Delaware on December 16, 2013 under the name Aeglea BioTherapeutics Holdings, LLC and was converted from a Delaware LLC to a Delaware corporation on March 10, 2015. The Company operates in one segment and has its principal offices in Waltham, Massachusetts.</w:t>
      </w:r>
    </w:p>
    <w:p>
      <w:pPr>
        <w:spacing w:after="0" w:line="17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April 12, 2023, based on the review of the inconclusive interim results from the Company’s Phase 1/2 clinical trial of pegtarviliase for the treatment of classical homocystinuria and other business considerations, the Company announced that it had initiated a process to explore strategic alternatives to maximize stockholder value and engaged an independent exclusive financial advisor to support this process. In April 2023, the Company implemented a restructuring plan resulting in an approximate 83% reduction of the Company’s existing headcount. On September 8, 2023, Aeglea effected a reverse stock split of its common stock at a ratio of 1-for-25 (the “Reverse Split”). All share numbers related to the Company’s common stock disclosed in these financial statements have been adjusted on a post-Reverse Split basis.</w:t>
      </w:r>
    </w:p>
    <w:p>
      <w:pPr>
        <w:spacing w:after="0" w:line="17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On June 22, 2023, the Company acquired, in accordance with the terms of the Agreement and Plan of Merger (the “Acquisition Agreement”), the assets from Spyre Therapeutics, Inc. (“Spyre”), as disclosed in Notes 7 and 8, a privately held biotechnology company advancing a pipeline of antibody therapeutics with the potential to transform the treatment of inflammatory bowel disease through a research and development option agreement (“Paragon Agreement”) with Paragon Therapeutics (“Paragon”). The transaction was structured as a stock-for-stock transaction pursuant to which all of Spyre’s outstanding equity interests were exchanged based on a fixed exchange ratio of 0.5494488 to 1 for consideration from Aeglea of 517,809 shares of common stock and 364,887 shares of Series A non-voting convertible preferred stock, par value of $0.0001 per share (“Series A Preferred Stock”) (convertible on a 40 to 1 basis) in addition to the assumption of outstanding and unexercised stock options to purchase 2,734 shares of common stock from the Amended and Restated Spyre 2023 Equity Incentive Plan (the “Asset Acquisition”). The Aeglea common stock and Aeglea Series A Preferred Stock related to the Asset Acquisition were issued to the Spyre stockholders on July 7, 2023. For additional information, see Notes 7 and 8.</w:t>
      </w:r>
    </w:p>
    <w:p>
      <w:pPr>
        <w:spacing w:after="0" w:line="16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connection with the Asset Acquisition, on June 26, 2023, the Company completed a private placement of shares of Series A Preferred Stock (the “PIPE”) to a group of investors (the “Investors”). The Company sold an aggregate of 721,452 shares of Series A Preferred Stock for an aggregate purchase price of approximately $210.0 million before deducting approximately $12.7 million in placement agent and other offering expenses (together with the Asset Acquisition, the “Transactions”). For additional information, see Note 9.</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the Asset Acquisition and pursuant to a non-transferable contingent value right (“CVR”) agreement (the “CVR Agreement”) a CVR was distributed to each Aeglea stockholder of record as of the close of business on July 3, 2023 (the “Legacy Stockholders”), but was not distributed to the holders of shares of common stock or Series A Preferred Stock issued to the former stockholders of Spyre or Investors in the Transactions. Holders of the CVRs will be entitled to receive cash payments from proceeds received by Aeglea for a three-year period, if any, related to the disposition or monetization of its legacy assets for a period of one-year following the closing of the Asset Acquisition. For additional information see Note 3.</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of September 30, 2023, the Company had an accumulated deficit of $701.2 million, and cash, cash equivalents, and marketable securities of $203.6 million. The Company has not generated any product revenues and has not achieved profitable operations. There can be no assurance that profitable operations will ever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achieved, and, if achieved, whether it can be sustained on a continuing basis. In addition, development activities, clinical and nonclinical testing, and commercialization of the Company’s product candidates will require significant additional financing before a commercial drug can be produced and marketed.</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 candidates. As a result of these and other factors and uncertainties, there can be no assurance of the Company’s future success.</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April 2023, the Board of Directors (the “Board”) approved a restructuring of the Company’s workforce pursuant to which the Company’s workforce was reduced by approximately 83% and the Company retained approximately 10 employees. Following a review of the interim results from its ongoing Phase 1/2 clinical trial of pegtarviliase for the treatment of classical homocystinuria and other business considerations, the Company explored strategic alternatives with the goal of maximizing stockholder value, including possible business combinations and/or a divestiture of the Company’s clinical programs.</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June 22, 2023, the Company acquired, in accordance with the terms of the Acquisition Agreement, the net assets of Spyre, as disclosed in Notes 7 and 8. Additionally, the Company completed the PIPE.</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accordance with Accounting Standards Codification (“ASC”) 205-40, Going Concern, the Company has evaluated and determined that there are conditions and events, considered in the aggregate, that raise substantial doubt about the Company’s ability to continue as a going concern within one year after the date the accompanying condensed consolidated financial statements included in this Quarterly Report are issued. The Company’s Series A Preferred Stock agreement requires it to seek stockholder approval for the conversion of the Series A Preferred Stock to common stock. The Company has agreed to hold a stockholders’ meeting to submit this matter to its stockholders for their consideration. In connection with this, the Company filed with the Securities and Exchange Commission (“SEC”) a definitive proxy statement and other relevant materials. The special meeting of stockholders is scheduled for November 21, 2023. If the Company’s stockholders do not timely approve the conversion of its Series A Preferred Stock into common stock, then the holders of its Series A Preferred Stock are entitled to require the Company to settle their shares of Series A Preferred Stock for cash at a price per share equal to the fair value of the Series A Preferred Stock, as described in the Certificate of Designation relating to the Series A Preferred Stock (see Note 9). The cash redemption is not in the Company’s control and raises substantial doubt about the Company’s ability to continue as a going concern. The accompanying condensed consolidated financial statements assume the Company will continue as a going concern through the realization of assets and satisfaction of liabilities and commitments in the ordinary course of business.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interim condensed consolidated financial statements included in this Quarterly Report on Form 10-Q are unaudited. The unaudited interim financial statements have been prepared on the same basis as the annual financial statements and reflect, in the opinion of management, all adjustments of a normal and recurring nature that are necessary for a fair statement of the Company’s financial position as of September 30, 2023, and its results of operations for the three and nine months ended September 30, 2023 and 2022, changes in convertible preferred stock and stockholders’ (deficit) equity for the three and nine months ended September 30, 2023 and 2022, and cash flows for the nine months ended September 30, 2023 and 2022. The results of operations for the three and nine months ended September 30, 2023, are not necessarily indicative of the results to be expected for the year ending December 31, 2023 or for any other future annual or interim period. The December 31, 2022 balance sheet was derived from audited financial statements, but does not include all disclosures required by accounting principles generally accepted in the United States (“U.S. GAAP”). These financial statements should be read in conjunction with the audited financial statements included in the Company’s Form 10-K for the year ended December 31, 2022 (the “Annual Report”) as filed with the SEC.</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80"/>
          </w:cols>
          <w:pgMar w:left="320" w:top="459" w:right="49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Summary of Significant Accounting Policies</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Other than policies noted below, there have been no significant changes from the significant accounting policies and estimates disclosed in Note 2 of the “Notes to Consolidated Financial Statements” included in our Annual Report on Form 10-K for the year ended December 31, 2022.</w:t>
      </w:r>
    </w:p>
    <w:p>
      <w:pPr>
        <w:spacing w:after="0" w:line="14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interim condensed consolidated financial statements have been prepared in accordance with U.S. GAAP and SEC instructions for interim financial information, and should be read in conjunction with the Company’s Annual Report. Significant accounting policies and other disclosures normally provided have been omitted since such items are disclosed in the Company’s Annual Report. The Company uses the same accounting policies in preparing quarterly and annual financial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Preferred Stock Issued through PIPE</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Company records shares of convertible preferred stock at their respective fair values on the dates of issuance, net of issuance costs. The Company has applied the guidance in ASC 480-10-S99-3A as well as SEC Staff Announcement, Classification and Measurement of Redeemable Securities, and has therefore classified the Series A Preferred Stock outside of stockholders’ (deficit) equity because, if conversion to common stock is not approved by the stockholders, the Series A Preferred Stock will be redeemable at the option of the holders for cash equal to the closing price of the common stock on the last trading day prior to the holder’s redemption request. The Company has determined that the conversion and redemption are outside of the Company’s control. Additionally, the Company has determined the conversion and redemption features do not require bifurcation as derivatives.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the Company has acquired inputs and processes that have the ability to create outputs, which would meet the definition of a business. Significant judgment is required in the application of the test to determine whether an acquisition is a business combination or an acquisition of assets.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Company measures and recognizes asset acquisitions that are not deemed to be business combinations based on the cost to acquire the assets, which includes pre-acquisition direct costs recorded in accrued professional and consulting fees. Goodwill is not recognized in asset acquisitions. When a transaction accounted for as an asset acquisition includes an in-process research and development (“IPR&amp;D”) asset, the IPR&amp;D asset is only capitalized if it has an alternative future use other than in a particular research and development project. Otherwise, the cost allocated to acquire an IPR&amp;D asset with no alternative future use is charged to expense at the acquisition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Contingent Value Rights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evaluates its contracts to determine if those contracts qualify as derivatives under ASC 815, Derivatives and Hedging (“ASC 815”). For derivative financial instruments that are accounted for as liabilities, the derivative instrument is initially recorded at its fair value and is then re-valued at each reporting date. Any changes in fair value are recorded as other income or expense for each reporting period. Derivative instrument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liabilities are classified in the balance sheet as current or non-current based on whether or not net-cash settlement of the derivative instrument is probable within the next 12 months from the balance sheet date. The Company determined that certain contingent payments under the CVR Agreement qualified as derivatives under ASC 815, and as such, were recorded as a liability on the balance sheet. This value is then remeasured for future expected payout as well as the increase in fair value due to the time value of money. These gains or losses, if any, are recognized in the consolidated statements of operations and comprehensive loss within Other (expense) income, net.</w:t>
      </w:r>
    </w:p>
    <w:p>
      <w:pPr>
        <w:spacing w:after="0" w:line="176"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The Company applies a scenario-based method and weighs them based on the possible achievement of certain milestones. The milestone payments are contingent on formal reimbursement decisions by national authorities in key European markets and pegzilarginase approval by the U.S. Food and Drug Administration (“FDA”), among other events. This fair value measurement is based on significant inputs not observable in the market and thus represents a Level 3 measurement as defined in ASC 820, Fair Value Measurement. The key assumptions used include the discount rate, probability of regulatory success, and reimbursement rates from certain government agencies. The estimated value of the CVR consideration is based upon available information and certain assumptions which the Company’s management believes are reasonable under the circumstances. The ultimate payout under the CVRs may differ materially from the assumptions used in determining the fair value of the CVR consideration.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condensed consolidated financial statements and accompanying notes. Management bases its estimates on historical experience and on various other market-specific and relevant assumptions that management believes to be reasonable under the circumstances, the results of which form the basis for making judgments about the carrying value of assets, liabilities, and equity and the amount of revenues and expenses. Actual results could differ significantly from those estimates. The most significant estimates and assumptions that management considers in the preparation of the Company’s financial statements relate to the valuation of consideration transferred in acquiring IPR&amp;D; the discount rate, probabilities of success, and timing of estimated cash flows in the valuation of the CVR liability; inputs used in the Black-Scholes model for stock-based compensation expense; estimated future cash flows used in calculating the impairment of right-of-use lease assets; and estimated cost to complete performance obligations related to revenue recognition. The consideration transferred in acquiring IPR&amp;D in connection with the acquisition of Spyre was comprised of shares of the Company’s common stock and shares of Series A Preferred Stock. To determine the fair value of the equity transferred, the Company considered the per share value of the PIPE, which was an over-subscribed financing event involving a group of accredited investors.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Company early adopted the Financial Accounting Standards Board’s Accounting Standards Update 2020-06, Accounting for Convertible Instruments and Contracts in an Entity’s Own Equity (“ASU 2020-06”), effective as of January 1, 2023 using the modified retrospective method. Among other amendments, ASU 2020-06 eliminates the cash conversion and beneficial conversion feature models in ASC 470-20 that required an issuer of certain convertible debt and preferred stock to separately account for embedded conversion features as a component of equity, as well as changes the accounting for diluted earnings-per-share for convertible instruments and contracts that may be settled in cash or stock. Additionally, ASU 2020-06 requires the if-converted method, which is more dilutive than the treasury stock method, be used for all convertible instruments. The Company applied ASU 2020-06 to all Series A Preferred Stock during fiscal year 2023, and, accordingly, the Company did not apply the cash conversion or beneficial conversion feature models in its analysis of the Series A Preferred Stock.</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Fair Value Measurements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measures and reports certain financial instruments as assets and liabilities at fair value on a recurring basis. The following tables set forth the fair value of the Company’s financial assets and liabilities at fair value on a recurring basis based on the three-tier fair value hierarchy (in thousands):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color w:val="auto"/>
              </w:rPr>
              <w:t>September 30, 2023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2"/>
                <w:szCs w:val="12"/>
                <w:color w:val="auto"/>
              </w:rPr>
            </w:pPr>
          </w:p>
        </w:tc>
        <w:tc>
          <w:tcPr>
            <w:tcW w:w="1060" w:type="dxa"/>
            <w:vAlign w:val="bottom"/>
            <w:gridSpan w:val="3"/>
          </w:tcPr>
          <w:p>
            <w:pPr>
              <w:jc w:val="right"/>
              <w:ind w:right="540"/>
              <w:spacing w:after="0" w:line="142"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2"/>
                <w:szCs w:val="12"/>
                <w:color w:val="auto"/>
              </w:rPr>
            </w:pPr>
          </w:p>
        </w:tc>
        <w:tc>
          <w:tcPr>
            <w:tcW w:w="62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spacing w:after="0"/>
              <w:rPr>
                <w:sz w:val="20"/>
                <w:szCs w:val="20"/>
                <w:color w:val="auto"/>
              </w:rPr>
            </w:pPr>
            <w:r>
              <w:rPr>
                <w:rFonts w:ascii="Arial" w:cs="Arial" w:eastAsia="Arial" w:hAnsi="Arial"/>
                <w:sz w:val="18"/>
                <w:szCs w:val="18"/>
                <w:color w:val="auto"/>
                <w:w w:val="90"/>
              </w:rPr>
              <w:t>55,451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107,093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107,093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55,451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129,921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185,372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Parapyre Option Obligation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CVR liability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28,200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28,200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color w:val="auto"/>
              </w:rPr>
              <w:t>December 31, 2022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2"/>
                <w:szCs w:val="12"/>
                <w:color w:val="auto"/>
              </w:rPr>
            </w:pPr>
          </w:p>
        </w:tc>
        <w:tc>
          <w:tcPr>
            <w:tcW w:w="1060" w:type="dxa"/>
            <w:vAlign w:val="bottom"/>
            <w:gridSpan w:val="3"/>
          </w:tcPr>
          <w:p>
            <w:pPr>
              <w:jc w:val="right"/>
              <w:ind w:right="540"/>
              <w:spacing w:after="0" w:line="142"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2"/>
                <w:szCs w:val="12"/>
                <w:color w:val="auto"/>
              </w:rPr>
            </w:pPr>
          </w:p>
        </w:tc>
        <w:tc>
          <w:tcPr>
            <w:tcW w:w="62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spacing w:after="0"/>
              <w:rPr>
                <w:sz w:val="20"/>
                <w:szCs w:val="20"/>
                <w:color w:val="auto"/>
              </w:rPr>
            </w:pPr>
            <w:r>
              <w:rPr>
                <w:rFonts w:ascii="Arial" w:cs="Arial" w:eastAsia="Arial" w:hAnsi="Arial"/>
                <w:sz w:val="18"/>
                <w:szCs w:val="18"/>
                <w:color w:val="auto"/>
                <w:w w:val="90"/>
              </w:rPr>
              <w:t>15,250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15,250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measures the fair value of money market funds on quoted prices in active markets for identical assets or liabilities. The Level 2 assets include commercial paper, U.S. government securities and corporate bonds and are valued based on quoted prices for similar assets in active markets and inputs other than quoted prices that are derived from observable market data. The Company evaluates transfers between levels at the end of each reporting period.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Parapyre Option Obligation (as defined in Note 6) is considered a Level 2 liability based on observable market data for substantially the full term of the liability. The Parapyre Option Obligation is measured each period using a Black-Scholes model to estimate the fair value of the option grant. Changes in the fair value of the Parapyre Option Obligation are recorded as stock-based compensation within Research and development expenses for non-employees who provided pre-clinical testing services.</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CVR liability value is based on significant inputs not observable in the market such as estimated cash flows, estimated probabilities of success, and risk-adjusted discount rates, which represent a Level 3 liability.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2022, the Company had no financial liabilities outstanding measured at fair value.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Forward Contract Liability</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connection with the Asset Acquisition, the Company entered into a contract for the issuance of 364,887 shares of Series A Preferred Stock as part of the consideration transferred. This forward contract was classified as a liability because the underlying preferred shares were contingently redeemable. Further, the forward contract liability was considered a Level 2 liability based on observable market data for substantially the full term of the liability and was initially measured at its estimated fair value on the transaction date based on the underlying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price per share on an as-converted basis of the Series A Preferred Stock issued in the PIPE. Subsequent remeasurement of the fair value of the forward contract liability through its settlement date was based on the market price of the Company’s common stock, which represents the redemption value of the Series A Preferred Stock.</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fair value of the forward contract at the transaction date, June 22, 2023, was $106.2 million. The liability was settled with the issuance of the Series A Preferred Stock on July 7, 2023 for $189.7 million. For the three and nine months ended September 30, 2023, $25.4 million and $83.5 million, respectively, was recorded as Other (expense) income in the consolidated statements of operations in connection with the change in fair value of the forward contract liability.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changes in the forward contract liability for the periods presented (in millions):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color w:val="auto"/>
              </w:rPr>
              <w:t>Forward Contract Liability</w:t>
            </w: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as of June 22, 2023</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June 30, 2023</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A Preferred Stock on July 7, 2023</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(189.7)</w:t>
            </w: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Ending balance as of September 30, 2023</w:t>
            </w: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Parapyre Option Obligation</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June 22, 2023, in connection with the Asset Acquisition, the Company assumed the Parapyre Option Obligation which provided for an annual equity grant of options for Parapyre Holding LLC (“Parapyre”) to purchase 1% of the then outstanding shares of Spyre’s common stock, on a fully diluted basis, on the last business day of each calendar year during the term of the Paragon Agreement, at the fair market value determined by the board of directors of Spyre.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September 29, 2023, the Company amended the Paragon Agreement to amend and restate certain terms of the option grant pertaining to the Parapyre Option Obligation, including but not limited to (i) defining that the annual equity grant of options is based on the outstanding shares of Aeglea’s common stock, (ii) establishing the grant date as the last business day of each applicable calendar year, and (iii) defining the term of the options granted as ten years. The liability related to the Parapyre Option Obligation will be recorded pursuant to the amended Paragon Agreement. As of September 30, 2023, the pro-rated estimated fair value of the options to be granted on December 31, 2023, was approximately $3.0 million, of which $0.1 million was recognized as part of the liabilities assumed with the Asset Acquisition on June 22, 2023. For the three and nine months ended September 30, 2023, $2.7 million and $2.9 million, respectively, was recognized as stock compensation expense related to the Parapyre Option Obligation.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CVR Liability</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the Asset Acquisition, a non-transferable contingent value right (a “CVR”) was distributed to Aeglea stockholders of record as of the close of business on July 3, 2023, but was not distributed to holders of shares of Common Stock or Series A Preferred Stock issued to the Investors or former stockholders of Spyre in connection with the Transactions. Holders of the CVR will be entitled to receive certain cash payments from proceeds received by the Company for a three-year period, if any, related to the disposition or monetization of Aeglea’s legacy assets for a period of one year following the closing of the Asset Acquisition.</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fair value of the CVR liability was determined using the probability weighted discounted cash flow method to estimate future cash flows associated with the sale of the legacy assets. Analogous to a dividend being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declared/approved in one period and paid out in another, the liability was recorded at the date of approval, June 22, 2023, as a common stock dividend, returning capital to the Legacy Stockholders. Changes in fair value of the liability will be recognized as a component of Other income (expense) in the condensed consolidated statement of operations and comprehensive loss in each reporting period. The liability value is based on significant inputs not observable in the market such as estimated cash flows, estimated probabilities of success, and risk-adjusted discount rates, which represent a Level 3 measurement within the fair value hierarchy. The significant inputs used to estimate the fair value of the CVR liability were as follows: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546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September 30, 2023</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Estimated cash flow dates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11/28/23 - 06/22/26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Estimated probability of success</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27% - 100%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Risk-adjusted discount rates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7.14% - 7.57%</w:t>
            </w:r>
          </w:p>
        </w:tc>
      </w:tr>
    </w:tbl>
    <w:p>
      <w:pPr>
        <w:spacing w:after="0" w:line="20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change in fair value between June 30, 2023 and September 30, 2023 was a $1.3 million decrease, and was primarily driven by changes in the likelihood of a successful disposition of pegtarviliase, changes in the expected timing of achievement of certain milestones, updates to expenses and deductions, partially offset by changes in the likelihood of certain milestones related to the favorable Committee for Medicinal Products Human Use (“CHMP”) opinion received by Immedica Pharma AB (“Immedica”).</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changes in the CVR liability for the periods presented (in thousands):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CVR Liability</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as of December 31, 2022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Fair value at CVR issuance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29,500</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Changes in the fair value of the CVR liability since issuance</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Ending Balance as of September 30, 2023</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 Cash Equivalents and Marketable Securities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tables summarize the estimated fair value of the Company’s cash equivalents and marketable securities and the gross unrealized gains and losses (in thousands):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color w:val="auto"/>
              </w:rPr>
              <w:t>September 30, 2023</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80"/>
              <w:spacing w:after="0" w:line="123" w:lineRule="exact"/>
              <w:rPr>
                <w:sz w:val="20"/>
                <w:szCs w:val="20"/>
                <w:color w:val="auto"/>
              </w:rPr>
            </w:pPr>
            <w:r>
              <w:rPr>
                <w:rFonts w:ascii="Arial" w:cs="Arial" w:eastAsia="Arial" w:hAnsi="Arial"/>
                <w:sz w:val="14"/>
                <w:szCs w:val="14"/>
                <w:color w:val="auto"/>
                <w:w w:val="96"/>
              </w:rPr>
              <w:t>Gross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Amortized</w:t>
            </w:r>
          </w:p>
        </w:tc>
        <w:tc>
          <w:tcPr>
            <w:tcW w:w="2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Estimated</w:t>
            </w: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w w:val="90"/>
              </w:rPr>
              <w:t>Losses</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55,451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55,451</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16,914</w:t>
            </w: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Total cash equivalents</w:t>
            </w:r>
          </w:p>
        </w:tc>
        <w:tc>
          <w:tcPr>
            <w:tcW w:w="2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72,365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90,272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90,179</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22,828</w:t>
            </w:r>
          </w:p>
        </w:tc>
      </w:tr>
      <w:tr>
        <w:trPr>
          <w:trHeight w:val="223"/>
        </w:trPr>
        <w:tc>
          <w:tcPr>
            <w:tcW w:w="20" w:type="dxa"/>
            <w:vAlign w:val="bottom"/>
          </w:tcPr>
          <w:p>
            <w:pPr>
              <w:spacing w:after="0"/>
              <w:rPr>
                <w:sz w:val="19"/>
                <w:szCs w:val="19"/>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113,121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113,007</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20" w:type="dxa"/>
            <w:vAlign w:val="bottom"/>
            <w:gridSpan w:val="2"/>
          </w:tcPr>
          <w:p>
            <w:pPr>
              <w:jc w:val="right"/>
              <w:ind w:right="602"/>
              <w:spacing w:after="0"/>
              <w:rPr>
                <w:sz w:val="20"/>
                <w:szCs w:val="20"/>
                <w:color w:val="auto"/>
              </w:rPr>
            </w:pPr>
            <w:r>
              <w:rPr>
                <w:rFonts w:ascii="Arial" w:cs="Arial" w:eastAsia="Arial" w:hAnsi="Arial"/>
                <w:sz w:val="18"/>
                <w:szCs w:val="18"/>
                <w:color w:val="auto"/>
              </w:rPr>
              <w:t>F-53</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color w:val="auto"/>
              </w:rPr>
              <w:t>December 31, 2022</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Gross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41"/>
              <w:spacing w:after="0" w:line="123" w:lineRule="exact"/>
              <w:rPr>
                <w:sz w:val="20"/>
                <w:szCs w:val="20"/>
                <w:color w:val="auto"/>
              </w:rPr>
            </w:pPr>
            <w:r>
              <w:rPr>
                <w:rFonts w:ascii="Arial" w:cs="Arial" w:eastAsia="Arial" w:hAnsi="Arial"/>
                <w:sz w:val="14"/>
                <w:szCs w:val="14"/>
                <w:color w:val="auto"/>
                <w:w w:val="96"/>
              </w:rPr>
              <w:t>Gross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Amortized</w:t>
            </w:r>
          </w:p>
        </w:tc>
        <w:tc>
          <w:tcPr>
            <w:tcW w:w="5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3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3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9"/>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Cost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1"/>
              <w:spacing w:after="0"/>
              <w:rPr>
                <w:sz w:val="20"/>
                <w:szCs w:val="20"/>
                <w:color w:val="auto"/>
              </w:rPr>
            </w:pPr>
            <w:r>
              <w:rPr>
                <w:rFonts w:ascii="Arial" w:cs="Arial" w:eastAsia="Arial" w:hAnsi="Arial"/>
                <w:sz w:val="14"/>
                <w:szCs w:val="14"/>
                <w:color w:val="auto"/>
                <w:w w:val="90"/>
              </w:rPr>
              <w:t>Losses</w:t>
            </w:r>
          </w:p>
        </w:tc>
        <w:tc>
          <w:tcPr>
            <w:tcW w:w="3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$ 15,250</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$ 15,250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7,021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Arial" w:cs="Arial" w:eastAsia="Arial" w:hAnsi="Arial"/>
                <w:sz w:val="18"/>
                <w:szCs w:val="18"/>
                <w:color w:val="auto"/>
              </w:rPr>
              <w:t>(1)</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$ 26,007</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$ 26,005</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$ 16,644</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(25)</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3,738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Arial" w:cs="Arial" w:eastAsia="Arial" w:hAnsi="Arial"/>
                <w:sz w:val="18"/>
                <w:szCs w:val="18"/>
                <w:color w:val="auto"/>
              </w:rPr>
              <w:t>(6)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securities</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$ 20,877</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$ 20,848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following table summarizes the available-for-sale securities in an unrealized loss position for which an allowance for credit losses has not been recorded as of September 30, 2023 and December 31, 2022, aggregated by major security type and length of time in a continuous unrealized loss position:</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2"/>
              </w:rPr>
              <w:t>September 30, 2023</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6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2"/>
              </w:rPr>
              <w:t>12 Months or</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6040" w:type="dxa"/>
            <w:vAlign w:val="bottom"/>
          </w:tcPr>
          <w:p>
            <w:pPr>
              <w:spacing w:after="0"/>
              <w:rPr>
                <w:sz w:val="14"/>
                <w:szCs w:val="14"/>
                <w:color w:val="auto"/>
              </w:rPr>
            </w:pPr>
          </w:p>
        </w:tc>
        <w:tc>
          <w:tcPr>
            <w:tcW w:w="1700" w:type="dxa"/>
            <w:vAlign w:val="bottom"/>
            <w:gridSpan w:val="6"/>
          </w:tcPr>
          <w:p>
            <w:pPr>
              <w:jc w:val="right"/>
              <w:ind w:right="241"/>
              <w:spacing w:after="0"/>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3"/>
          </w:tcPr>
          <w:p>
            <w:pPr>
              <w:jc w:val="center"/>
              <w:ind w:right="294"/>
              <w:spacing w:after="0"/>
              <w:rPr>
                <w:sz w:val="20"/>
                <w:szCs w:val="20"/>
                <w:color w:val="auto"/>
              </w:rPr>
            </w:pPr>
            <w:r>
              <w:rPr>
                <w:rFonts w:ascii="Arial" w:cs="Arial" w:eastAsia="Arial" w:hAnsi="Arial"/>
                <w:sz w:val="14"/>
                <w:szCs w:val="14"/>
                <w:color w:val="auto"/>
                <w:w w:val="91"/>
              </w:rPr>
              <w:t>Longer</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Total</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604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260"/>
              <w:spacing w:after="0" w:line="123" w:lineRule="exact"/>
              <w:rPr>
                <w:sz w:val="20"/>
                <w:szCs w:val="20"/>
                <w:color w:val="auto"/>
              </w:rPr>
            </w:pPr>
            <w:r>
              <w:rPr>
                <w:rFonts w:ascii="Arial" w:cs="Arial" w:eastAsia="Arial" w:hAnsi="Arial"/>
                <w:sz w:val="14"/>
                <w:szCs w:val="14"/>
                <w:color w:val="auto"/>
                <w:w w:val="99"/>
              </w:rPr>
              <w:t>Fair</w:t>
            </w:r>
          </w:p>
        </w:tc>
        <w:tc>
          <w:tcPr>
            <w:tcW w:w="6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2"/>
              </w:rPr>
              <w:t>Unrealized</w:t>
            </w:r>
          </w:p>
        </w:tc>
        <w:tc>
          <w:tcPr>
            <w:tcW w:w="26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89"/>
              </w:rPr>
              <w:t>Unrealized</w:t>
            </w:r>
          </w:p>
        </w:tc>
        <w:tc>
          <w:tcPr>
            <w:tcW w:w="120" w:type="dxa"/>
            <w:vAlign w:val="bottom"/>
          </w:tcPr>
          <w:p>
            <w:pPr>
              <w:spacing w:after="0"/>
              <w:rPr>
                <w:sz w:val="10"/>
                <w:szCs w:val="10"/>
                <w:color w:val="auto"/>
              </w:rPr>
            </w:pPr>
          </w:p>
        </w:tc>
      </w:tr>
      <w:tr>
        <w:trPr>
          <w:trHeight w:val="167"/>
        </w:trPr>
        <w:tc>
          <w:tcPr>
            <w:tcW w:w="60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Value</w:t>
            </w:r>
          </w:p>
        </w:tc>
        <w:tc>
          <w:tcPr>
            <w:tcW w:w="120" w:type="dxa"/>
            <w:vAlign w:val="bottom"/>
          </w:tcPr>
          <w:p>
            <w:pPr>
              <w:spacing w:after="0"/>
              <w:rPr>
                <w:sz w:val="14"/>
                <w:szCs w:val="14"/>
                <w:color w:val="auto"/>
              </w:rPr>
            </w:pPr>
          </w:p>
        </w:tc>
        <w:tc>
          <w:tcPr>
            <w:tcW w:w="720" w:type="dxa"/>
            <w:vAlign w:val="bottom"/>
            <w:gridSpan w:val="2"/>
          </w:tcPr>
          <w:p>
            <w:pPr>
              <w:jc w:val="right"/>
              <w:ind w:right="241"/>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4"/>
              </w:rPr>
              <w:t>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color w:val="auto"/>
                <w:w w:val="90"/>
              </w:rPr>
              <w:t>Losses</w:t>
            </w:r>
          </w:p>
        </w:tc>
        <w:tc>
          <w:tcPr>
            <w:tcW w:w="2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4"/>
                <w:szCs w:val="14"/>
                <w:color w:val="auto"/>
                <w:w w:val="85"/>
              </w:rPr>
              <w:t>Losses</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$78,820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2"/>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$78,820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97,193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2"/>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97,193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60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color w:val="auto"/>
                <w:w w:val="94"/>
              </w:rPr>
              <w:t>December 31, 2022</w:t>
            </w: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6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2"/>
              </w:rPr>
              <w:t>12 Months or</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6040" w:type="dxa"/>
            <w:vAlign w:val="bottom"/>
          </w:tcPr>
          <w:p>
            <w:pPr>
              <w:spacing w:after="0"/>
              <w:rPr>
                <w:sz w:val="14"/>
                <w:szCs w:val="14"/>
                <w:color w:val="auto"/>
              </w:rPr>
            </w:pPr>
          </w:p>
        </w:tc>
        <w:tc>
          <w:tcPr>
            <w:tcW w:w="1700" w:type="dxa"/>
            <w:vAlign w:val="bottom"/>
            <w:gridSpan w:val="6"/>
          </w:tcPr>
          <w:p>
            <w:pPr>
              <w:jc w:val="right"/>
              <w:ind w:right="241"/>
              <w:spacing w:after="0"/>
              <w:rPr>
                <w:sz w:val="20"/>
                <w:szCs w:val="20"/>
                <w:color w:val="auto"/>
              </w:rPr>
            </w:pPr>
            <w:r>
              <w:rPr>
                <w:rFonts w:ascii="Arial" w:cs="Arial" w:eastAsia="Arial" w:hAnsi="Arial"/>
                <w:sz w:val="14"/>
                <w:szCs w:val="14"/>
                <w:color w:val="auto"/>
              </w:rPr>
              <w:t>Less Than 12 Months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3"/>
          </w:tcPr>
          <w:p>
            <w:pPr>
              <w:jc w:val="center"/>
              <w:ind w:right="294"/>
              <w:spacing w:after="0"/>
              <w:rPr>
                <w:sz w:val="20"/>
                <w:szCs w:val="20"/>
                <w:color w:val="auto"/>
              </w:rPr>
            </w:pPr>
            <w:r>
              <w:rPr>
                <w:rFonts w:ascii="Arial" w:cs="Arial" w:eastAsia="Arial" w:hAnsi="Arial"/>
                <w:sz w:val="14"/>
                <w:szCs w:val="14"/>
                <w:color w:val="auto"/>
                <w:w w:val="91"/>
              </w:rPr>
              <w:t>Longer</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Total</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604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260"/>
              <w:spacing w:after="0" w:line="123" w:lineRule="exact"/>
              <w:rPr>
                <w:sz w:val="20"/>
                <w:szCs w:val="20"/>
                <w:color w:val="auto"/>
              </w:rPr>
            </w:pPr>
            <w:r>
              <w:rPr>
                <w:rFonts w:ascii="Arial" w:cs="Arial" w:eastAsia="Arial" w:hAnsi="Arial"/>
                <w:sz w:val="14"/>
                <w:szCs w:val="14"/>
                <w:color w:val="auto"/>
                <w:w w:val="99"/>
              </w:rPr>
              <w:t>Fair</w:t>
            </w:r>
          </w:p>
        </w:tc>
        <w:tc>
          <w:tcPr>
            <w:tcW w:w="6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2"/>
              </w:rPr>
              <w:t>Unrealized</w:t>
            </w:r>
          </w:p>
        </w:tc>
        <w:tc>
          <w:tcPr>
            <w:tcW w:w="260" w:type="dxa"/>
            <w:vAlign w:val="bottom"/>
          </w:tcPr>
          <w:p>
            <w:pPr>
              <w:spacing w:after="0"/>
              <w:rPr>
                <w:sz w:val="10"/>
                <w:szCs w:val="10"/>
                <w:color w:val="auto"/>
              </w:rPr>
            </w:pPr>
          </w:p>
        </w:tc>
        <w:tc>
          <w:tcPr>
            <w:tcW w:w="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Fair</w:t>
            </w: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89"/>
              </w:rPr>
              <w:t>Unrealized</w:t>
            </w:r>
          </w:p>
        </w:tc>
        <w:tc>
          <w:tcPr>
            <w:tcW w:w="120" w:type="dxa"/>
            <w:vAlign w:val="bottom"/>
          </w:tcPr>
          <w:p>
            <w:pPr>
              <w:spacing w:after="0"/>
              <w:rPr>
                <w:sz w:val="10"/>
                <w:szCs w:val="10"/>
                <w:color w:val="auto"/>
              </w:rPr>
            </w:pPr>
          </w:p>
        </w:tc>
      </w:tr>
      <w:tr>
        <w:trPr>
          <w:trHeight w:val="167"/>
        </w:trPr>
        <w:tc>
          <w:tcPr>
            <w:tcW w:w="60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Value</w:t>
            </w:r>
          </w:p>
        </w:tc>
        <w:tc>
          <w:tcPr>
            <w:tcW w:w="120" w:type="dxa"/>
            <w:vAlign w:val="bottom"/>
          </w:tcPr>
          <w:p>
            <w:pPr>
              <w:spacing w:after="0"/>
              <w:rPr>
                <w:sz w:val="14"/>
                <w:szCs w:val="14"/>
                <w:color w:val="auto"/>
              </w:rPr>
            </w:pPr>
          </w:p>
        </w:tc>
        <w:tc>
          <w:tcPr>
            <w:tcW w:w="720" w:type="dxa"/>
            <w:vAlign w:val="bottom"/>
            <w:gridSpan w:val="2"/>
          </w:tcPr>
          <w:p>
            <w:pPr>
              <w:jc w:val="right"/>
              <w:ind w:right="241"/>
              <w:spacing w:after="0"/>
              <w:rPr>
                <w:sz w:val="20"/>
                <w:szCs w:val="20"/>
                <w:color w:val="auto"/>
              </w:rPr>
            </w:pPr>
            <w:r>
              <w:rPr>
                <w:rFonts w:ascii="Arial" w:cs="Arial" w:eastAsia="Arial" w:hAnsi="Arial"/>
                <w:sz w:val="14"/>
                <w:szCs w:val="14"/>
                <w:color w:val="auto"/>
                <w:w w:val="85"/>
              </w:rPr>
              <w:t>Losses</w:t>
            </w:r>
          </w:p>
        </w:tc>
        <w:tc>
          <w:tcPr>
            <w:tcW w:w="12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4"/>
              </w:rPr>
              <w:t>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color w:val="auto"/>
                <w:w w:val="90"/>
              </w:rPr>
              <w:t>Losses</w:t>
            </w:r>
          </w:p>
        </w:tc>
        <w:tc>
          <w:tcPr>
            <w:tcW w:w="2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9"/>
              </w:rPr>
              <w:t>Value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4"/>
                <w:szCs w:val="14"/>
                <w:color w:val="auto"/>
                <w:w w:val="85"/>
              </w:rPr>
              <w:t>Losses</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$17,699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2"/>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$17,699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3,735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25,166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92"/>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25,166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does not expect it will be required to sell the securities before recovery of the unamortized cost basis. As of September 30, 2023 and December 31, 2022, an allowance for credit losses had not been recognized. Given the Company’s intent and ability to hold such securities until recovery, and the lack of significant change in credit risk of these investments, the Company does not consider these marketable securities to be impaired as of September 30, 2023 and December 31, 2022.</w:t>
      </w:r>
    </w:p>
    <w:p>
      <w:pPr>
        <w:spacing w:after="0" w:line="192"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financial instruments that potentially subject the Company to a concentration of credit risk consist principally of cash deposits. Accounts at each of our three U.S. banking institutions are insured by the Federal Deposit Insurance Corporation (“FDIC”) up to $250,000 per depositor. At September 30, 2023 and December 31,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2022, the Company had $16.9 million and $23.5 million, respectively, of U.S. cash deposits in excess of the FDIC insured limit. Uninsured foreign cash deposits were immaterial for both periods.</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There were no realized gains or losses on marketable securities for the three and nine months ended September 30, 2023 and 2022. Interest on marketable securities is included in interest income. Accrued interest receivable on available-for-sale debt securities at September 30, 2023 and December 31, 2022 was $0.4 million and $0.1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contractual maturities of the Company’s marketable securities at estimated fair value (in thousands):</w:t>
      </w: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6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2023</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2022</w:t>
            </w:r>
          </w:p>
        </w:tc>
        <w:tc>
          <w:tcPr>
            <w:tcW w:w="4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102,518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Due thereafter</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10,489</w:t>
            </w:r>
          </w:p>
        </w:tc>
        <w:tc>
          <w:tcPr>
            <w:tcW w:w="18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113,007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20,848</w:t>
            </w: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may sell investments at any time for use in current operations even if they have not yet reached maturity. As a result, the Company classifies marketable securities, including securities with maturities beyond twelve months as current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 Accrued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3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w w:val="93"/>
              </w:rPr>
              <w:t>December 31,</w:t>
            </w:r>
          </w:p>
        </w:tc>
      </w:tr>
      <w:tr>
        <w:trPr>
          <w:trHeight w:val="167"/>
        </w:trPr>
        <w:tc>
          <w:tcPr>
            <w:tcW w:w="5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2022</w:t>
            </w:r>
          </w:p>
        </w:tc>
        <w:tc>
          <w:tcPr>
            <w:tcW w:w="40" w:type="dxa"/>
            <w:vAlign w:val="bottom"/>
            <w:tcBorders>
              <w:bottom w:val="single" w:sz="8" w:color="CCEEFF"/>
            </w:tcBorders>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Accrued contracted research and development costs</w:t>
            </w: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6,669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6,972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and consulting fees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Accrued 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12,837</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 Related Party Transactions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Paragon and Parapyre Holding LLC each beneficially owns less than 5% of the Company’s capital stock through their respective holdings of the Company’s common stock and Series A Preferred Stock. Fairmount Funds Management LLC (“Fairmount”) beneficially owns more than 5% of the Company’s capital stock, has two seats on the Board and beneficially owns more than 5% of Paragon, which is a joint venture between Fairmount and Fair Journey Biologics. Fairmount appointed Paragon’s board of directors and has the contractual right to approve the appointment of any executive officers. Parapyre is an entity formed by Paragon as a vehicle to hold equity in Spyre in order to share profits with certain employees of Paragon.</w:t>
      </w:r>
    </w:p>
    <w:p>
      <w:pPr>
        <w:spacing w:after="0" w:line="16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connection with the Asset Acquisition, the Company assumed the rights and obligations of Spyre under the Paragon Agreement. Under the Paragon Agreement, Spyre is obligated to compensate Paragon for its services performed under each research program based on the actual costs incurred with mark-up costs pursuant to the terms of the Paragon Agreement. As of the date of the Asset Acquisition, Spyre had incurred total expenses of $19.0 million under the Paragon Agreement since inception, inclusive of a $3.0 million research initiation fee that was due upon signing of the Paragon Agreement and $16.0 million of reimbursable expenses under the Paragon Agreement for historical costs owed to Paragon. As of the acquisition date, $19.0 million was unpaid and was assumed by the Company through the Asset Acquisition.</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60"/>
          </w:cols>
          <w:pgMar w:left="320" w:top="459" w:right="51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the three and nine months ended September 30, 2023, the Company recognized expenses related to services provided by Paragon subsequent to the Asset Acquisition totaling $19.4 million and $20.8 million, respectively, which were recorded as Research and development expenses in the consolidated statements of operations. As of September 30, 2023, $16.8 million was unpaid and was included in Related party payable on the Company’s consolidated balance sheets.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and nine months ended September 30, 2023, the Company made payments totaling $20.0 million to Paragon.</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July 2023, the Company exercised its option for the SPY001 program with the remaining three options for the SPY002, SPY003, SPY004 programs remaining outstanding. Following the execution of the license agreement with respect to the SPY001 program (the “SPY001 License Agreement”), the Company will be obligated to pay Paragon up to $22.0 million upon the achievement of specific development and clinical milestones for the first product under the SPY001 License Agreement that achieves such specified milestones.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the summary of expenses related to the Paragon Agreement, which were ultimately settled in cash (in millions):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w w:val="94"/>
              </w:rPr>
              <w:t>Three Months Ended</w:t>
            </w:r>
          </w:p>
        </w:tc>
        <w:tc>
          <w:tcPr>
            <w:tcW w:w="440" w:type="dxa"/>
            <w:vAlign w:val="bottom"/>
          </w:tcPr>
          <w:p>
            <w:pPr>
              <w:spacing w:after="0"/>
              <w:rPr>
                <w:sz w:val="14"/>
                <w:szCs w:val="14"/>
                <w:color w:val="auto"/>
              </w:rPr>
            </w:pPr>
          </w:p>
        </w:tc>
        <w:tc>
          <w:tcPr>
            <w:tcW w:w="150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Nine Months Ended</w:t>
            </w: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150"/>
              <w:spacing w:after="0"/>
              <w:rPr>
                <w:sz w:val="20"/>
                <w:szCs w:val="20"/>
                <w:color w:val="auto"/>
              </w:rPr>
            </w:pPr>
            <w:r>
              <w:rPr>
                <w:rFonts w:ascii="Arial" w:cs="Arial" w:eastAsia="Arial" w:hAnsi="Arial"/>
                <w:sz w:val="14"/>
                <w:szCs w:val="14"/>
                <w:color w:val="auto"/>
              </w:rPr>
              <w:t>September 30,</w:t>
            </w:r>
          </w:p>
        </w:tc>
        <w:tc>
          <w:tcPr>
            <w:tcW w:w="440" w:type="dxa"/>
            <w:vAlign w:val="bottom"/>
          </w:tcPr>
          <w:p>
            <w:pPr>
              <w:spacing w:after="0"/>
              <w:rPr>
                <w:sz w:val="14"/>
                <w:szCs w:val="14"/>
                <w:color w:val="auto"/>
              </w:rPr>
            </w:pPr>
          </w:p>
        </w:tc>
        <w:tc>
          <w:tcPr>
            <w:tcW w:w="150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September 30,</w:t>
            </w:r>
          </w:p>
        </w:tc>
        <w:tc>
          <w:tcPr>
            <w:tcW w:w="3660" w:type="dxa"/>
            <w:vAlign w:val="bottom"/>
            <w:vMerge w:val="restart"/>
          </w:tcPr>
          <w:p>
            <w:pPr>
              <w:ind w:left="960"/>
              <w:spacing w:after="0"/>
              <w:rPr>
                <w:sz w:val="20"/>
                <w:szCs w:val="20"/>
                <w:color w:val="auto"/>
              </w:rPr>
            </w:pPr>
            <w:r>
              <w:rPr>
                <w:rFonts w:ascii="Arial" w:cs="Arial" w:eastAsia="Arial" w:hAnsi="Arial"/>
                <w:sz w:val="14"/>
                <w:szCs w:val="14"/>
                <w:color w:val="auto"/>
              </w:rPr>
              <w:t>Financial Statement Line Item</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color w:val="auto"/>
              </w:rPr>
              <w:t>2023</w:t>
            </w:r>
          </w:p>
        </w:tc>
        <w:tc>
          <w:tcPr>
            <w:tcW w:w="7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2022</w:t>
            </w:r>
          </w:p>
        </w:tc>
        <w:tc>
          <w:tcPr>
            <w:tcW w:w="440" w:type="dxa"/>
            <w:vAlign w:val="bottom"/>
          </w:tcPr>
          <w:p>
            <w:pPr>
              <w:spacing w:after="0"/>
              <w:rPr>
                <w:sz w:val="12"/>
                <w:szCs w:val="12"/>
                <w:color w:val="auto"/>
              </w:rPr>
            </w:pPr>
          </w:p>
        </w:tc>
        <w:tc>
          <w:tcPr>
            <w:tcW w:w="52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color w:val="auto"/>
              </w:rPr>
              <w:t>2023</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2022</w:t>
            </w:r>
          </w:p>
        </w:tc>
        <w:tc>
          <w:tcPr>
            <w:tcW w:w="24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Reimbursable costs under the Paragon Agreement</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16.7</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$ 17.9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87"/>
              </w:rPr>
              <w:t>Research and development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Parapyre Option Obligation</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Paragon Agreement provided for an annual equity grant of options to purchase 1% of the then outstanding shares of Spyre’s common stock, on a fully diluted basis, on the last business day of each calendar year, at the fair market value determined by the board of directors of Spyre (the “Parapyre Option Obligation”).</w:t>
      </w:r>
    </w:p>
    <w:p>
      <w:pPr>
        <w:spacing w:after="0" w:line="184"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In connection with the Asset Acquisition, the Company assumed the rights and obligations of Spyre under the Paragon Agreement, including the Parapyre Option Obligation. As a result, the Parapyre Option Obligation shall continue and Parapyre shall be entitled to receive the equivalent shares of the Company with the same terms. On September 29, 2023, the Company amended the Paragon Agreement to amend and restate certain terms of the option grant pertaining to the Parapyre Option Obligation, including but not limited to (i) defining that the annual equity grant of options is based on the outstanding shares of Aeglea’s common stock, (ii) establishing the grant date as the last business day of each applicable calendar year, and (iii) defining the term of the options granted as ten years. See Notes 3 and 10 for disclosures related to the Parapyre Option Obligation. For the three and nine months ended September 30, 2023, $2.7 million and $2.9 million, respectively, was recognized as stock compensation expense related to the Parapyre Option Obligation.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the summary of Related party accounts payable (in millions):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46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2022</w:t>
            </w:r>
          </w:p>
        </w:tc>
        <w:tc>
          <w:tcPr>
            <w:tcW w:w="40" w:type="dxa"/>
            <w:vAlign w:val="bottom"/>
            <w:tcBorders>
              <w:bottom w:val="single" w:sz="8" w:color="CCEEFF"/>
            </w:tcBorders>
          </w:tcPr>
          <w:p>
            <w:pPr>
              <w:spacing w:after="0"/>
              <w:rPr>
                <w:sz w:val="14"/>
                <w:szCs w:val="14"/>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Reimbursable costs under the Paragon Agreement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Parapyre Option Obligation liability</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related party accounts payable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 Asset Acquisition</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June 22, 2023, the Company acquired Spyre pursuant to the Acquisition Agreement, by and among the Company, Aspen Merger Sub I, Inc., a Delaware corporation and a wholly owned subsidiary of the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93" w:lineRule="auto"/>
        <w:rPr>
          <w:sz w:val="20"/>
          <w:szCs w:val="20"/>
          <w:color w:val="auto"/>
        </w:rPr>
      </w:pPr>
      <w:r>
        <w:rPr>
          <w:rFonts w:ascii="Arial" w:cs="Arial" w:eastAsia="Arial" w:hAnsi="Arial"/>
          <w:sz w:val="16"/>
          <w:szCs w:val="16"/>
          <w:color w:val="auto"/>
        </w:rPr>
        <w:t>(“First Merger Sub”), Sequoia Merger Sub II, LLC, a Delaware limited liability company and wholly owned subsidiary of the Company (“Second Merger Sub”), and Spyre. Pursuant to the Acquisition Agreement, First Merger Sub merged with and into Spyre, pursuant to which Spyre was the surviving corporation and became a wholly owned subsidiary of the Company (the “First Merger”). Immediately following the First Merger, Spyre merged with and into Second Merger Sub, pursuant to which Second Merger Sub became the surviving entity. Spyre was a pre-clinical stage biotechnology company that was incorporated on April 28, 2023 under the direction of Peter Harwin, a Managing Member of Fairmount, for the purpose of holding rights to certain intellectual property being developed by Paragon. Fairmount is a founder of Paragon.</w:t>
      </w:r>
    </w:p>
    <w:p>
      <w:pPr>
        <w:spacing w:after="0" w:line="16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completed the Asset Acquisition of Spyre, in accordance with the terms of the Acquisition Agreement. Under the terms of the Acquisition Agreement, the Company issued 517,809 shares of common stock and 364,887 shares of Series A Preferred Stock to former Spyre security holders. In addition, outstanding and unexercised stock options to purchase 2,734 shares of common stock were assumed from the Amended and Restated Spyre 2023 Equity Incentive Plan.</w:t>
      </w:r>
    </w:p>
    <w:p>
      <w:pPr>
        <w:spacing w:after="0" w:line="18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At the acquisition date, the Company recorded forward contracts to represent the obligation to issue shares of the Company’s common stock and shares of Series A Preferred Stock, respectively. The forward contract related to the common stock was recorded as Additional paid-in capital as the instrument is indexed to the Company’s common stock. The forward contract related to the Series A Preferred Stock was recorded as a liability, as the underlying stock has a cash redemption feature. On July 7, 2023, both the shares of common stock and Series A Preferred Stock were issued and the forward contract liability associated with the Series A Preferred Stock was settled accordingly.</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concluded that the arrangement meets the definition of an asset acquisition rather than a business combination, as substantially all of the fair value of the gross assets acquired is concentrated in a single identifiable asset, Spyre’s option (the “Option”) to exclusively license IPR&amp;D. The Company determined that the Option to license IPR&amp;D was a single asset as the Company’s strategy relies on developing the entire portfolio of individual treatments to create combination treatments that simultaneously address different mechanisms of irritable bowel disease with a single treatment. The Company also determined that the pipeline candidates within the portfolio are similar in nature and risk profile. In addition, the Company did not obtain any substantive processes, assembled workforce, or employees capable of producing outputs in connection with the Asset Acquisition.</w:t>
      </w:r>
    </w:p>
    <w:p>
      <w:pPr>
        <w:spacing w:after="0" w:line="16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Company determined that the cost to acquire the asset was $113.2 million which was recorded as acquired IPR&amp;D. The fair value of the consideration issued consisted of the 364,887 shares of Series A Preferred Stock (14,595,480 shares of common stock on an as-converted basis) and 517,809 shares of common stock, valued at $291.08 per share and $7.277 per share,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Asset Acquisition Costs are shown on the following table (in millions):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June 22,</w:t>
            </w:r>
          </w:p>
        </w:tc>
        <w:tc>
          <w:tcPr>
            <w:tcW w:w="0" w:type="dxa"/>
            <w:vAlign w:val="bottom"/>
          </w:tcPr>
          <w:p>
            <w:pPr>
              <w:spacing w:after="0"/>
              <w:rPr>
                <w:sz w:val="1"/>
                <w:szCs w:val="1"/>
                <w:color w:val="auto"/>
              </w:rPr>
            </w:pPr>
          </w:p>
        </w:tc>
      </w:tr>
      <w:tr>
        <w:trPr>
          <w:trHeight w:val="167"/>
        </w:trPr>
        <w:tc>
          <w:tcPr>
            <w:tcW w:w="6100" w:type="dxa"/>
            <w:vAlign w:val="bottom"/>
          </w:tcPr>
          <w:p>
            <w:pPr>
              <w:spacing w:after="0"/>
              <w:rPr>
                <w:sz w:val="14"/>
                <w:szCs w:val="14"/>
                <w:color w:val="auto"/>
              </w:rPr>
            </w:pPr>
          </w:p>
        </w:tc>
        <w:tc>
          <w:tcPr>
            <w:tcW w:w="1340" w:type="dxa"/>
            <w:vAlign w:val="bottom"/>
            <w:gridSpan w:val="2"/>
          </w:tcPr>
          <w:p>
            <w:pPr>
              <w:jc w:val="right"/>
              <w:ind w:right="15"/>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transferred in Series A Preferred Stock and common stock</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Transaction costs incurred by Aeglea</w:t>
            </w:r>
          </w:p>
        </w:tc>
        <w:tc>
          <w:tcPr>
            <w:tcW w:w="8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to acquire asset</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113.2</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3580"/>
              <w:spacing w:after="0"/>
              <w:rPr>
                <w:sz w:val="20"/>
                <w:szCs w:val="20"/>
                <w:color w:val="auto"/>
              </w:rPr>
            </w:pPr>
            <w:r>
              <w:rPr>
                <w:rFonts w:ascii="Arial" w:cs="Arial" w:eastAsia="Arial" w:hAnsi="Arial"/>
                <w:sz w:val="18"/>
                <w:szCs w:val="18"/>
                <w:color w:val="auto"/>
              </w:rPr>
              <w:t>F-57</w:t>
            </w: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allocation of the purchase price to net assets acquired is as a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color w:val="auto"/>
                <w:w w:val="85"/>
              </w:rPr>
              <w:t>June 22,</w:t>
            </w:r>
          </w:p>
        </w:tc>
      </w:tr>
      <w:tr>
        <w:trPr>
          <w:trHeight w:val="167"/>
        </w:trPr>
        <w:tc>
          <w:tcPr>
            <w:tcW w:w="68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Cash acquired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Assumed liabilities</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Total cost to acquire asset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 Paragon Agreement</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May 2023, Spyre entered into the Paragon Agreement with Paragon and Parapyre. In consideration for the Option granted under the Paragon Agreement, Spyre was obligated to pay Paragon an upfront cash amount of $3.0 million in research initiation fees. In addition, Spyre was obligated to compensate Paragon on a quarterly basis for its services performed under each research program based on the actual costs incurred with mark-up costs pursuant to the terms of the Paragon Agreement. As of the date of the Asset Acquisition, Spyre had incurred total expenses of $19.0 million under the Paragon Agreement since inception, which included the $3.0 million research initiation fee and $16.0 million of historical reimbursable expenses owed to Paragon. As of June 22, 2023, $19.0 million was unpaid and was assumed by the Company through the Asset Acquisition. Furthermore, the Paragon Agreement provided for an annual equity grant of options to purchase 1% of the then outstanding shares of Spyre’s common stock, on a fully diluted basis, on the last business day of each calendar year, during the term of the Paragon Agreement, at the fair market value determined by the board of directors of Spyre.</w:t>
      </w:r>
    </w:p>
    <w:p>
      <w:pPr>
        <w:spacing w:after="0" w:line="18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As a result of the Asset Acquisition, the Company assumed the rights and obligations of Spyre under the Paragon Agreement, including the Parapyre Option Obligation. Pursuant to the Paragon Agreement, on a research program-by-research program basis following the finalization of the research plan for each respective research program, the Company is required to pay Paragon a nonrefundable fee in cash of $0.8 million. For the three and nine months ended September 30, 2023, the Company incurred $19.4 million and $20.8 million, respectively, in costs reimbursable to Paragon, which were recorded as Research and development expenses in the consolidated statements of operations.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and nine months ended September 30, 2023, the Company made payments totaling $20.0 million to Paragon.</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July 12, 2023, the Company exercised its Option available under the Paragon Agreement with respect to the SPY001 research program and expects to enter into a SPY001 license agreement (the “SPY001 License Agreement”). The Company’s Option available under the Paragon Agreement with respect to the SPY002, SPY003 and SPY004 programs remains unexercised.</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Following the execution of the SPY001 License Agreement, the Company will be obligated to pay Paragon up to $22.0 million upon the achievement of specific development and clinical milestones for the first product under the SPY001 License Agreement that achieves such specified milestones. Upon execution of the SPY001 License Agreement, the Company expects to pay Paragon a $1.5 million fee for nomination of a development candidate, and the Company expects to be obligated to make a further milestone payment of $2.5 million upon the first dosing of a human patient in a Phase 1 trial. Subject to the execution of the Option with respect to the SPY002, SPY003 or SPY004 research programs, the Company expects to be obligated to make similar payments upon and following the execution of license agreements with respect to the these research programs, respectively.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 Series A Non-Voting Convertible Preferred Stock</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June 22, 2023, the Company filed a Certificate of Designation of Preferences, Rights and Limitations of the Series A Preferred Stock with the Secretary of State of the State of Delaware (the “Certificate of Designation”) in connection with the Asset Acquisition and the PIPE.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20"/>
          </w:cols>
          <w:pgMar w:left="320" w:top="459" w:right="5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Pursuant to the Certificate of Designation, holders of Series A Preferred Stock are entitled to receive dividends on shares of Series A Preferred Stock equal to, on an as-if-converted-to-common-stock basis, and in the same form as, dividends actually paid on shares of the Company’s common stock. Except as provided in the Certificate of Designation or as otherwise required by law, the Series A Preferred Stock does not have voting rights. However, as long as any shares of Series A Preferred Stock are outstanding, the Company will not, without the affirmative vote of the holders of a majority of the then outstanding shares of the Series A Preferred Stock: (a) alter or change adversely the powers, preferences or rights given to the Series A Preferred Stock, or alter or amend the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of the Series A Preferred Stock into shares of Common Stock in accordance with Nasdaq Stock Market Rules (the “Conversion Proposal”) or at any time while at least 30% of the originally issued Series A Preferred Stock remains issued and outstanding, consummate (x) any Fundamental Transaction (as defined in the Certificate of Designation) or (y) any merger or consolidation of the Company with or into another entity or any stock sale to, or other business combination in which our stockholders immediately before such transaction do not hold at least a majority of our capital stock immediately after such transaction or (d) enter into any agreement with respect to any of the foregoing. The Series A Preferred Stock does not have a preference upon any liquidation, dissolution or winding-up of the Company.</w:t>
      </w:r>
    </w:p>
    <w:p>
      <w:pPr>
        <w:spacing w:after="0" w:line="17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Company has agreed to hold a stockholders’ meeting to submit the following matters to its stockholders for their consideration: (i) the approval of the Conversion Proposal, and (ii) if deemed necessary or appropriate by the Company or as otherwise required by law or contract, the approval of an amendment to the Certificate of Incorporation to authorize sufficient shares of common stock for the conversion of the Series A Preferred Stock issued pursuant to the Acquisition Agreement. In connection with these matters, the Company filed with the SEC a definitive proxy statement and other relevant materials. The stockholder meeting has not occurred as of September 30, 2023. The Series A Preferred Stock is recorded outside of stockholders’ (deficit) equity because, if conversion to common stock is not approved by the stockholders, the Series A Preferred Stock will be redeemable at the option of the holders for cash equal to the closing price of the common stock per share of common stock underlying the Series A Preferred Stock, on the last trading day prior to the holder’s redemption request. As of September 30, 2023, the redemption value of the Company’s outstanding Series A Preferred Stock was $532.3 million based on the closing stock price of the Company’s common stock on September 30, 2023 of $12.25 per share. The Company has determined that the conversion and redemption features of the Series A Preferred Stock do not require bifurcation as derivatives.</w:t>
      </w:r>
    </w:p>
    <w:p>
      <w:pPr>
        <w:spacing w:after="0" w:line="18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Following stockholder approval of the Conversion Proposal, each share of Series A Preferred Stock will automatically convert into 40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(established by the holder between 0% and 19.99%) of the total number of shares of common stock issued and outstanding immediately after giving effect to such conversion.</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June 26, 2023, the Company completed a private placement of 721,452 shares of Series A Preferred Stock in exchange for gross proceeds of $210.0 million, or net proceeds of $197.3 million, after deducting placement agent and other offering costs.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On July 7, 2023, the Company issued 364,887 shares of Series A Preferred Stock as part of its consideration transferred in connection with the Asset Acquisition that closed on June 22, 2023 which settled the related forward contract liability. For additional information, see Note 3.</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October 27, 2023, the Company filed a definitive proxy statement with the SEC to solicit approval of the Conversion Proposal, among other matters, at a special meeting of stockholders to be held on November 21, 2023.</w:t>
      </w:r>
    </w:p>
    <w:p>
      <w:pPr>
        <w:spacing w:after="0" w:line="278" w:lineRule="exact"/>
        <w:rPr>
          <w:sz w:val="20"/>
          <w:szCs w:val="20"/>
          <w:color w:val="auto"/>
        </w:rPr>
      </w:pPr>
    </w:p>
    <w:p>
      <w:pPr>
        <w:ind w:left="120" w:right="5300"/>
        <w:spacing w:after="0" w:line="375" w:lineRule="auto"/>
        <w:rPr>
          <w:sz w:val="20"/>
          <w:szCs w:val="20"/>
          <w:color w:val="auto"/>
        </w:rPr>
      </w:pPr>
      <w:r>
        <w:rPr>
          <w:rFonts w:ascii="Arial" w:cs="Arial" w:eastAsia="Arial" w:hAnsi="Arial"/>
          <w:sz w:val="18"/>
          <w:szCs w:val="18"/>
          <w:color w:val="auto"/>
        </w:rPr>
        <w:t xml:space="preserve">10. Liabilities, Convertible Preferred Stock and Stockholders’ (Deficit) Equity </w:t>
      </w:r>
      <w:r>
        <w:rPr>
          <w:rFonts w:ascii="Arial" w:cs="Arial" w:eastAsia="Arial" w:hAnsi="Arial"/>
          <w:sz w:val="18"/>
          <w:szCs w:val="18"/>
          <w:i w:val="1"/>
          <w:iCs w:val="1"/>
          <w:color w:val="auto"/>
        </w:rPr>
        <w:t>Registered Direct Offering</w:t>
      </w:r>
    </w:p>
    <w:p>
      <w:pPr>
        <w:spacing w:after="0" w:line="1"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In May 2022, the Company issued and sold 430,107 shares of common stock at an offering price of $40.00 per share and pre-funded warrants to purchase up to 694,892 shares of common stock at an offering price of $39.9975 per warrant (representing the price per share of common stock sold in the offering minus the $0.0025 exercise price per warrant) in a registered direct offering pursuant to a shelf registration statement on Form S-3. The net proceeds to the Company from this offering were approximately $42.9 million, after deducting placement agent fees and offering costs of $2.1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Pre-Funded Warrants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February 2019, April 2020 and May 2022, the Company issued pre-funded warrants to purchase the Company’s common stock in underwritten public offerings at the offering price of the common stock, less the $0.0025 per share exercise price of each warrant. The warrants were recorded as a component of stockholders’ (deficit) equity within additional paid-in capital and have no expiration date. Per the terms of the warrant agreements, the outstanding warrants to purchase shares of common stock may not be exercised if the holder’s ownership of the Company’s common stock would exceed 4.99% (“Maximum Ownership Percentage”), or 9.99% for certain holders. By written notice to the Company, each holder may increase or decrease the Maximum Ownership Percentage to any other percentage (not in excess of 19.99% for the majority of such warrants). The revised Maximum Ownership Percentage would be effective 61 days after the notice is received by the Company.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2023, the following pre-funded warrants for common stock were issued and outstanding:</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Arial" w:cs="Arial" w:eastAsia="Arial" w:hAnsi="Arial"/>
                <w:sz w:val="14"/>
                <w:szCs w:val="14"/>
                <w:color w:val="auto"/>
                <w:w w:val="89"/>
              </w:rPr>
              <w:t>Issue Date</w:t>
            </w:r>
          </w:p>
        </w:tc>
        <w:tc>
          <w:tcPr>
            <w:tcW w:w="280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3"/>
          </w:tcPr>
          <w:p>
            <w:pPr>
              <w:jc w:val="right"/>
              <w:ind w:right="80"/>
              <w:spacing w:after="0"/>
              <w:rPr>
                <w:sz w:val="20"/>
                <w:szCs w:val="20"/>
                <w:color w:val="auto"/>
              </w:rPr>
            </w:pPr>
            <w:r>
              <w:rPr>
                <w:rFonts w:ascii="Arial" w:cs="Arial" w:eastAsia="Arial" w:hAnsi="Arial"/>
                <w:sz w:val="14"/>
                <w:szCs w:val="14"/>
                <w:color w:val="auto"/>
              </w:rPr>
              <w:t>Number of Warrants</w:t>
            </w:r>
          </w:p>
        </w:tc>
        <w:tc>
          <w:tcPr>
            <w:tcW w:w="0" w:type="dxa"/>
            <w:vAlign w:val="bottom"/>
          </w:tcPr>
          <w:p>
            <w:pPr>
              <w:spacing w:after="0"/>
              <w:rPr>
                <w:sz w:val="1"/>
                <w:szCs w:val="1"/>
                <w:color w:val="auto"/>
              </w:rPr>
            </w:pPr>
          </w:p>
        </w:tc>
      </w:tr>
      <w:tr>
        <w:trPr>
          <w:trHeight w:val="174"/>
        </w:trPr>
        <w:tc>
          <w:tcPr>
            <w:tcW w:w="62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21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Expiration Date</w:t>
            </w:r>
          </w:p>
        </w:tc>
        <w:tc>
          <w:tcPr>
            <w:tcW w:w="1660" w:type="dxa"/>
            <w:vAlign w:val="bottom"/>
            <w:gridSpan w:val="3"/>
          </w:tcPr>
          <w:p>
            <w:pPr>
              <w:ind w:left="820"/>
              <w:spacing w:after="0" w:line="154" w:lineRule="exact"/>
              <w:rPr>
                <w:sz w:val="20"/>
                <w:szCs w:val="20"/>
                <w:color w:val="auto"/>
              </w:rPr>
            </w:pPr>
            <w:r>
              <w:rPr>
                <w:rFonts w:ascii="Arial" w:cs="Arial" w:eastAsia="Arial" w:hAnsi="Arial"/>
                <w:sz w:val="14"/>
                <w:szCs w:val="14"/>
                <w:color w:val="auto"/>
                <w:w w:val="91"/>
              </w:rPr>
              <w:t>Exercise Price</w:t>
            </w:r>
          </w:p>
        </w:tc>
        <w:tc>
          <w:tcPr>
            <w:tcW w:w="820" w:type="dxa"/>
            <w:vAlign w:val="bottom"/>
          </w:tcPr>
          <w:p>
            <w:pPr>
              <w:spacing w:after="0"/>
              <w:rPr>
                <w:sz w:val="15"/>
                <w:szCs w:val="15"/>
                <w:color w:val="auto"/>
              </w:rPr>
            </w:pPr>
          </w:p>
        </w:tc>
        <w:tc>
          <w:tcPr>
            <w:tcW w:w="1240" w:type="dxa"/>
            <w:vAlign w:val="bottom"/>
            <w:gridSpan w:val="2"/>
          </w:tcPr>
          <w:p>
            <w:pPr>
              <w:ind w:left="220"/>
              <w:spacing w:after="0" w:line="154" w:lineRule="exact"/>
              <w:rPr>
                <w:sz w:val="20"/>
                <w:szCs w:val="20"/>
                <w:color w:val="auto"/>
              </w:rPr>
            </w:pPr>
            <w:r>
              <w:rPr>
                <w:rFonts w:ascii="Arial" w:cs="Arial" w:eastAsia="Arial" w:hAnsi="Arial"/>
                <w:sz w:val="14"/>
                <w:szCs w:val="14"/>
                <w:color w:val="auto"/>
              </w:rPr>
              <w:t>Outstanding</w:t>
            </w: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8, 2019</w:t>
            </w:r>
          </w:p>
        </w:tc>
        <w:tc>
          <w:tcPr>
            <w:tcW w:w="1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None</w:t>
            </w: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0.0025</w:t>
            </w:r>
          </w:p>
        </w:tc>
        <w:tc>
          <w:tcPr>
            <w:tcW w:w="8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April 30, 2020</w:t>
            </w:r>
          </w:p>
        </w:tc>
        <w:tc>
          <w:tcPr>
            <w:tcW w:w="1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None</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0.0025</w:t>
            </w:r>
          </w:p>
        </w:tc>
        <w:tc>
          <w:tcPr>
            <w:tcW w:w="8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 2022</w:t>
            </w: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0.0025</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ind w:left="360"/>
              <w:spacing w:after="0"/>
              <w:rPr>
                <w:sz w:val="20"/>
                <w:szCs w:val="20"/>
                <w:color w:val="auto"/>
              </w:rPr>
            </w:pPr>
            <w:r>
              <w:rPr>
                <w:rFonts w:ascii="Arial" w:cs="Arial" w:eastAsia="Arial" w:hAnsi="Arial"/>
                <w:sz w:val="18"/>
                <w:szCs w:val="18"/>
                <w:color w:val="auto"/>
              </w:rPr>
              <w:t>Total pre-funded warrants</w:t>
            </w: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2016 Equity Incentive Plan</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2016 Equity Incentive Plan (“2016 Plan”) provides for an automatic increase in the number of shares reserved for issuance thereunder on January 1 of each year for the remaining term of the plan (through 2028) equal to (a) 4.0% of the number of issued and outstanding shares of common stock on December 31 of the immediately preceding year, or (b) a lesser amount as approved by the Board each year. As a result of this provision, on January 1, 2023 and January 1, 2022, an additional 104,560 and 78,968 shares, respectively, became available for issuance under the 2016 Plan.</w:t>
      </w:r>
    </w:p>
    <w:p>
      <w:pPr>
        <w:spacing w:after="0" w:line="49"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In July 2020, the Company granted 9,128 restricted stock units (“RSUs”) to certain employees, with vesting terms subject to regulatory, commercial, and clinical milestones, in addition to a service condition. As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60"/>
          </w:cols>
          <w:pgMar w:left="320" w:top="459" w:right="51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September 30, 2023, none of these RSUs had vested and all RSUs were forfeited since the performance milestones were not met within the required time frame. No stock-based compensation expense was recognized on these awards.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June 22, 2023, concurrent with the closing of the Asset Acquisition, the Board approved an amendment of the 2016 Plan to eliminate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per-participant annual award limits originally intended to comply with the qualified performance-based compensation exception set forth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162(m) of the Internal Revenue Code, in light of the repeal of such exception pursuant to the Tax Cuts and Jobs Act of 2017. In addition,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approved 2,720,033 options contingent on stockholder approval to certain members of the Board, legacy Aeglea employees and consultants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2016 Plan. These awards are in excess of the shares available for issuance under the 2016 Plan and require stockholder approval before being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 Accordingly, no expense has been recognized on these contingent awards since they are contingent on stockholder approval.</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2023, the 2016 Plan had 293,497 shares available for future issuance.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Equity Inducement Plan</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During the nine months ended September 30, 2023, the Board approved an increase of 2,800,000 in the number of shares reserved for issuance to the 2018 Equity Inducement Plan and granted 3,583,880 inducement awards to new hires. The grant-date fair value of these inducement awards will be recognized as expense on a pro-rata basis over the vesting period.</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awards have an exercise price equal to the grant date closing price of the Company’s common stock, vest ratably over four years, and have a ten-year exercise period from the grant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Spyre 2023 Equity Incentive Plan</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On June 22, 2023, in connection with the Asset Acquisition, the Company assumed the Amended and Restated Spyre 2023 Equity Incentive Plan (the “Spyre Equity Plan”) and its outstanding and unexercised stock options, which were converted to options to purchase 2,734 shares of Aeglea common stock. The acquisition-date fair value of these grants will be recognized as an expense on a pro-rata basis over the vesting period.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Parapyre Option Obligation</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On June 22, 2023, in connection with the Asset Acquisition, the Company assumed the Parapyre Option Obligation which provided for an annual equity grant of options to purchase 1% of the then outstanding shares of Spyre’s common stock, on a fully diluted basis, on the last business day of each calendar year during the term of the Paragon Agreement, at the fair market value determined by the board of directors of Spyre. As a result of the Asset Acquisition the Parapyre Option Obligation shall continue and Parapyre shall be entitled to receive the equivalent shares of the Company with the same terms. As of September 30, 2023, the pro-rated estimated fair value of the options to be granted on December 31, 2023, was approximately $3.0 million, of which $0.1 million was recognized as part of the liabilities assumed with the Asset Acquisition. For the three and nine months ended September 30, 2023, $2.7 million and $2.9 million, respectively, was recognized as stock compensation expense related to the Parapyre Option Obligation. As of September 30, 2023, the unamortized expense related to the Parapyre Option Obligation was $2.1 million.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stock awards granted under all plans for each of the periods indicated: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3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color w:val="auto"/>
              </w:rPr>
              <w:t>Three Months Ended September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262"/>
              <w:spacing w:after="0"/>
              <w:rPr>
                <w:sz w:val="20"/>
                <w:szCs w:val="20"/>
                <w:color w:val="auto"/>
              </w:rPr>
            </w:pPr>
            <w:r>
              <w:rPr>
                <w:rFonts w:ascii="Arial" w:cs="Arial" w:eastAsia="Arial" w:hAnsi="Arial"/>
                <w:sz w:val="14"/>
                <w:szCs w:val="14"/>
                <w:color w:val="auto"/>
                <w:w w:val="91"/>
              </w:rPr>
              <w:t>Nine Months Ended September 30,</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4"/>
              <w:spacing w:after="0" w:line="142" w:lineRule="exact"/>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2022</w:t>
            </w: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22"/>
              <w:spacing w:after="0" w:line="142" w:lineRule="exact"/>
              <w:rPr>
                <w:sz w:val="20"/>
                <w:szCs w:val="20"/>
                <w:color w:val="auto"/>
              </w:rPr>
            </w:pPr>
            <w:r>
              <w:rPr>
                <w:rFonts w:ascii="Arial" w:cs="Arial" w:eastAsia="Arial" w:hAnsi="Arial"/>
                <w:sz w:val="14"/>
                <w:szCs w:val="14"/>
                <w:color w:val="auto"/>
              </w:rPr>
              <w:t>2023</w:t>
            </w:r>
          </w:p>
        </w:tc>
        <w:tc>
          <w:tcPr>
            <w:tcW w:w="2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2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Weighted Average</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Weighted Average</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Weighted Average</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Weighted Average</w:t>
            </w:r>
          </w:p>
        </w:tc>
        <w:tc>
          <w:tcPr>
            <w:tcW w:w="40" w:type="dxa"/>
            <w:vAlign w:val="bottom"/>
          </w:tcPr>
          <w:p>
            <w:pPr>
              <w:spacing w:after="0"/>
              <w:rPr>
                <w:sz w:val="10"/>
                <w:szCs w:val="10"/>
                <w:color w:val="auto"/>
              </w:rPr>
            </w:pPr>
          </w:p>
        </w:tc>
      </w:tr>
      <w:tr>
        <w:trPr>
          <w:trHeight w:val="148"/>
        </w:trPr>
        <w:tc>
          <w:tcPr>
            <w:tcW w:w="2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Grant Date Fair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Grant Date Fair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Grant Date Fair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38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color w:val="auto"/>
              </w:rPr>
              <w:t>Grants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Value</w:t>
            </w: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Grants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color w:val="auto"/>
                <w:w w:val="89"/>
              </w:rPr>
              <w:t>Value</w:t>
            </w:r>
          </w:p>
        </w:tc>
        <w:tc>
          <w:tcPr>
            <w:tcW w:w="840" w:type="dxa"/>
            <w:vAlign w:val="bottom"/>
            <w:gridSpan w:val="2"/>
          </w:tcPr>
          <w:p>
            <w:pPr>
              <w:ind w:left="200"/>
              <w:spacing w:after="0"/>
              <w:rPr>
                <w:sz w:val="20"/>
                <w:szCs w:val="20"/>
                <w:color w:val="auto"/>
              </w:rPr>
            </w:pPr>
            <w:r>
              <w:rPr>
                <w:rFonts w:ascii="Arial" w:cs="Arial" w:eastAsia="Arial" w:hAnsi="Arial"/>
                <w:sz w:val="14"/>
                <w:szCs w:val="14"/>
                <w:color w:val="auto"/>
              </w:rPr>
              <w:t>Grants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Value</w:t>
            </w:r>
          </w:p>
        </w:tc>
        <w:tc>
          <w:tcPr>
            <w:tcW w:w="740" w:type="dxa"/>
            <w:vAlign w:val="bottom"/>
            <w:gridSpan w:val="2"/>
          </w:tcPr>
          <w:p>
            <w:pPr>
              <w:ind w:left="140"/>
              <w:spacing w:after="0"/>
              <w:rPr>
                <w:sz w:val="20"/>
                <w:szCs w:val="20"/>
                <w:color w:val="auto"/>
              </w:rPr>
            </w:pPr>
            <w:r>
              <w:rPr>
                <w:rFonts w:ascii="Arial" w:cs="Arial" w:eastAsia="Arial" w:hAnsi="Arial"/>
                <w:sz w:val="14"/>
                <w:szCs w:val="14"/>
                <w:color w:val="auto"/>
              </w:rPr>
              <w:t>Grants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Value</w:t>
            </w: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1,044,667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50,806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3,867,366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153,686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2016 Employee Stock Purchase Plan</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Under the Company’s 2016 Employee Stock Purchase Plan (“2016 ESPP”), the Company issued and sold 2,496 shares for aggregate cash proceeds of less than $0.1 million during the nine months ended September 30, 2023. There were 6,073 shares issued and sold under the 2016 ESPP for aggregate cash proceeds of $0.2 million during the nine months ended September 30,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stock-based compensation expense related to all plans was as follows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gridSpan w:val="6"/>
          </w:tcPr>
          <w:p>
            <w:pPr>
              <w:jc w:val="center"/>
              <w:ind w:right="24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14"/>
                <w:szCs w:val="14"/>
                <w:color w:val="auto"/>
              </w:rPr>
            </w:pPr>
          </w:p>
        </w:tc>
        <w:tc>
          <w:tcPr>
            <w:tcW w:w="1480" w:type="dxa"/>
            <w:vAlign w:val="bottom"/>
            <w:gridSpan w:val="5"/>
          </w:tcPr>
          <w:p>
            <w:pPr>
              <w:jc w:val="right"/>
              <w:ind w:right="180"/>
              <w:spacing w:after="0"/>
              <w:rPr>
                <w:sz w:val="20"/>
                <w:szCs w:val="20"/>
                <w:color w:val="auto"/>
              </w:rPr>
            </w:pPr>
            <w:r>
              <w:rPr>
                <w:rFonts w:ascii="Arial" w:cs="Arial" w:eastAsia="Arial" w:hAnsi="Arial"/>
                <w:sz w:val="14"/>
                <w:szCs w:val="14"/>
                <w:color w:val="auto"/>
              </w:rPr>
              <w:t>Nine Months Ended</w:t>
            </w:r>
          </w:p>
        </w:tc>
      </w:tr>
      <w:tr>
        <w:trPr>
          <w:trHeight w:val="167"/>
        </w:trPr>
        <w:tc>
          <w:tcPr>
            <w:tcW w:w="5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gridSpan w:val="6"/>
          </w:tcPr>
          <w:p>
            <w:pPr>
              <w:jc w:val="center"/>
              <w:ind w:right="24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4"/>
                <w:szCs w:val="14"/>
                <w:color w:val="auto"/>
              </w:rPr>
            </w:pPr>
          </w:p>
        </w:tc>
        <w:tc>
          <w:tcPr>
            <w:tcW w:w="1480" w:type="dxa"/>
            <w:vAlign w:val="bottom"/>
            <w:gridSpan w:val="5"/>
          </w:tcPr>
          <w:p>
            <w:pPr>
              <w:jc w:val="right"/>
              <w:ind w:right="340"/>
              <w:spacing w:after="0"/>
              <w:rPr>
                <w:sz w:val="20"/>
                <w:szCs w:val="20"/>
                <w:color w:val="auto"/>
              </w:rPr>
            </w:pPr>
            <w:r>
              <w:rPr>
                <w:rFonts w:ascii="Arial" w:cs="Arial" w:eastAsia="Arial" w:hAnsi="Arial"/>
                <w:sz w:val="14"/>
                <w:szCs w:val="14"/>
                <w:color w:val="auto"/>
              </w:rPr>
              <w:t>September 30,</w:t>
            </w:r>
          </w:p>
        </w:tc>
      </w:tr>
      <w:tr>
        <w:trPr>
          <w:trHeight w:val="142"/>
        </w:trPr>
        <w:tc>
          <w:tcPr>
            <w:tcW w:w="5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color w:val="auto"/>
              </w:rPr>
              <w:t>2023</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w w:val="96"/>
              </w:rPr>
              <w:t>2022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color w:val="auto"/>
              </w:rPr>
              <w:t>2023</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2022</w:t>
            </w:r>
          </w:p>
        </w:tc>
        <w:tc>
          <w:tcPr>
            <w:tcW w:w="40" w:type="dxa"/>
            <w:vAlign w:val="bottom"/>
          </w:tcPr>
          <w:p>
            <w:pPr>
              <w:spacing w:after="0"/>
              <w:rPr>
                <w:sz w:val="12"/>
                <w:szCs w:val="12"/>
                <w:color w:val="auto"/>
              </w:rPr>
            </w:pPr>
          </w:p>
        </w:tc>
      </w:tr>
      <w:tr>
        <w:trPr>
          <w:trHeight w:val="210"/>
        </w:trPr>
        <w:tc>
          <w:tcPr>
            <w:tcW w:w="50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4"/>
                <w:szCs w:val="24"/>
                <w:color w:val="auto"/>
                <w:vertAlign w:val="superscript"/>
              </w:rPr>
              <w:t>(1)</w:t>
            </w:r>
          </w:p>
        </w:tc>
        <w:tc>
          <w:tcPr>
            <w:tcW w:w="1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$4,136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4,269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3,653</w:t>
            </w:r>
          </w:p>
        </w:tc>
      </w:tr>
      <w:tr>
        <w:trPr>
          <w:trHeight w:val="27"/>
        </w:trPr>
        <w:tc>
          <w:tcPr>
            <w:tcW w:w="5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1,565</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8,405</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5,684</w:t>
            </w:r>
          </w:p>
        </w:tc>
      </w:tr>
      <w:tr>
        <w:trPr>
          <w:trHeight w:val="20"/>
        </w:trPr>
        <w:tc>
          <w:tcPr>
            <w:tcW w:w="5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20" w:hanging="424"/>
        <w:spacing w:after="0" w:line="232"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For the three and nine months ended September 30, 2023, $2.7 million and $2.9 million, respectively, was recognized as stock compensation expense related to the Parapyre Option Obligation. There were no such expenses for the three and nine months ended September 30, 2022.</w:t>
      </w:r>
    </w:p>
    <w:p>
      <w:pPr>
        <w:spacing w:after="0" w:line="203"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The following table summarizes the weighted-average Black-Scholes option pricing model assumptions used to estimate the fair value of stock options granted under the Company’s 2016 Plan, and the shares purchasable under the 2016 ESPP during the periods presented:</w:t>
      </w:r>
    </w:p>
    <w:p>
      <w:pPr>
        <w:spacing w:after="0" w:line="15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200" w:type="dxa"/>
            <w:vAlign w:val="bottom"/>
            <w:gridSpan w:val="4"/>
          </w:tcPr>
          <w:p>
            <w:pPr>
              <w:ind w:left="180"/>
              <w:spacing w:after="0"/>
              <w:rPr>
                <w:sz w:val="20"/>
                <w:szCs w:val="20"/>
                <w:color w:val="auto"/>
              </w:rPr>
            </w:pPr>
            <w:r>
              <w:rPr>
                <w:rFonts w:ascii="Arial" w:cs="Arial" w:eastAsia="Arial" w:hAnsi="Arial"/>
                <w:sz w:val="14"/>
                <w:szCs w:val="14"/>
                <w:color w:val="auto"/>
              </w:rPr>
              <w:t>Three Months Ended</w:t>
            </w:r>
          </w:p>
        </w:tc>
        <w:tc>
          <w:tcPr>
            <w:tcW w:w="1720" w:type="dxa"/>
            <w:vAlign w:val="bottom"/>
            <w:gridSpan w:val="4"/>
          </w:tcPr>
          <w:p>
            <w:pPr>
              <w:jc w:val="right"/>
              <w:ind w:right="380"/>
              <w:spacing w:after="0"/>
              <w:rPr>
                <w:sz w:val="20"/>
                <w:szCs w:val="20"/>
                <w:color w:val="auto"/>
              </w:rPr>
            </w:pPr>
            <w:r>
              <w:rPr>
                <w:rFonts w:ascii="Arial" w:cs="Arial" w:eastAsia="Arial" w:hAnsi="Arial"/>
                <w:sz w:val="14"/>
                <w:szCs w:val="14"/>
                <w:color w:val="auto"/>
              </w:rPr>
              <w:t>Nine Months Ended</w:t>
            </w:r>
          </w:p>
        </w:tc>
      </w:tr>
      <w:tr>
        <w:trPr>
          <w:trHeight w:val="167"/>
        </w:trPr>
        <w:tc>
          <w:tcPr>
            <w:tcW w:w="6200" w:type="dxa"/>
            <w:vAlign w:val="bottom"/>
          </w:tcPr>
          <w:p>
            <w:pPr>
              <w:spacing w:after="0"/>
              <w:rPr>
                <w:sz w:val="14"/>
                <w:szCs w:val="14"/>
                <w:color w:val="auto"/>
              </w:rPr>
            </w:pPr>
          </w:p>
        </w:tc>
        <w:tc>
          <w:tcPr>
            <w:tcW w:w="2200" w:type="dxa"/>
            <w:vAlign w:val="bottom"/>
            <w:gridSpan w:val="4"/>
          </w:tcPr>
          <w:p>
            <w:pPr>
              <w:ind w:left="380"/>
              <w:spacing w:after="0"/>
              <w:rPr>
                <w:sz w:val="20"/>
                <w:szCs w:val="20"/>
                <w:color w:val="auto"/>
              </w:rPr>
            </w:pPr>
            <w:r>
              <w:rPr>
                <w:rFonts w:ascii="Arial" w:cs="Arial" w:eastAsia="Arial" w:hAnsi="Arial"/>
                <w:sz w:val="14"/>
                <w:szCs w:val="14"/>
                <w:color w:val="auto"/>
              </w:rPr>
              <w:t>September 30,</w:t>
            </w:r>
          </w:p>
        </w:tc>
        <w:tc>
          <w:tcPr>
            <w:tcW w:w="1720" w:type="dxa"/>
            <w:vAlign w:val="bottom"/>
            <w:gridSpan w:val="4"/>
          </w:tcPr>
          <w:p>
            <w:pPr>
              <w:jc w:val="right"/>
              <w:ind w:right="540"/>
              <w:spacing w:after="0"/>
              <w:rPr>
                <w:sz w:val="20"/>
                <w:szCs w:val="20"/>
                <w:color w:val="auto"/>
              </w:rPr>
            </w:pPr>
            <w:r>
              <w:rPr>
                <w:rFonts w:ascii="Arial" w:cs="Arial" w:eastAsia="Arial" w:hAnsi="Arial"/>
                <w:sz w:val="14"/>
                <w:szCs w:val="14"/>
                <w:color w:val="auto"/>
              </w:rPr>
              <w:t>September 30,</w:t>
            </w:r>
          </w:p>
        </w:tc>
      </w:tr>
      <w:tr>
        <w:trPr>
          <w:trHeight w:val="142"/>
        </w:trPr>
        <w:tc>
          <w:tcPr>
            <w:tcW w:w="62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2023</w:t>
            </w:r>
          </w:p>
        </w:tc>
        <w:tc>
          <w:tcPr>
            <w:tcW w:w="6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2022</w:t>
            </w:r>
          </w:p>
        </w:tc>
        <w:tc>
          <w:tcPr>
            <w:tcW w:w="6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2023</w:t>
            </w:r>
          </w:p>
        </w:tc>
        <w:tc>
          <w:tcPr>
            <w:tcW w:w="6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2022</w:t>
            </w:r>
          </w:p>
        </w:tc>
        <w:tc>
          <w:tcPr>
            <w:tcW w:w="20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2016 Plan</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Expected term (in years)</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6.08</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6.02</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6.04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volatility</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Risk-free interest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4.28%</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3.16%</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2016 ESPP</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term (in years)</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0.50</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0.50</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0.49</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222%</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95%</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181%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5.29</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3.26</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Dividend yield</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 Strategic License Agreements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On March 21, 2021, the Company entered into an exclusive license and supply agreement with Immedica (the “Immedica Agreement”). By entering into this agreement, the Company agreed to provide Immedica the following goods and services:</w:t>
      </w:r>
    </w:p>
    <w:p>
      <w:pPr>
        <w:spacing w:after="0" w:line="76" w:lineRule="exact"/>
        <w:rPr>
          <w:sz w:val="20"/>
          <w:szCs w:val="20"/>
          <w:color w:val="auto"/>
        </w:rPr>
      </w:pPr>
    </w:p>
    <w:p>
      <w:pPr>
        <w:ind w:left="1080" w:hanging="532"/>
        <w:spacing w:after="0" w:line="31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Deliver an exclusive, sublicensable, license and know-how (the “License”) to develop and commercialize pegzilarginase (the “Product”) in the territory comprising the members states of the European Economic Area (“EEA”), United Kingdom (“UK”), Switzerland, Andorra, Monaco, San Marino, Vatican City, Turkey, Saudi Arabia, United Arab Emirates, Qatar, Kuwait, Bahrain, and Oman (the “Territory”);</w:t>
      </w:r>
    </w:p>
    <w:p>
      <w:pPr>
        <w:spacing w:after="0" w:line="54" w:lineRule="exact"/>
        <w:rPr>
          <w:rFonts w:ascii="Arial" w:cs="Arial" w:eastAsia="Arial" w:hAnsi="Arial"/>
          <w:sz w:val="16"/>
          <w:szCs w:val="16"/>
          <w:color w:val="auto"/>
        </w:rPr>
      </w:pPr>
    </w:p>
    <w:p>
      <w:pPr>
        <w:jc w:val="both"/>
        <w:ind w:left="1080" w:right="180" w:hanging="532"/>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Complete the global pivotal PEACE (Pegzilarginase Effect on Arginase 1 Deficiency Clinical Endpoints) Phase 3 trial (“PEACE Trial”) and related Biologics License Application (“BLA”) package to file with the FDA, which will be leveraged by Immedica in obtaining the necessary regulatory approvals in the Territory;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 a Pediatric Investigation Plan trial (“PIP Trial”) in order for Immedica to be able to receive certain regulatory approvals within the Territory.</w:t>
      </w:r>
    </w:p>
    <w:p>
      <w:pPr>
        <w:spacing w:after="0" w:line="6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addition, the Company and Immedica formed a Joint Steering Committee (“JSC”) to provide oversight to the activities performed under the agreement; however, the substance of the Company’s participation in the JSC did not represent an additional promised service, but rather, a right of the Company to protect its own interests in the arrangement.</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Further, the Company agreed to supply to Immedica, and Immedica agreed to purchase from the Company, substantially all commercial requirements of the Product. The terms of the agreement did not provide for either (i) an option to Immedica to purchase the Product from the Company at a discount from the standalone selling price or (ii) minimum purchase quantities. Immedica was expected to bear (i) all costs and expenses for any development or commercialization of the Product in the Territory subject to the License exclusive of the Company’s promised goods and services summarized above and (ii) all costs and fees associated with applying for regulatory approval of the Product in the Territory.</w:t>
      </w:r>
    </w:p>
    <w:p>
      <w:pPr>
        <w:spacing w:after="0" w:line="1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Company received a non-refundable payment of $21.5 million and Immedica agreed to provide payment of 50% of the Company’s costs incurred in performing the PIP Trial up to a maximum of $1.8 million. In addition, the Company had the ability to receive regulatory and commercial milestone payments. The Company was also entitled to receive royalties in the mid-20% range on net sales of the Product in the Territory. In July 2021, the Company modified the agreement with Immedica to provide certain additional services in relation to the PEACE Trial and BLA package performance obligation in exchange for the reimbursement of up to $3.0 million of the actual costs incurred in relation to such incremental services.</w:t>
      </w:r>
    </w:p>
    <w:p>
      <w:pPr>
        <w:spacing w:after="0" w:line="16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Company concluded that Immedica met the definition to be accounted for as a customer because the Company was delivering intellectual property and other services within the Company’s normal course of business, in which the parties are not jointly sharing the risks and rewards. Therefore, the Company concluded that the promises summarized above represent transactions with a customer within the scope of ASC 606. The Company determined that the following promises represent distinct promised services, and therefore, performance obligations: (i) the License, (ii) the PEACE Trial and BLA package, and (iii) the PIP Trial.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Specifically, in making these determinations, the Company considered the following factors:</w:t>
      </w:r>
    </w:p>
    <w:p>
      <w:pPr>
        <w:spacing w:after="0" w:line="131" w:lineRule="exact"/>
        <w:rPr>
          <w:sz w:val="20"/>
          <w:szCs w:val="20"/>
          <w:color w:val="auto"/>
        </w:rPr>
      </w:pPr>
    </w:p>
    <w:p>
      <w:pPr>
        <w:ind w:left="1080" w:right="260" w:hanging="424"/>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inception of the agreement, the Company had completed the Phase 1/2 clinical trial related to the Product and was conducting the PEACE Trial. Accordingly, the Company was not promising, nor expecting, to perform additional research and development activities pursuant to the agreement that would either significantly modify, customize or be considered highly interdependent or interrelated with pegzilarginase.</w:t>
      </w:r>
    </w:p>
    <w:p>
      <w:pPr>
        <w:spacing w:after="0" w:line="92"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License represented functional intellectual property given the functionality of the License was not expected to change substantially as a result of the company’s ongoing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services necessary to complete the PEACE Trial, BLA package and PIP Trial could have been performed by other parties.</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Given that Immedica was not obligated to purchase any minimum amount or quantities of Product, the supply of Product for commercial use to Immedica was determined to be an option for Immedica, rather than a performance obligation of the Company at contract inception and will be accounted for if and when exercised. The Company also determined that Immedica’s option to purchase the Product did not create a material right as the expected pricing is not at a discount.</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 determined that the upfront fixed payment amount of $21.5 million should be included in the transaction price. Additionally, the Company determined at inception of the arrangement that 50%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probable estimated costs to be incurred in relation to the PIP Trial exceeded $1.8 million and included the full reimbursement amount of $1.8 million in the transaction price. Upon subsequent re-evaluation due to changing facts and circumstances, the Company determined the probable estimated costs were less than the maximum allowable reimbursement and a portion of the variable consideration was constrained, which did not materially impact the revenue recognized as of September 30, 2023. Additionally, upon the modification of the agreement in July 2021, the Company determined that the probable estimated costs to perform the additional services related to the PEACE Trial and BLA package exceeded the maximum allowable reimbursement of $3.0 million. Therefore, the Company included an estimated total of $3.6 million that was due in relation to the PIP Trial, PEACE Trial, and BLA package in the transaction price and concluded that it is probable that a significant reversal will not occur in the future. In total, the modified transaction price was determined to be $25.1 million.</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Company allocated $9.6 million and $3.5 million of the modified transaction price to the PEACE Trial and BLA package and PIP Trial performance obligations, respectively, based on the stand-alone selling prices (“SSP”), which were based on the estimated costs that a third-party would charge in performing such services on a stand-alone basis. The SSP for the License was established at inception of the arrangement using a residual value approach due to the uniqueness of and lack of observable data related to the License, and without a specific analog from which to make reliable estimates, resulting in an allocation of $12.0 million.</w:t>
      </w:r>
    </w:p>
    <w:p>
      <w:pPr>
        <w:spacing w:after="0" w:line="18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potential regulatory milestone payments that the Company was eligible to receive were excluded from the transaction price, as the milestone amounts were fully constrained based on the probability of achievement, since the milestones related to successful achievement of certain regulatory approvals, which might not have been achieved. The Company determined that the royalties and commercial milestone payments related predominantly to the license of intellectual property and therefore should be excluded from the transaction price under the sales- or usage-based royalty exception under ASC 606. The Company intends to reevaluate the transaction price, including all constrained amounts, at the end of each reporting period and as uncertain events are resolved or other changes in circumstances occur, the Company intends to adjust its estimate of the transaction price as necessary. The Company recognized the royalties and commercial milestone payments as revenue when the associated sales occurred, and relevant sales-based thresholds were met. The Company also assessed the arrangement with Immedica and concluded that a significant financing component does not exist.</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recognized revenue allocated to the License performance obligation at a point in time and upon transfer of the License. The Company completed the transfer of the know-how necessary for Immedica to benefit from the License in September 2021 and recognized $12.0 million of revenue at that time. The development fee allocated to the PEACE Trial, BLA package and PIP Trial performance obligations is recognized over time using an input method of costs incurred related to the performance obligations.</w:t>
      </w:r>
    </w:p>
    <w:p>
      <w:pPr>
        <w:spacing w:after="0" w:line="18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Company recognized revenue of $0.9 million under the Immedica Agreement for the nine months ended September 30, 2023. There was no such revenue for the three months ended September 30, 2023. The total revenue generated in the nine months ended September 30, 2023 was attributable to the PEACE Phase 3 and PIP trials, drug supply, and royalties from an early access program in France. For the three and nine months ended September 30, 2022, the Company recognized revenue of $0.2 million and $2.2 million, respectively, related to the PEACE Trial and BLA package performance obligation. As of December 31, 2022, the Company recorded deferred revenue of $3.6 million associated with the Immedica Agreement, of which $2.4 million was classified as current. There was no such revenue associated with the Immedica Agreement as of September 30, 2023.</w:t>
      </w:r>
    </w:p>
    <w:p>
      <w:pPr>
        <w:spacing w:after="0" w:line="195"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On July 27, 2023, the Company announced that it had entered into an agreement to sell the global rights to pegzilarginase to Immedica and concurrently terminated the Immedica Agreement. Remaining deferred revenue was recognized as part of the gain on disposal of the assets.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 from Customer Contract</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on the Company’s balance sheets. The Company recognizes license and development receivables based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on billed services, which are derecognized upon reimbursement.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goods or services is transferred to the customer and all revenue recognition criteria have been met.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changes in the Company’s contract liabilities for the periods presented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4"/>
                <w:szCs w:val="14"/>
                <w:color w:val="auto"/>
                <w:w w:val="92"/>
              </w:rPr>
              <w:t>Nine Months Ended September 30, 2023</w:t>
            </w:r>
          </w:p>
        </w:tc>
        <w:tc>
          <w:tcPr>
            <w:tcW w:w="2740" w:type="dxa"/>
            <w:vAlign w:val="bottom"/>
          </w:tcPr>
          <w:p>
            <w:pPr>
              <w:spacing w:after="0"/>
              <w:rPr>
                <w:sz w:val="14"/>
                <w:szCs w:val="14"/>
                <w:color w:val="auto"/>
              </w:rPr>
            </w:pPr>
          </w:p>
        </w:tc>
        <w:tc>
          <w:tcPr>
            <w:tcW w:w="1480" w:type="dxa"/>
            <w:vAlign w:val="bottom"/>
            <w:gridSpan w:val="3"/>
          </w:tcPr>
          <w:p>
            <w:pPr>
              <w:jc w:val="right"/>
              <w:ind w:right="680"/>
              <w:spacing w:after="0"/>
              <w:rPr>
                <w:sz w:val="20"/>
                <w:szCs w:val="20"/>
                <w:color w:val="auto"/>
              </w:rPr>
            </w:pPr>
            <w:r>
              <w:rPr>
                <w:rFonts w:ascii="Arial" w:cs="Arial" w:eastAsia="Arial" w:hAnsi="Arial"/>
                <w:sz w:val="14"/>
                <w:szCs w:val="14"/>
                <w:color w:val="auto"/>
                <w:w w:val="88"/>
              </w:rPr>
              <w:t>December 31,</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3"/>
              </w:rPr>
              <w:t>September 30,</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auto"/>
            </w:tcBorders>
            <w:vMerge w:val="continue"/>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9"/>
              <w:spacing w:after="0" w:line="154" w:lineRule="exact"/>
              <w:rPr>
                <w:sz w:val="20"/>
                <w:szCs w:val="20"/>
                <w:color w:val="auto"/>
              </w:rPr>
            </w:pPr>
            <w:r>
              <w:rPr>
                <w:rFonts w:ascii="Arial" w:cs="Arial" w:eastAsia="Arial" w:hAnsi="Arial"/>
                <w:sz w:val="14"/>
                <w:szCs w:val="14"/>
                <w:color w:val="auto"/>
              </w:rPr>
              <w:t>2022</w:t>
            </w:r>
          </w:p>
        </w:tc>
        <w:tc>
          <w:tcPr>
            <w:tcW w:w="680" w:type="dxa"/>
            <w:vAlign w:val="bottom"/>
          </w:tcPr>
          <w:p>
            <w:pPr>
              <w:spacing w:after="0"/>
              <w:rPr>
                <w:sz w:val="15"/>
                <w:szCs w:val="15"/>
                <w:color w:val="auto"/>
              </w:rPr>
            </w:pPr>
          </w:p>
        </w:tc>
        <w:tc>
          <w:tcPr>
            <w:tcW w:w="920" w:type="dxa"/>
            <w:vAlign w:val="bottom"/>
            <w:gridSpan w:val="2"/>
          </w:tcPr>
          <w:p>
            <w:pPr>
              <w:spacing w:after="0" w:line="154" w:lineRule="exact"/>
              <w:rPr>
                <w:sz w:val="20"/>
                <w:szCs w:val="20"/>
                <w:color w:val="auto"/>
              </w:rPr>
            </w:pPr>
            <w:r>
              <w:rPr>
                <w:rFonts w:ascii="Arial" w:cs="Arial" w:eastAsia="Arial" w:hAnsi="Arial"/>
                <w:sz w:val="14"/>
                <w:szCs w:val="14"/>
                <w:color w:val="auto"/>
              </w:rPr>
              <w:t>Additions</w:t>
            </w:r>
          </w:p>
        </w:tc>
        <w:tc>
          <w:tcPr>
            <w:tcW w:w="340" w:type="dxa"/>
            <w:vAlign w:val="bottom"/>
          </w:tcPr>
          <w:p>
            <w:pPr>
              <w:spacing w:after="0"/>
              <w:rPr>
                <w:sz w:val="15"/>
                <w:szCs w:val="15"/>
                <w:color w:val="auto"/>
              </w:rPr>
            </w:pPr>
          </w:p>
        </w:tc>
        <w:tc>
          <w:tcPr>
            <w:tcW w:w="1060" w:type="dxa"/>
            <w:vAlign w:val="bottom"/>
            <w:gridSpan w:val="2"/>
          </w:tcPr>
          <w:p>
            <w:pPr>
              <w:spacing w:after="0" w:line="154" w:lineRule="exact"/>
              <w:rPr>
                <w:sz w:val="20"/>
                <w:szCs w:val="20"/>
                <w:color w:val="auto"/>
              </w:rPr>
            </w:pPr>
            <w:r>
              <w:rPr>
                <w:rFonts w:ascii="Arial" w:cs="Arial" w:eastAsia="Arial" w:hAnsi="Arial"/>
                <w:sz w:val="14"/>
                <w:szCs w:val="14"/>
                <w:color w:val="auto"/>
              </w:rPr>
              <w:t>Deductions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4" w:lineRule="exact"/>
              <w:rPr>
                <w:sz w:val="20"/>
                <w:szCs w:val="20"/>
                <w:color w:val="auto"/>
              </w:rPr>
            </w:pPr>
            <w:r>
              <w:rPr>
                <w:rFonts w:ascii="Arial" w:cs="Arial" w:eastAsia="Arial" w:hAnsi="Arial"/>
                <w:sz w:val="14"/>
                <w:szCs w:val="14"/>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Contract liabilities:</w:t>
            </w:r>
          </w:p>
        </w:tc>
        <w:tc>
          <w:tcPr>
            <w:tcW w:w="2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9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2,696</w:t>
            </w:r>
          </w:p>
        </w:tc>
        <w:tc>
          <w:tcPr>
            <w:tcW w:w="920" w:type="dxa"/>
            <w:vAlign w:val="bottom"/>
            <w:gridSpan w:val="2"/>
          </w:tcPr>
          <w:p>
            <w:pPr>
              <w:spacing w:after="0"/>
              <w:rPr>
                <w:sz w:val="20"/>
                <w:szCs w:val="20"/>
                <w:color w:val="auto"/>
              </w:rPr>
            </w:pPr>
            <w:r>
              <w:rPr>
                <w:rFonts w:ascii="Arial" w:cs="Arial" w:eastAsia="Arial" w:hAnsi="Arial"/>
                <w:sz w:val="18"/>
                <w:szCs w:val="18"/>
                <w:color w:val="auto"/>
              </w:rPr>
              <w:t>$   575</w:t>
            </w:r>
          </w:p>
        </w:tc>
        <w:tc>
          <w:tcPr>
            <w:tcW w:w="1400" w:type="dxa"/>
            <w:vAlign w:val="bottom"/>
            <w:gridSpan w:val="3"/>
          </w:tcPr>
          <w:p>
            <w:pPr>
              <w:ind w:left="340"/>
              <w:spacing w:after="0"/>
              <w:rPr>
                <w:sz w:val="20"/>
                <w:szCs w:val="20"/>
                <w:color w:val="auto"/>
              </w:rPr>
            </w:pPr>
            <w:r>
              <w:rPr>
                <w:rFonts w:ascii="Arial" w:cs="Arial" w:eastAsia="Arial" w:hAnsi="Arial"/>
                <w:sz w:val="18"/>
                <w:szCs w:val="18"/>
                <w:color w:val="auto"/>
              </w:rPr>
              <w:t>$ (3,271)</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no contract assets during the nine months ended September 30, 2023 and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 Sale of Pegzilarginase to Immedica</w:t>
      </w:r>
    </w:p>
    <w:p>
      <w:pPr>
        <w:spacing w:after="0" w:line="117" w:lineRule="exact"/>
        <w:rPr>
          <w:sz w:val="20"/>
          <w:szCs w:val="20"/>
          <w:color w:val="auto"/>
        </w:rPr>
      </w:pPr>
    </w:p>
    <w:p>
      <w:pPr>
        <w:ind w:left="120" w:right="380" w:firstLine="440"/>
        <w:spacing w:after="0" w:line="273" w:lineRule="auto"/>
        <w:rPr>
          <w:sz w:val="20"/>
          <w:szCs w:val="20"/>
          <w:color w:val="auto"/>
        </w:rPr>
      </w:pPr>
      <w:r>
        <w:rPr>
          <w:rFonts w:ascii="Arial" w:cs="Arial" w:eastAsia="Arial" w:hAnsi="Arial"/>
          <w:sz w:val="17"/>
          <w:szCs w:val="17"/>
          <w:color w:val="auto"/>
        </w:rPr>
        <w:t>On July 27, 2023, the Company announced that it had entered into an agreement to sell the global rights to pegzilarginase, an investigational treatment for the rare metabolic disease Arginase 1 Deficiency, to Immedica for $15.0 million in upfront cash proceeds and up to $100.0 million in contingent milestone payments. The sale of pegzilarginase to Immedica superseded and terminated the previous license agreement between the Company and Immedica. On July 27, 2023, the carrying value of the asset was zero as it was internally developed. Accordingly the Company recognized a $14.6 million gain within operating expenses, which is the full $15.0 million in upfront cash proceeds, net of transaction costs and the derecognition of pegzilarginase related nonfinancial assets and liabilities.</w:t>
      </w:r>
    </w:p>
    <w:p>
      <w:pPr>
        <w:spacing w:after="0" w:line="178"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The milestone payments are contingent on formal reimbursement decisions by national authorities in key European markets and pegzilarginase approval by the FDA, among other events. The upfront payment and contingent milestone payments if paid, net of expenses and adjustments, will be distributed to holders of Aeglea’s CVR pursuant to the CVR Agreement resulting from the Asset Acquisition.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 Net Loss Per Share</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The Company computes net loss attributable per common stockholder using the two-class method required for participating securities. The Company considers convertible. preferred stock to be participating securities. In the event that the Company paid out distributions, holders of convertible preferred stock would participate in the distribution.</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two-class method is an earnings (loss) allocation method under which earnings (loss) per share is calculated for common stock and participating security considering a participating security’s rights to undistributed earnings (loss) as if all such earnings (loss) had been distributed during the period. The holders of Series A Preferred Stock do not have an obligation to fund losses and therefore the Series A Preferred Stock was excluded from the calculation of basic net loss per share. The Company included in the calculation of basic net loss per share, contingently issuable common shares related to the Asset Acquisition because they will be issued for no consideration due to the consideration already having been satisfied as of September 30, 2023.</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Basic and diluted net loss per share is computed by dividing the net loss by the weighted-average number of common stock and pre-funded warrants outstanding during the period, without consideration of potential dilutive securities. The pre-funded warrants are included in the computation of basic net loss per share as the exercise price is negligible and they are fully vested and exercisable. For periods in which the Company generated a net loss, the Company does not include the potential impact of dilutive securities in diluted net loss per share, as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impact of these items is anti-dilutive. The Company has generated a net loss for all periods presented, therefore diluted net loss per share is the same as basic net loss per share since the inclusion of potentially dilutive securities would be anti-dilutive.</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weighted-average equity instruments were excluded from the calculation of diluted net loss per share because their effect would have been anti-dilutive for the periods presented:</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2160" w:type="dxa"/>
            <w:vAlign w:val="bottom"/>
            <w:gridSpan w:val="5"/>
          </w:tcPr>
          <w:p>
            <w:pPr>
              <w:jc w:val="center"/>
              <w:ind w:right="8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568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color w:val="auto"/>
                <w:w w:val="91"/>
              </w:rPr>
              <w:t>September 30,</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color w:val="auto"/>
                <w:w w:val="89"/>
              </w:rPr>
              <w:t>September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color w:val="auto"/>
              </w:rPr>
              <w:t>2023</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2022</w:t>
            </w:r>
          </w:p>
        </w:tc>
        <w:tc>
          <w:tcPr>
            <w:tcW w:w="2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color w:val="auto"/>
              </w:rPr>
              <w:t>2023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rPr>
              <w:t>2022</w:t>
            </w:r>
          </w:p>
        </w:tc>
        <w:tc>
          <w:tcPr>
            <w:tcW w:w="6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3,135,672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351,533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1,426,224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335,395</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6,000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7,315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 (on an as-converted basis)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42,501,681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14,851,447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 Restructuring Charges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Severance and Stock Compensation</w:t>
      </w:r>
    </w:p>
    <w:p>
      <w:pPr>
        <w:spacing w:after="0" w:line="117"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On April 12, 2023, based on the review of the inconclusive interim results from the Company’s Phase 1/2 clinical trial of pegtarviliase for the treatment of classical homocystinuria and other business considerations, the Company announced that it had initiated a process to explore strategic alternatives to maximize stockholder value and engaged an independent exclusive financial advisor to support this process.</w:t>
      </w:r>
    </w:p>
    <w:p>
      <w:pPr>
        <w:spacing w:after="0" w:line="165"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As a result, the Company implemented a restructuring plan resulting in an approximate 83% reduction of the Company’s existing headcount by June 30, 2023. The Company recognized restructuring expenses consisting of cash severance payments and other employee-related costs of nil and $6.4 million during the three and nine months ended September 30, 2023, respectively. Cash payments for employee related restructuring charges of $4.5 million were paid as of September 30, 2023. In addition, the Company recognized $1.0 million in non-cash stock-based compensation expense related to the accelerated vesting of stock-based awards for certain employees. The Company recorded these restructuring charges based on each employee’s role to the respective research and development and general and administrative operating expense categories on its condensed consolidated statements of operations and comprehensive loss.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Company’s accrued restructuring balance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Beginning Balance</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Ending Balance</w:t>
            </w:r>
          </w:p>
        </w:tc>
      </w:tr>
      <w:tr>
        <w:trPr>
          <w:trHeight w:val="167"/>
        </w:trPr>
        <w:tc>
          <w:tcPr>
            <w:tcW w:w="456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color w:val="auto"/>
              </w:rPr>
              <w:t>December 31, 2022</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Charges</w:t>
            </w: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Payments</w:t>
            </w:r>
          </w:p>
        </w:tc>
        <w:tc>
          <w:tcPr>
            <w:tcW w:w="1200" w:type="dxa"/>
            <w:vAlign w:val="bottom"/>
            <w:gridSpan w:val="3"/>
          </w:tcPr>
          <w:p>
            <w:pPr>
              <w:spacing w:after="0"/>
              <w:rPr>
                <w:sz w:val="20"/>
                <w:szCs w:val="20"/>
                <w:color w:val="auto"/>
              </w:rPr>
            </w:pPr>
            <w:r>
              <w:rPr>
                <w:rFonts w:ascii="Arial" w:cs="Arial" w:eastAsia="Arial" w:hAnsi="Arial"/>
                <w:sz w:val="14"/>
                <w:szCs w:val="14"/>
                <w:color w:val="auto"/>
                <w:w w:val="92"/>
              </w:rPr>
              <w:t>September 30, 2023</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liability</w:t>
            </w:r>
          </w:p>
        </w:tc>
        <w:tc>
          <w:tcPr>
            <w:tcW w:w="11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$6,448</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$(4,527)</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of Assets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During the second quarter of 2023, the Company sold various lab equipment, consumables, and furniture and fixtures for total consideration of $0.5 million. After recording the disposal of all property and equipment net of proceeds, the Company recorded a $0.7 million and $0.2 million loss on disposal of long lived assets which is included in Research and development and General and administrative expenses, respectively.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 Right-of-use Asset and Leasehold Improvement Impairment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Effective June 30, 2023, the Company abandoned its leased office space in Austin, Texas. As a result, the Company recognized an impairment loss of $0.9 million related to the operating lease right-of-use asset and $1.7 million related to leasehold improvements. On August 7, 2023, the Company terminated its building lease in Austin, Texas. The negotiated termination agreement obligated the Company to pay the lessor a $2.0 million termination fee in exchange for releasing the Company of all further obligations under the lease.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All charges related to the restructuring activities were recognized during the second quarter of 2023. No further restructuring charges will be incurred under the restructuring plan. A summary of the charges related to the restructuring activities is as follows (in thousands):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120" w:type="dxa"/>
            <w:vAlign w:val="bottom"/>
            <w:gridSpan w:val="4"/>
          </w:tcPr>
          <w:p>
            <w:pPr>
              <w:ind w:left="400"/>
              <w:spacing w:after="0"/>
              <w:rPr>
                <w:sz w:val="20"/>
                <w:szCs w:val="20"/>
                <w:color w:val="auto"/>
              </w:rPr>
            </w:pPr>
            <w:r>
              <w:rPr>
                <w:rFonts w:ascii="Arial" w:cs="Arial" w:eastAsia="Arial" w:hAnsi="Arial"/>
                <w:sz w:val="14"/>
                <w:szCs w:val="14"/>
                <w:color w:val="auto"/>
              </w:rPr>
              <w:t>Severance Related</w:t>
            </w:r>
          </w:p>
        </w:tc>
        <w:tc>
          <w:tcPr>
            <w:tcW w:w="1520" w:type="dxa"/>
            <w:vAlign w:val="bottom"/>
            <w:gridSpan w:val="3"/>
          </w:tcPr>
          <w:p>
            <w:pPr>
              <w:jc w:val="right"/>
              <w:ind w:right="320"/>
              <w:spacing w:after="0"/>
              <w:rPr>
                <w:sz w:val="20"/>
                <w:szCs w:val="20"/>
                <w:color w:val="auto"/>
              </w:rPr>
            </w:pPr>
            <w:r>
              <w:rPr>
                <w:rFonts w:ascii="Arial" w:cs="Arial" w:eastAsia="Arial" w:hAnsi="Arial"/>
                <w:sz w:val="14"/>
                <w:szCs w:val="14"/>
                <w:color w:val="auto"/>
                <w:w w:val="91"/>
              </w:rPr>
              <w:t>Stock Compensation</w:t>
            </w:r>
          </w:p>
        </w:tc>
        <w:tc>
          <w:tcPr>
            <w:tcW w:w="320" w:type="dxa"/>
            <w:vAlign w:val="bottom"/>
          </w:tcPr>
          <w:p>
            <w:pPr>
              <w:spacing w:after="0"/>
              <w:rPr>
                <w:sz w:val="14"/>
                <w:szCs w:val="14"/>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4"/>
                <w:szCs w:val="14"/>
                <w:color w:val="auto"/>
                <w:w w:val="93"/>
              </w:rPr>
              <w:t>Loss on Disposal of</w:t>
            </w:r>
          </w:p>
        </w:tc>
        <w:tc>
          <w:tcPr>
            <w:tcW w:w="340" w:type="dxa"/>
            <w:vAlign w:val="bottom"/>
          </w:tcPr>
          <w:p>
            <w:pPr>
              <w:spacing w:after="0"/>
              <w:rPr>
                <w:sz w:val="14"/>
                <w:szCs w:val="1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color w:val="auto"/>
                <w:w w:val="88"/>
              </w:rPr>
              <w:t>Lease Asset</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Expenses</w:t>
            </w:r>
          </w:p>
        </w:tc>
        <w:tc>
          <w:tcPr>
            <w:tcW w:w="3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Long Lived Assets</w:t>
            </w:r>
          </w:p>
        </w:tc>
        <w:tc>
          <w:tcPr>
            <w:tcW w:w="34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color w:val="auto"/>
                <w:w w:val="94"/>
              </w:rPr>
              <w:t>Impairment</w:t>
            </w:r>
          </w:p>
        </w:tc>
        <w:tc>
          <w:tcPr>
            <w:tcW w:w="1520" w:type="dxa"/>
            <w:vAlign w:val="bottom"/>
            <w:gridSpan w:val="3"/>
          </w:tcPr>
          <w:p>
            <w:pPr>
              <w:spacing w:after="0"/>
              <w:rPr>
                <w:sz w:val="20"/>
                <w:szCs w:val="20"/>
                <w:color w:val="auto"/>
              </w:rPr>
            </w:pPr>
            <w:r>
              <w:rPr>
                <w:rFonts w:ascii="Arial" w:cs="Arial" w:eastAsia="Arial" w:hAnsi="Arial"/>
                <w:sz w:val="14"/>
                <w:szCs w:val="14"/>
                <w:color w:val="auto"/>
                <w:w w:val="94"/>
              </w:rPr>
              <w:t>Total Restructuring Costs</w:t>
            </w:r>
          </w:p>
        </w:tc>
      </w:tr>
      <w:tr>
        <w:trPr>
          <w:trHeight w:val="210"/>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4"/>
              </w:rPr>
              <w:t>3,182</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480"/>
              <w:spacing w:after="0"/>
              <w:rPr>
                <w:sz w:val="20"/>
                <w:szCs w:val="20"/>
                <w:color w:val="auto"/>
              </w:rPr>
            </w:pPr>
            <w:r>
              <w:rPr>
                <w:rFonts w:ascii="Arial" w:cs="Arial" w:eastAsia="Arial" w:hAnsi="Arial"/>
                <w:sz w:val="18"/>
                <w:szCs w:val="18"/>
                <w:color w:val="auto"/>
              </w:rPr>
              <w:t>3,266</w:t>
            </w:r>
          </w:p>
        </w:tc>
        <w:tc>
          <w:tcPr>
            <w:tcW w:w="2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1,175</w:t>
            </w:r>
          </w:p>
        </w:tc>
        <w:tc>
          <w:tcPr>
            <w:tcW w:w="5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5,493</w:t>
            </w:r>
          </w:p>
        </w:tc>
      </w:tr>
      <w:tr>
        <w:trPr>
          <w:trHeight w:val="27"/>
        </w:trPr>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6,448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993</w:t>
            </w:r>
          </w:p>
        </w:tc>
        <w:tc>
          <w:tcPr>
            <w:tcW w:w="8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931</w:t>
            </w: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2,580</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10,952</w:t>
            </w:r>
          </w:p>
        </w:tc>
      </w:tr>
      <w:tr>
        <w:trPr>
          <w:trHeight w:val="20"/>
        </w:trPr>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15. Novation of Manufacturing Agreements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Pursuant to a Novation Agreement dated September 19, 2023 (the “Novation Agreement”), by and between the Company, Paragon and WuXi Biologics (Hong Kong) Limited (“WuXi Biologics”), the Company novated (i) a Biologics Master Services Agreement (the “WuXi Biologics MSA”) and (ii) a Cell Line License Agreement (the “Cell Line License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Biologics Master Services Agreement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April 2023, Paragon and WuXi Biologics entered into the WuXi Biologics MSA, which was subsequently novated to the Company by Paragon on September 19, 2023 pursuant to the Novation Agreement. The WuXi Biologics MSA governs certain development activities and GMP manufacturing and testing for the SPY001 program, as well as potential future programs, on a work order basis. Under the WuXi Biologics MSA, the Company is obligated to pay WuXi Biologics a service fee and all non-cancellable obligations in the amount specified in each work order associated with the agreement for the provision of services.</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WuXi Biologics MSA terminates on the later of (i) June 20, 2027 or (ii) the completion of services under all work orders executed by the parties prior to June 20, 2027, unless terminated earlier. The term of each work order terminates upon completion of the services under such work order, unless terminated earlier. The Company can terminate the WuXi Biologics MSA or any work order at any time upon 30 days’ prior written notice and immediately upon written notice if WuXi Biologics fails to obtain or maintain required material governmental licenses or approvals. Either party may terminate a work order (i) at any time upon six months’ prior notice with reasonable cause, provided however that if WuXi Biologics terminates a work order in such manner, no termination or cancellation fees shall be paid by the Company and (ii) immediately for cause upon (a) the other party’s material breach that remains uncured for 30 days after notice of such breach, (b) the other party’s bankruptcy or (c) a force majeure event that prevents performance for a period of at least 90 days.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Cell Line License Agreement</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April 2023, Paragon and WuXi Biologics entered into the Cell Line License Agreement, which was subsequently novated to the Company by Paragon pursuant to the Novation Agreement. Under the Cell Line License Agreement, the Company received a non-exclusive, worldwide, sublicensable license to certain of WuXi Biologics’s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SPY001 program.</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In consideration for the license, the Company agreed to pay WuXi Biologics a non-refundable license fee of $0.2 million. Additionally, if the Company manufactures all of its commercial supplies of bulk drug product with a manufacturer other than WuXi Biologics or its affiliates, the Company is required to make royalty payments to WuXi Biologics of less than one percent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Cell Line License Agreement will continue indefinitely unless terminated (i) by the Company upon six months’ prior written notice and our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expenses payable by us in connection with the issuance and distribution of the securities being registered hereunder on Form S-1 (other than underwriting discounts and commissions, if any) are set forth below. The Selling Stockholders will not bear any portion of such expenses. Each item listed is estimated, except for the SEC registration fee:</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24,875</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Printing and engraving</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149,875</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Officers and Directors</w:t>
      </w:r>
    </w:p>
    <w:p>
      <w:pPr>
        <w:spacing w:after="0" w:line="121"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6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As permitted by the DGCL, the Registrant’s Certificate of Incorporation contains provisions that eliminate the personal liability of its directors for monetary damages for any breach of fiduciary duties as a director, except liability for the following:</w:t>
      </w:r>
    </w:p>
    <w:p>
      <w:pPr>
        <w:spacing w:after="0" w:line="76"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the DGCL, the Registrant’s Bylaws provide that:</w:t>
      </w:r>
    </w:p>
    <w:p>
      <w:pPr>
        <w:spacing w:after="0" w:line="131" w:lineRule="exact"/>
        <w:rPr>
          <w:sz w:val="20"/>
          <w:szCs w:val="20"/>
          <w:color w:val="auto"/>
        </w:rPr>
      </w:pPr>
    </w:p>
    <w:p>
      <w:pPr>
        <w:ind w:left="1080" w:right="3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w:t>
      </w:r>
    </w:p>
    <w:p>
      <w:pPr>
        <w:spacing w:after="0" w:line="225"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and executive officers to provide these directors and executive officers additional contractual assurances regarding the scope of the indemnification set forth in the Registrant’s Certificate of Incorporation and Bylaws and to provide additional procedural protections. At present, there is no pending litigation or</w:t>
      </w:r>
    </w:p>
    <w:p>
      <w:pPr>
        <w:ind w:left="120" w:right="140"/>
        <w:spacing w:after="0" w:line="260" w:lineRule="auto"/>
        <w:rPr>
          <w:sz w:val="20"/>
          <w:szCs w:val="20"/>
          <w:color w:val="auto"/>
        </w:rPr>
      </w:pPr>
      <w:r>
        <w:rPr>
          <w:rFonts w:ascii="Arial" w:cs="Arial" w:eastAsia="Arial" w:hAnsi="Arial"/>
          <w:sz w:val="18"/>
          <w:szCs w:val="18"/>
          <w:color w:val="auto"/>
        </w:rPr>
        <w:t>proceeding involving a director or executive officer of the Registrant regarding which indemnification is sought. The indemnification provisions in the Registrant’s Certificate of Incorporation, Bylaws and the indemnification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Registrant currently carries liability insurance for its directors and officers. Two of the Registrant’s directors, Peter Harwin and Tomas Kiselak, are also indemnified by their employer with regard to their service on the Registrant’s board of directors.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On June 22, 2023, we entered into the Securities Purchase Agreement, pursuant to which we sold an aggregate of 721,452 shares of our Series A Preferred Stock, which will automatically convert into 40 shares of Common Stock, subject to stockholder approval and certain beneficial ownership limitations set by each holder, pursuant to the Certificate of Designation, at an aggregate purchase price of approximately $210 million. The Private Placement Preferred Shares were offered and sold in transactions exempt from registration under the Securities Act, in reliance on Section 4(a)(2) thereof and Rule 506 of Regulation D thereunder.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w:t>
      </w:r>
    </w:p>
    <w:p>
      <w:pPr>
        <w:spacing w:after="0" w:line="165"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Also on June 22, 2023, we completed our acquisition of Spyre in accordance with the Acquisition Agreement, pursuant to which we issued an aggregate of 517,809 shares of Common Stock and 364,887 shares of Series A Preferred Stock to certain of the Selling Stockholders. Such issuances were exempt from registration pursuant to Section 4(a)(2) of the Securities Act and Regulation D promulgated thereunder.</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w w:val="92"/>
              </w:rPr>
              <w:t>Item 16.</w:t>
            </w:r>
          </w:p>
        </w:tc>
        <w:tc>
          <w:tcPr>
            <w:tcW w:w="10380" w:type="dxa"/>
            <w:vAlign w:val="bottom"/>
            <w:gridSpan w:val="13"/>
          </w:tcPr>
          <w:p>
            <w:pPr>
              <w:ind w:left="440"/>
              <w:spacing w:after="0"/>
              <w:rPr>
                <w:sz w:val="20"/>
                <w:szCs w:val="20"/>
                <w:color w:val="auto"/>
              </w:rPr>
            </w:pPr>
            <w:r>
              <w:rPr>
                <w:rFonts w:ascii="Arial" w:cs="Arial" w:eastAsia="Arial" w:hAnsi="Arial"/>
                <w:sz w:val="18"/>
                <w:szCs w:val="18"/>
                <w:b w:val="1"/>
                <w:bCs w:val="1"/>
                <w:color w:val="auto"/>
              </w:rPr>
              <w:t>Exhibits and Financial Statement Schedules</w:t>
            </w:r>
          </w:p>
        </w:tc>
        <w:tc>
          <w:tcPr>
            <w:tcW w:w="0" w:type="dxa"/>
            <w:vAlign w:val="bottom"/>
          </w:tcPr>
          <w:p>
            <w:pPr>
              <w:spacing w:after="0"/>
              <w:rPr>
                <w:sz w:val="1"/>
                <w:szCs w:val="1"/>
                <w:color w:val="auto"/>
              </w:rPr>
            </w:pPr>
          </w:p>
        </w:tc>
      </w:tr>
      <w:tr>
        <w:trPr>
          <w:trHeight w:val="338"/>
        </w:trPr>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(a)</w:t>
            </w:r>
          </w:p>
        </w:tc>
        <w:tc>
          <w:tcPr>
            <w:tcW w:w="10380" w:type="dxa"/>
            <w:vAlign w:val="bottom"/>
            <w:gridSpan w:val="13"/>
          </w:tcPr>
          <w:p>
            <w:pPr>
              <w:ind w:left="3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80" w:type="dxa"/>
            <w:vAlign w:val="bottom"/>
            <w:gridSpan w:val="8"/>
            <w:vMerge w:val="restart"/>
          </w:tcPr>
          <w:p>
            <w:pPr>
              <w:ind w:left="11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23"/>
                <w:szCs w:val="23"/>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0000EE"/>
                <w:w w:val="96"/>
              </w:rPr>
              <w:t>Agreement and Plan of Merger, dated June 22, 2023, by and among Aeglea BioTherapeutics, Inc. Aspen Merger Sub I, Inc.,</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Sequoia Merger Sub II, LLC and Spyre Therapeutics, Inc.</w:t>
            </w:r>
          </w:p>
        </w:tc>
        <w:tc>
          <w:tcPr>
            <w:tcW w:w="4740" w:type="dxa"/>
            <w:vAlign w:val="bottom"/>
            <w:tcBorders>
              <w:top w:val="single" w:sz="8" w:color="0000EE"/>
            </w:tcBorders>
            <w:gridSpan w:val="5"/>
          </w:tcPr>
          <w:p>
            <w:pPr>
              <w:spacing w:after="0"/>
              <w:rPr>
                <w:sz w:val="17"/>
                <w:szCs w:val="17"/>
                <w:color w:val="auto"/>
              </w:rPr>
            </w:pPr>
          </w:p>
        </w:tc>
        <w:tc>
          <w:tcPr>
            <w:tcW w:w="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26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Restated Certificate of Incorporation</w:t>
            </w:r>
          </w:p>
        </w:tc>
        <w:tc>
          <w:tcPr>
            <w:tcW w:w="6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24"/>
                <w:szCs w:val="24"/>
                <w:color w:val="auto"/>
              </w:rPr>
            </w:pPr>
          </w:p>
        </w:tc>
        <w:tc>
          <w:tcPr>
            <w:tcW w:w="71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Certificate of Amendment to the Restated Certificate of Incorporation, effective September 8, 2023</w:t>
            </w:r>
          </w:p>
        </w:tc>
        <w:tc>
          <w:tcPr>
            <w:tcW w:w="23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24"/>
                <w:szCs w:val="24"/>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0000EE"/>
              </w:rPr>
              <w:t>Amended and Restated Bylaws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3.4</w:t>
            </w:r>
          </w:p>
        </w:tc>
        <w:tc>
          <w:tcPr>
            <w:tcW w:w="860" w:type="dxa"/>
            <w:vAlign w:val="bottom"/>
          </w:tcPr>
          <w:p>
            <w:pPr>
              <w:spacing w:after="0"/>
              <w:rPr>
                <w:sz w:val="24"/>
                <w:szCs w:val="24"/>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0000EE"/>
              </w:rPr>
              <w:t>Certificate of Designations of Series A Non-Voting Convertible Preferred Stock</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24"/>
                <w:szCs w:val="24"/>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0000EE"/>
              </w:rPr>
              <w:t>Securities Purchase Agreement, dated June 22, 2023, by and among the Registrant and the purchasers named therein</w:t>
            </w:r>
          </w:p>
        </w:tc>
        <w:tc>
          <w:tcPr>
            <w:tcW w:w="0" w:type="dxa"/>
            <w:vAlign w:val="bottom"/>
          </w:tcPr>
          <w:p>
            <w:pPr>
              <w:spacing w:after="0"/>
              <w:rPr>
                <w:sz w:val="1"/>
                <w:szCs w:val="1"/>
                <w:color w:val="auto"/>
              </w:rPr>
            </w:pPr>
          </w:p>
        </w:tc>
      </w:tr>
      <w:tr>
        <w:trPr>
          <w:trHeight w:val="30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Form of Common Stock Certificate</w:t>
            </w:r>
          </w:p>
        </w:tc>
        <w:tc>
          <w:tcPr>
            <w:tcW w:w="5820" w:type="dxa"/>
            <w:vAlign w:val="bottom"/>
            <w:tcBorders>
              <w:top w:val="single" w:sz="8" w:color="0000EE"/>
            </w:tcBorders>
            <w:gridSpan w:val="6"/>
          </w:tcPr>
          <w:p>
            <w:pPr>
              <w:spacing w:after="0"/>
              <w:rPr>
                <w:sz w:val="24"/>
                <w:szCs w:val="24"/>
                <w:color w:val="auto"/>
              </w:rPr>
            </w:pPr>
          </w:p>
        </w:tc>
        <w:tc>
          <w:tcPr>
            <w:tcW w:w="1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24"/>
                <w:szCs w:val="24"/>
                <w:color w:val="auto"/>
              </w:rPr>
            </w:pPr>
          </w:p>
        </w:tc>
        <w:tc>
          <w:tcPr>
            <w:tcW w:w="92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Registration Rights Agreement, dated March 16, 2021, by and among the Registrant and Baker Brothers Life Sciences, L.P. and</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5"/>
              </w:rPr>
              <w:t>667, L.P.</w:t>
            </w:r>
          </w:p>
        </w:tc>
        <w:tc>
          <w:tcPr>
            <w:tcW w:w="88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jc w:val="right"/>
              <w:ind w:right="233"/>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7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Form of Registration Rights Agreement, by and among Aeglea BioTherapeutics, Inc. and certain purchasers</w:t>
            </w:r>
          </w:p>
        </w:tc>
        <w:tc>
          <w:tcPr>
            <w:tcW w:w="17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80" w:type="dxa"/>
            <w:vAlign w:val="bottom"/>
            <w:gridSpan w:val="8"/>
          </w:tcPr>
          <w:p>
            <w:pPr>
              <w:ind w:left="122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220" w:type="dxa"/>
            <w:vAlign w:val="bottom"/>
          </w:tcPr>
          <w:p>
            <w:pPr>
              <w:ind w:left="80"/>
              <w:spacing w:after="0"/>
              <w:rPr>
                <w:sz w:val="20"/>
                <w:szCs w:val="20"/>
                <w:color w:val="auto"/>
              </w:rPr>
            </w:pPr>
            <w:r>
              <w:rPr>
                <w:rFonts w:ascii="Arial" w:cs="Arial" w:eastAsia="Arial" w:hAnsi="Arial"/>
                <w:sz w:val="18"/>
                <w:szCs w:val="18"/>
                <w:color w:val="auto"/>
              </w:rPr>
              <w:t>4.5</w:t>
            </w:r>
          </w:p>
        </w:tc>
        <w:tc>
          <w:tcPr>
            <w:tcW w:w="9760" w:type="dxa"/>
            <w:vAlign w:val="bottom"/>
            <w:gridSpan w:val="31"/>
          </w:tcPr>
          <w:p>
            <w:pPr>
              <w:spacing w:after="0"/>
              <w:rPr>
                <w:sz w:val="20"/>
                <w:szCs w:val="20"/>
                <w:color w:val="auto"/>
              </w:rPr>
            </w:pPr>
            <w:r>
              <w:rPr>
                <w:rFonts w:ascii="Arial" w:cs="Arial" w:eastAsia="Arial" w:hAnsi="Arial"/>
                <w:sz w:val="18"/>
                <w:szCs w:val="18"/>
                <w:color w:val="0000EE"/>
              </w:rPr>
              <w:t>Form of Pre-Funded Warrants 2022</w:t>
            </w:r>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5.1</w:t>
            </w:r>
          </w:p>
        </w:tc>
        <w:tc>
          <w:tcPr>
            <w:tcW w:w="9760" w:type="dxa"/>
            <w:vAlign w:val="bottom"/>
            <w:gridSpan w:val="31"/>
          </w:tcPr>
          <w:p>
            <w:pPr>
              <w:spacing w:after="0"/>
              <w:rPr>
                <w:sz w:val="20"/>
                <w:szCs w:val="20"/>
                <w:color w:val="auto"/>
              </w:rPr>
            </w:pPr>
            <w:r>
              <w:rPr>
                <w:rFonts w:ascii="Arial" w:cs="Arial" w:eastAsia="Arial" w:hAnsi="Arial"/>
                <w:sz w:val="18"/>
                <w:szCs w:val="18"/>
                <w:color w:val="0000EE"/>
              </w:rPr>
              <w:t>Opinion of Gibson, Dunn &amp; Crutcher LLP</w:t>
            </w:r>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tcBorders>
              <w:bottom w:val="single" w:sz="8" w:color="0000EE"/>
            </w:tcBorders>
            <w:gridSpan w:val="31"/>
          </w:tcPr>
          <w:p>
            <w:pPr>
              <w:spacing w:after="0"/>
              <w:rPr>
                <w:rFonts w:ascii="Arial" w:cs="Arial" w:eastAsia="Arial" w:hAnsi="Arial"/>
                <w:sz w:val="18"/>
                <w:szCs w:val="18"/>
                <w:color w:val="0000EE"/>
                <w:w w:val="91"/>
              </w:rPr>
            </w:pPr>
            <w:hyperlink r:id="rId259">
              <w:r>
                <w:rPr>
                  <w:rFonts w:ascii="Arial" w:cs="Arial" w:eastAsia="Arial" w:hAnsi="Arial"/>
                  <w:sz w:val="18"/>
                  <w:szCs w:val="18"/>
                  <w:color w:val="0000EE"/>
                  <w:w w:val="91"/>
                </w:rPr>
                <w:t>Biologics Master Services Agreement, effective June 20, 2022, by and between Paragon Therapeutics, Inc. and WuXi Biologics (Hong</w:t>
              </w:r>
            </w:hyperlink>
          </w:p>
        </w:tc>
      </w:tr>
      <w:tr>
        <w:trPr>
          <w:trHeight w:val="196"/>
        </w:trPr>
        <w:tc>
          <w:tcPr>
            <w:tcW w:w="1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r:id="rId259">
              <w:r>
                <w:rPr>
                  <w:rFonts w:ascii="Arial" w:cs="Arial" w:eastAsia="Arial" w:hAnsi="Arial"/>
                  <w:sz w:val="18"/>
                  <w:szCs w:val="18"/>
                  <w:color w:val="0000EE"/>
                  <w:w w:val="95"/>
                </w:rPr>
                <w:t>Kong) Limited</w:t>
              </w:r>
            </w:hyperlink>
          </w:p>
        </w:tc>
        <w:tc>
          <w:tcPr>
            <w:tcW w:w="8680" w:type="dxa"/>
            <w:vAlign w:val="bottom"/>
            <w:gridSpan w:val="29"/>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9660" w:type="dxa"/>
            <w:vAlign w:val="bottom"/>
            <w:tcBorders>
              <w:bottom w:val="single" w:sz="8" w:color="0000EE"/>
            </w:tcBorders>
            <w:gridSpan w:val="28"/>
          </w:tcPr>
          <w:p>
            <w:pPr>
              <w:spacing w:after="0"/>
              <w:rPr>
                <w:rFonts w:ascii="Arial" w:cs="Arial" w:eastAsia="Arial" w:hAnsi="Arial"/>
                <w:sz w:val="18"/>
                <w:szCs w:val="18"/>
                <w:color w:val="0000EE"/>
                <w:w w:val="91"/>
              </w:rPr>
            </w:pPr>
            <w:hyperlink r:id="rId260">
              <w:r>
                <w:rPr>
                  <w:rFonts w:ascii="Arial" w:cs="Arial" w:eastAsia="Arial" w:hAnsi="Arial"/>
                  <w:sz w:val="18"/>
                  <w:szCs w:val="18"/>
                  <w:color w:val="0000EE"/>
                  <w:w w:val="91"/>
                </w:rPr>
                <w:t>Cell Line License Agreement, effective June 20, 2022, by and between Paragon Therapeutics, Inc. and WuXi Biologics (Hong Kong)</w:t>
              </w:r>
            </w:hyperlink>
          </w:p>
        </w:tc>
        <w:tc>
          <w:tcPr>
            <w:tcW w:w="10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6"/>
              </w:rPr>
            </w:pPr>
            <w:hyperlink r:id="rId260">
              <w:r>
                <w:rPr>
                  <w:rFonts w:ascii="Arial" w:cs="Arial" w:eastAsia="Arial" w:hAnsi="Arial"/>
                  <w:sz w:val="18"/>
                  <w:szCs w:val="18"/>
                  <w:color w:val="0000EE"/>
                  <w:w w:val="96"/>
                </w:rPr>
                <w:t>Limited</w:t>
              </w:r>
            </w:hyperlink>
          </w:p>
        </w:tc>
        <w:tc>
          <w:tcPr>
            <w:tcW w:w="9180" w:type="dxa"/>
            <w:vAlign w:val="bottom"/>
            <w:gridSpan w:val="30"/>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9760" w:type="dxa"/>
            <w:vAlign w:val="bottom"/>
            <w:gridSpan w:val="31"/>
          </w:tcPr>
          <w:p>
            <w:pPr>
              <w:spacing w:after="0"/>
              <w:rPr>
                <w:rFonts w:ascii="Arial" w:cs="Arial" w:eastAsia="Arial" w:hAnsi="Arial"/>
                <w:sz w:val="18"/>
                <w:szCs w:val="18"/>
                <w:color w:val="0000EE"/>
                <w:w w:val="91"/>
              </w:rPr>
            </w:pPr>
            <w:hyperlink r:id="rId261">
              <w:r>
                <w:rPr>
                  <w:rFonts w:ascii="Arial" w:cs="Arial" w:eastAsia="Arial" w:hAnsi="Arial"/>
                  <w:sz w:val="18"/>
                  <w:szCs w:val="18"/>
                  <w:color w:val="0000EE"/>
                  <w:w w:val="91"/>
                </w:rPr>
                <w:t>Novation Agreement, dated September 19, 2023, by and between Paragon Therapeutics, Inc., Aeglea BioTherapeutics, Inc. and WuXi</w:t>
              </w:r>
            </w:hyperlink>
          </w:p>
        </w:tc>
      </w:tr>
      <w:tr>
        <w:trPr>
          <w:trHeight w:val="196"/>
        </w:trPr>
        <w:tc>
          <w:tcPr>
            <w:tcW w:w="12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r:id="rId261">
              <w:r>
                <w:rPr>
                  <w:rFonts w:ascii="Arial" w:cs="Arial" w:eastAsia="Arial" w:hAnsi="Arial"/>
                  <w:sz w:val="18"/>
                  <w:szCs w:val="18"/>
                  <w:color w:val="0000EE"/>
                  <w:w w:val="94"/>
                </w:rPr>
                <w:t>Biologics (Hong Kong) Limited</w:t>
              </w:r>
            </w:hyperlink>
          </w:p>
        </w:tc>
        <w:tc>
          <w:tcPr>
            <w:tcW w:w="7380" w:type="dxa"/>
            <w:vAlign w:val="bottom"/>
            <w:tcBorders>
              <w:top w:val="single" w:sz="8" w:color="0000EE"/>
            </w:tcBorders>
            <w:gridSpan w:val="2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760" w:type="dxa"/>
            <w:vAlign w:val="bottom"/>
            <w:gridSpan w:val="31"/>
          </w:tcPr>
          <w:p>
            <w:pPr>
              <w:spacing w:after="0"/>
              <w:rPr>
                <w:sz w:val="20"/>
                <w:szCs w:val="20"/>
                <w:color w:val="auto"/>
              </w:rPr>
            </w:pPr>
            <w:r>
              <w:rPr>
                <w:rFonts w:ascii="Arial" w:cs="Arial" w:eastAsia="Arial" w:hAnsi="Arial"/>
                <w:sz w:val="18"/>
                <w:szCs w:val="18"/>
                <w:color w:val="0000EE"/>
              </w:rPr>
              <w:t>Offer Letter, dated June 22, 2023, by and between Aeglea BioTherapeutics, Inc. and Cameron Turtle</w:t>
            </w:r>
          </w:p>
        </w:tc>
      </w:tr>
      <w:tr>
        <w:trPr>
          <w:trHeight w:val="20"/>
        </w:trPr>
        <w:tc>
          <w:tcPr>
            <w:tcW w:w="12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10.5*#</w:t>
            </w:r>
          </w:p>
        </w:tc>
        <w:tc>
          <w:tcPr>
            <w:tcW w:w="9720" w:type="dxa"/>
            <w:vAlign w:val="bottom"/>
            <w:tcBorders>
              <w:bottom w:val="single" w:sz="8" w:color="0000EE"/>
            </w:tcBorders>
            <w:gridSpan w:val="30"/>
          </w:tcPr>
          <w:p>
            <w:pPr>
              <w:spacing w:after="0"/>
              <w:rPr>
                <w:rFonts w:ascii="Arial" w:cs="Arial" w:eastAsia="Arial" w:hAnsi="Arial"/>
                <w:sz w:val="18"/>
                <w:szCs w:val="18"/>
                <w:color w:val="0000EE"/>
                <w:w w:val="89"/>
              </w:rPr>
            </w:pPr>
            <w:hyperlink r:id="rId262">
              <w:r>
                <w:rPr>
                  <w:rFonts w:ascii="Arial" w:cs="Arial" w:eastAsia="Arial" w:hAnsi="Arial"/>
                  <w:sz w:val="18"/>
                  <w:szCs w:val="18"/>
                  <w:color w:val="0000EE"/>
                  <w:w w:val="89"/>
                </w:rPr>
                <w:t>Amended and Restated Antibody Discovery and Option agreement, dated September 29, 2023, by and between Paragon Therapeutics,</w:t>
              </w:r>
            </w:hyperlink>
          </w:p>
        </w:tc>
        <w:tc>
          <w:tcPr>
            <w:tcW w:w="4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60" w:type="dxa"/>
            <w:vAlign w:val="bottom"/>
            <w:gridSpan w:val="31"/>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Inc., Parapyre Holding LLC and Spyre Therapeutics, LLC</w:t>
              </w:r>
            </w:hyperlink>
          </w:p>
        </w:tc>
      </w:tr>
      <w:tr>
        <w:trPr>
          <w:trHeight w:val="20"/>
        </w:trPr>
        <w:tc>
          <w:tcPr>
            <w:tcW w:w="12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10.6</w:t>
            </w:r>
          </w:p>
        </w:tc>
        <w:tc>
          <w:tcPr>
            <w:tcW w:w="9760" w:type="dxa"/>
            <w:vAlign w:val="bottom"/>
            <w:gridSpan w:val="31"/>
          </w:tcPr>
          <w:p>
            <w:pPr>
              <w:spacing w:after="0"/>
              <w:rPr>
                <w:sz w:val="20"/>
                <w:szCs w:val="20"/>
                <w:color w:val="auto"/>
              </w:rPr>
            </w:pPr>
            <w:r>
              <w:rPr>
                <w:rFonts w:ascii="Arial" w:cs="Arial" w:eastAsia="Arial" w:hAnsi="Arial"/>
                <w:sz w:val="18"/>
                <w:szCs w:val="18"/>
                <w:color w:val="0000EE"/>
              </w:rPr>
              <w:t>Form of Amended and Restated Indemnification Agreement</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10.7†</w:t>
            </w:r>
          </w:p>
        </w:tc>
        <w:tc>
          <w:tcPr>
            <w:tcW w:w="43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w w:val="91"/>
              </w:rPr>
              <w:t>2015 Equity Incentive Plan and forms of award agreements</w:t>
            </w:r>
          </w:p>
        </w:tc>
        <w:tc>
          <w:tcPr>
            <w:tcW w:w="5420" w:type="dxa"/>
            <w:vAlign w:val="bottom"/>
            <w:gridSpan w:val="18"/>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10.8†</w:t>
            </w:r>
          </w:p>
        </w:tc>
        <w:tc>
          <w:tcPr>
            <w:tcW w:w="52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2016 Equity Incentive Plan and forms of award agreements, as amended</w:t>
            </w:r>
          </w:p>
        </w:tc>
        <w:tc>
          <w:tcPr>
            <w:tcW w:w="4540" w:type="dxa"/>
            <w:vAlign w:val="bottom"/>
            <w:gridSpan w:val="16"/>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10.9†</w:t>
            </w:r>
          </w:p>
        </w:tc>
        <w:tc>
          <w:tcPr>
            <w:tcW w:w="9760" w:type="dxa"/>
            <w:vAlign w:val="bottom"/>
            <w:gridSpan w:val="31"/>
          </w:tcPr>
          <w:p>
            <w:pPr>
              <w:spacing w:after="0"/>
              <w:rPr>
                <w:sz w:val="20"/>
                <w:szCs w:val="20"/>
                <w:color w:val="auto"/>
              </w:rPr>
            </w:pPr>
            <w:r>
              <w:rPr>
                <w:rFonts w:ascii="Arial" w:cs="Arial" w:eastAsia="Arial" w:hAnsi="Arial"/>
                <w:sz w:val="18"/>
                <w:szCs w:val="18"/>
                <w:color w:val="0000EE"/>
              </w:rPr>
              <w:t>First Amendment to the Aeglea BioTherapeutics, Inc. 2016 Equity Incentive Plan</w:t>
            </w:r>
          </w:p>
        </w:tc>
      </w:tr>
      <w:tr>
        <w:trPr>
          <w:trHeight w:val="20"/>
        </w:trPr>
        <w:tc>
          <w:tcPr>
            <w:tcW w:w="12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10.10†</w:t>
            </w:r>
          </w:p>
        </w:tc>
        <w:tc>
          <w:tcPr>
            <w:tcW w:w="9760" w:type="dxa"/>
            <w:vAlign w:val="bottom"/>
            <w:gridSpan w:val="31"/>
          </w:tcPr>
          <w:p>
            <w:pPr>
              <w:spacing w:after="0"/>
              <w:rPr>
                <w:sz w:val="20"/>
                <w:szCs w:val="20"/>
                <w:color w:val="auto"/>
              </w:rPr>
            </w:pPr>
            <w:r>
              <w:rPr>
                <w:rFonts w:ascii="Arial" w:cs="Arial" w:eastAsia="Arial" w:hAnsi="Arial"/>
                <w:sz w:val="18"/>
                <w:szCs w:val="18"/>
                <w:color w:val="0000EE"/>
              </w:rPr>
              <w:t>2016 Employee Stock Purchase Plan and forms of award agreements, as amended</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10.11†</w:t>
            </w:r>
          </w:p>
        </w:tc>
        <w:tc>
          <w:tcPr>
            <w:tcW w:w="590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2018 Equity Inducement Plan</w:t>
            </w:r>
          </w:p>
        </w:tc>
        <w:tc>
          <w:tcPr>
            <w:tcW w:w="3860" w:type="dxa"/>
            <w:vAlign w:val="bottom"/>
            <w:gridSpan w:val="13"/>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10.12†</w:t>
            </w:r>
          </w:p>
        </w:tc>
        <w:tc>
          <w:tcPr>
            <w:tcW w:w="9760" w:type="dxa"/>
            <w:vAlign w:val="bottom"/>
            <w:gridSpan w:val="31"/>
          </w:tcPr>
          <w:p>
            <w:pPr>
              <w:spacing w:after="0"/>
              <w:rPr>
                <w:sz w:val="20"/>
                <w:szCs w:val="20"/>
                <w:color w:val="auto"/>
              </w:rPr>
            </w:pPr>
            <w:r>
              <w:rPr>
                <w:rFonts w:ascii="Arial" w:cs="Arial" w:eastAsia="Arial" w:hAnsi="Arial"/>
                <w:sz w:val="18"/>
                <w:szCs w:val="18"/>
                <w:color w:val="0000EE"/>
              </w:rPr>
              <w:t>First Amendment to the Aeglea BioTherapeutics, Inc. 2018 Equity Inducement Plan</w:t>
            </w:r>
          </w:p>
        </w:tc>
      </w:tr>
      <w:tr>
        <w:trPr>
          <w:trHeight w:val="20"/>
        </w:trPr>
        <w:tc>
          <w:tcPr>
            <w:tcW w:w="12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10.13*†</w:t>
            </w:r>
          </w:p>
        </w:tc>
        <w:tc>
          <w:tcPr>
            <w:tcW w:w="9760" w:type="dxa"/>
            <w:vAlign w:val="bottom"/>
            <w:gridSpan w:val="31"/>
          </w:tcPr>
          <w:p>
            <w:pPr>
              <w:spacing w:after="0"/>
              <w:rPr>
                <w:rFonts w:ascii="Arial" w:cs="Arial" w:eastAsia="Arial" w:hAnsi="Arial"/>
                <w:sz w:val="18"/>
                <w:szCs w:val="18"/>
                <w:color w:val="0000EE"/>
              </w:rPr>
            </w:pPr>
            <w:hyperlink r:id="rId263">
              <w:r>
                <w:rPr>
                  <w:rFonts w:ascii="Arial" w:cs="Arial" w:eastAsia="Arial" w:hAnsi="Arial"/>
                  <w:sz w:val="18"/>
                  <w:szCs w:val="18"/>
                  <w:color w:val="0000EE"/>
                </w:rPr>
                <w:t>Second Amendment to the Aeglea BioTherapeutics, Inc. 2018 Equity Inducement Plan</w:t>
              </w:r>
            </w:hyperlink>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10.14†</w:t>
            </w:r>
          </w:p>
        </w:tc>
        <w:tc>
          <w:tcPr>
            <w:tcW w:w="6140" w:type="dxa"/>
            <w:vAlign w:val="bottom"/>
            <w:tcBorders>
              <w:top w:val="single" w:sz="8" w:color="0000EE"/>
              <w:bottom w:val="single" w:sz="8" w:color="0000EE"/>
            </w:tcBorders>
            <w:gridSpan w:val="20"/>
          </w:tcPr>
          <w:p>
            <w:pPr>
              <w:spacing w:after="0"/>
              <w:rPr>
                <w:sz w:val="20"/>
                <w:szCs w:val="20"/>
                <w:color w:val="auto"/>
              </w:rPr>
            </w:pPr>
            <w:r>
              <w:rPr>
                <w:rFonts w:ascii="Arial" w:cs="Arial" w:eastAsia="Arial" w:hAnsi="Arial"/>
                <w:sz w:val="18"/>
                <w:szCs w:val="18"/>
                <w:color w:val="0000EE"/>
                <w:w w:val="91"/>
              </w:rPr>
              <w:t>Third Amendment to the Aeglea BioTherapeutics, Inc. 2018 Equity Inducement Plan</w:t>
            </w:r>
          </w:p>
        </w:tc>
        <w:tc>
          <w:tcPr>
            <w:tcW w:w="120" w:type="dxa"/>
            <w:vAlign w:val="bottom"/>
            <w:tcBorders>
              <w:top w:val="single" w:sz="8" w:color="0000EE"/>
            </w:tcBorders>
            <w:gridSpan w:val="2"/>
          </w:tcPr>
          <w:p>
            <w:pPr>
              <w:spacing w:after="0"/>
              <w:rPr>
                <w:sz w:val="24"/>
                <w:szCs w:val="24"/>
                <w:color w:val="auto"/>
              </w:rPr>
            </w:pPr>
          </w:p>
        </w:tc>
        <w:tc>
          <w:tcPr>
            <w:tcW w:w="3500" w:type="dxa"/>
            <w:vAlign w:val="bottom"/>
            <w:gridSpan w:val="9"/>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10.15†</w:t>
            </w:r>
          </w:p>
        </w:tc>
        <w:tc>
          <w:tcPr>
            <w:tcW w:w="75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1"/>
              </w:rPr>
              <w:t>Form of Stock Option Agreement under the Aeglea BioTherapeutics, Inc. 2018 Equity Inducement Plan</w:t>
            </w:r>
          </w:p>
        </w:tc>
        <w:tc>
          <w:tcPr>
            <w:tcW w:w="2260" w:type="dxa"/>
            <w:vAlign w:val="bottom"/>
            <w:gridSpan w:val="7"/>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10.16†</w:t>
            </w:r>
          </w:p>
        </w:tc>
        <w:tc>
          <w:tcPr>
            <w:tcW w:w="9760" w:type="dxa"/>
            <w:vAlign w:val="bottom"/>
            <w:gridSpan w:val="31"/>
          </w:tcPr>
          <w:p>
            <w:pPr>
              <w:spacing w:after="0"/>
              <w:rPr>
                <w:sz w:val="20"/>
                <w:szCs w:val="20"/>
                <w:color w:val="auto"/>
              </w:rPr>
            </w:pPr>
            <w:r>
              <w:rPr>
                <w:rFonts w:ascii="Arial" w:cs="Arial" w:eastAsia="Arial" w:hAnsi="Arial"/>
                <w:sz w:val="18"/>
                <w:szCs w:val="18"/>
                <w:color w:val="0000EE"/>
              </w:rPr>
              <w:t>Amended and Restated Spyre 2023 Equity Incentive Plan</w:t>
            </w: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10.17†</w:t>
            </w:r>
          </w:p>
        </w:tc>
        <w:tc>
          <w:tcPr>
            <w:tcW w:w="42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Form of Stock Restriction Agreement</w:t>
            </w:r>
          </w:p>
        </w:tc>
        <w:tc>
          <w:tcPr>
            <w:tcW w:w="5560" w:type="dxa"/>
            <w:vAlign w:val="bottom"/>
            <w:gridSpan w:val="20"/>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10.18†</w:t>
            </w:r>
          </w:p>
        </w:tc>
        <w:tc>
          <w:tcPr>
            <w:tcW w:w="22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9"/>
              </w:rPr>
              <w:t>Form of Severance Agreement</w:t>
            </w:r>
          </w:p>
        </w:tc>
        <w:tc>
          <w:tcPr>
            <w:tcW w:w="500" w:type="dxa"/>
            <w:vAlign w:val="bottom"/>
            <w:tcBorders>
              <w:top w:val="single" w:sz="8" w:color="0000EE"/>
            </w:tcBorders>
            <w:gridSpan w:val="3"/>
          </w:tcPr>
          <w:p>
            <w:pPr>
              <w:spacing w:after="0"/>
              <w:rPr>
                <w:sz w:val="24"/>
                <w:szCs w:val="24"/>
                <w:color w:val="auto"/>
              </w:rPr>
            </w:pPr>
          </w:p>
        </w:tc>
        <w:tc>
          <w:tcPr>
            <w:tcW w:w="7040" w:type="dxa"/>
            <w:vAlign w:val="bottom"/>
            <w:gridSpan w:val="23"/>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10.19†</w:t>
            </w:r>
          </w:p>
        </w:tc>
        <w:tc>
          <w:tcPr>
            <w:tcW w:w="962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89"/>
              </w:rPr>
              <w:t>Separation and Consulting Agreement and General Release of Claims by and between the Company and Jonathan Alspaugh, dated as</w:t>
            </w:r>
          </w:p>
        </w:tc>
        <w:tc>
          <w:tcPr>
            <w:tcW w:w="14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60" w:type="dxa"/>
            <w:vAlign w:val="bottom"/>
            <w:gridSpan w:val="31"/>
          </w:tcPr>
          <w:p>
            <w:pPr>
              <w:spacing w:after="0" w:line="196" w:lineRule="exact"/>
              <w:rPr>
                <w:sz w:val="20"/>
                <w:szCs w:val="20"/>
                <w:color w:val="auto"/>
              </w:rPr>
            </w:pPr>
            <w:r>
              <w:rPr>
                <w:rFonts w:ascii="Arial" w:cs="Arial" w:eastAsia="Arial" w:hAnsi="Arial"/>
                <w:sz w:val="18"/>
                <w:szCs w:val="18"/>
                <w:color w:val="0000EE"/>
              </w:rPr>
              <w:t>of September 22, 2023</w:t>
            </w:r>
          </w:p>
        </w:tc>
      </w:tr>
      <w:tr>
        <w:trPr>
          <w:trHeight w:val="20"/>
        </w:trPr>
        <w:tc>
          <w:tcPr>
            <w:tcW w:w="12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10.20†</w:t>
            </w:r>
          </w:p>
        </w:tc>
        <w:tc>
          <w:tcPr>
            <w:tcW w:w="62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Offer Letter, dated August 10, 2023, by and between the Company and Scott Burrows</w:t>
            </w:r>
          </w:p>
        </w:tc>
        <w:tc>
          <w:tcPr>
            <w:tcW w:w="3560" w:type="dxa"/>
            <w:vAlign w:val="bottom"/>
            <w:gridSpan w:val="10"/>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10.21</w:t>
            </w:r>
          </w:p>
        </w:tc>
        <w:tc>
          <w:tcPr>
            <w:tcW w:w="87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89"/>
              </w:rPr>
              <w:t>Asset Purchase Agreement, dated July 27, 2023, by and between Aeglea BioTherapeutics, Inc. and Immedica Pharma AB</w:t>
            </w:r>
          </w:p>
        </w:tc>
        <w:tc>
          <w:tcPr>
            <w:tcW w:w="980" w:type="dxa"/>
            <w:vAlign w:val="bottom"/>
            <w:gridSpan w:val="5"/>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10.22*</w:t>
            </w:r>
          </w:p>
        </w:tc>
        <w:tc>
          <w:tcPr>
            <w:tcW w:w="9760" w:type="dxa"/>
            <w:vAlign w:val="bottom"/>
            <w:gridSpan w:val="31"/>
          </w:tcPr>
          <w:p>
            <w:pPr>
              <w:spacing w:after="0"/>
              <w:rPr>
                <w:rFonts w:ascii="Arial" w:cs="Arial" w:eastAsia="Arial" w:hAnsi="Arial"/>
                <w:sz w:val="18"/>
                <w:szCs w:val="18"/>
                <w:color w:val="0000EE"/>
              </w:rPr>
            </w:pPr>
            <w:hyperlink r:id="rId264">
              <w:r>
                <w:rPr>
                  <w:rFonts w:ascii="Arial" w:cs="Arial" w:eastAsia="Arial" w:hAnsi="Arial"/>
                  <w:sz w:val="18"/>
                  <w:szCs w:val="18"/>
                  <w:color w:val="0000EE"/>
                </w:rPr>
                <w:t>Lease Termination Agreement dated August 7, 2023, between Aeglea BioTherapeutics, Inc. and Las Cimas Owner LP</w:t>
              </w:r>
            </w:hyperlink>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21.1*</w:t>
            </w:r>
          </w:p>
        </w:tc>
        <w:tc>
          <w:tcPr>
            <w:tcW w:w="8520" w:type="dxa"/>
            <w:vAlign w:val="bottom"/>
            <w:tcBorders>
              <w:top w:val="single" w:sz="8" w:color="0000EE"/>
            </w:tcBorders>
            <w:gridSpan w:val="25"/>
          </w:tcPr>
          <w:p>
            <w:pPr>
              <w:spacing w:after="0"/>
              <w:rPr>
                <w:rFonts w:ascii="Arial" w:cs="Arial" w:eastAsia="Arial" w:hAnsi="Arial"/>
                <w:sz w:val="18"/>
                <w:szCs w:val="18"/>
                <w:color w:val="0000EE"/>
              </w:rPr>
            </w:pPr>
            <w:hyperlink r:id="rId265">
              <w:r>
                <w:rPr>
                  <w:rFonts w:ascii="Arial" w:cs="Arial" w:eastAsia="Arial" w:hAnsi="Arial"/>
                  <w:sz w:val="18"/>
                  <w:szCs w:val="18"/>
                  <w:color w:val="0000EE"/>
                </w:rPr>
                <w:t>Subsidiaries of the Registrant</w:t>
              </w:r>
            </w:hyperlink>
          </w:p>
        </w:tc>
        <w:tc>
          <w:tcPr>
            <w:tcW w:w="1240" w:type="dxa"/>
            <w:vAlign w:val="bottom"/>
            <w:gridSpan w:val="6"/>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0" w:type="dxa"/>
            <w:vAlign w:val="bottom"/>
            <w:gridSpan w:val="15"/>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23.1</w:t>
            </w:r>
          </w:p>
        </w:tc>
        <w:tc>
          <w:tcPr>
            <w:tcW w:w="9760" w:type="dxa"/>
            <w:vAlign w:val="bottom"/>
            <w:gridSpan w:val="31"/>
          </w:tcPr>
          <w:p>
            <w:pPr>
              <w:spacing w:after="0"/>
              <w:rPr>
                <w:sz w:val="20"/>
                <w:szCs w:val="20"/>
                <w:color w:val="auto"/>
              </w:rPr>
            </w:pPr>
            <w:r>
              <w:rPr>
                <w:rFonts w:ascii="Arial" w:cs="Arial" w:eastAsia="Arial" w:hAnsi="Arial"/>
                <w:sz w:val="18"/>
                <w:szCs w:val="18"/>
                <w:color w:val="0000EE"/>
              </w:rPr>
              <w:t>Consent of PricewaterhouseCoopers LLP</w:t>
            </w:r>
          </w:p>
        </w:tc>
      </w:tr>
      <w:tr>
        <w:trPr>
          <w:trHeight w:val="20"/>
        </w:trPr>
        <w:tc>
          <w:tcPr>
            <w:tcW w:w="1220" w:type="dxa"/>
            <w:vAlign w:val="bottom"/>
          </w:tcPr>
          <w:p>
            <w:pPr>
              <w:spacing w:after="0" w:line="20" w:lineRule="exact"/>
              <w:rPr>
                <w:sz w:val="1"/>
                <w:szCs w:val="1"/>
                <w:color w:val="auto"/>
              </w:rPr>
            </w:pPr>
          </w:p>
        </w:tc>
        <w:tc>
          <w:tcPr>
            <w:tcW w:w="2980" w:type="dxa"/>
            <w:vAlign w:val="bottom"/>
            <w:gridSpan w:val="9"/>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0" w:type="dxa"/>
            <w:vAlign w:val="bottom"/>
            <w:gridSpan w:val="15"/>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23.2</w:t>
            </w:r>
          </w:p>
        </w:tc>
        <w:tc>
          <w:tcPr>
            <w:tcW w:w="9760" w:type="dxa"/>
            <w:vAlign w:val="bottom"/>
            <w:gridSpan w:val="31"/>
          </w:tcPr>
          <w:p>
            <w:pPr>
              <w:spacing w:after="0"/>
              <w:rPr>
                <w:sz w:val="20"/>
                <w:szCs w:val="20"/>
                <w:color w:val="auto"/>
              </w:rPr>
            </w:pPr>
            <w:r>
              <w:rPr>
                <w:rFonts w:ascii="Arial" w:cs="Arial" w:eastAsia="Arial" w:hAnsi="Arial"/>
                <w:sz w:val="18"/>
                <w:szCs w:val="18"/>
                <w:color w:val="0000EE"/>
              </w:rPr>
              <w:t>Consent of PricewaterhouseCoopers LLP</w:t>
            </w:r>
          </w:p>
        </w:tc>
      </w:tr>
      <w:tr>
        <w:trPr>
          <w:trHeight w:val="20"/>
        </w:trPr>
        <w:tc>
          <w:tcPr>
            <w:tcW w:w="1220" w:type="dxa"/>
            <w:vAlign w:val="bottom"/>
          </w:tcPr>
          <w:p>
            <w:pPr>
              <w:spacing w:after="0" w:line="20" w:lineRule="exact"/>
              <w:rPr>
                <w:sz w:val="1"/>
                <w:szCs w:val="1"/>
                <w:color w:val="auto"/>
              </w:rPr>
            </w:pPr>
          </w:p>
        </w:tc>
        <w:tc>
          <w:tcPr>
            <w:tcW w:w="2980" w:type="dxa"/>
            <w:vAlign w:val="bottom"/>
            <w:gridSpan w:val="9"/>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0" w:type="dxa"/>
            <w:vAlign w:val="bottom"/>
            <w:gridSpan w:val="15"/>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23.3</w:t>
            </w:r>
          </w:p>
        </w:tc>
        <w:tc>
          <w:tcPr>
            <w:tcW w:w="9760" w:type="dxa"/>
            <w:vAlign w:val="bottom"/>
            <w:gridSpan w:val="31"/>
          </w:tcPr>
          <w:p>
            <w:pPr>
              <w:spacing w:after="0"/>
              <w:rPr>
                <w:sz w:val="20"/>
                <w:szCs w:val="20"/>
                <w:color w:val="auto"/>
              </w:rPr>
            </w:pPr>
            <w:r>
              <w:rPr>
                <w:rFonts w:ascii="Arial" w:cs="Arial" w:eastAsia="Arial" w:hAnsi="Arial"/>
                <w:sz w:val="18"/>
                <w:szCs w:val="18"/>
                <w:color w:val="0000EE"/>
              </w:rPr>
              <w:t>Consent of Gibson, Dunn &amp; Crutcher LLP (included in Exhibit 5.1)</w:t>
            </w:r>
          </w:p>
        </w:tc>
      </w:tr>
      <w:tr>
        <w:trPr>
          <w:trHeight w:val="20"/>
        </w:trPr>
        <w:tc>
          <w:tcPr>
            <w:tcW w:w="1220" w:type="dxa"/>
            <w:vAlign w:val="bottom"/>
          </w:tcPr>
          <w:p>
            <w:pPr>
              <w:spacing w:after="0" w:line="20" w:lineRule="exact"/>
              <w:rPr>
                <w:sz w:val="1"/>
                <w:szCs w:val="1"/>
                <w:color w:val="auto"/>
              </w:rPr>
            </w:pPr>
          </w:p>
        </w:tc>
        <w:tc>
          <w:tcPr>
            <w:tcW w:w="4880" w:type="dxa"/>
            <w:vAlign w:val="bottom"/>
            <w:gridSpan w:val="14"/>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0" w:type="dxa"/>
            <w:vAlign w:val="bottom"/>
            <w:gridSpan w:val="15"/>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8"/>
                <w:szCs w:val="18"/>
                <w:color w:val="auto"/>
              </w:rPr>
              <w:t>24.1*</w:t>
            </w:r>
          </w:p>
        </w:tc>
        <w:tc>
          <w:tcPr>
            <w:tcW w:w="5760" w:type="dxa"/>
            <w:vAlign w:val="bottom"/>
            <w:tcBorders>
              <w:bottom w:val="single" w:sz="8" w:color="0000EE"/>
            </w:tcBorders>
            <w:gridSpan w:val="16"/>
          </w:tcPr>
          <w:p>
            <w:pPr>
              <w:spacing w:after="0"/>
              <w:rPr>
                <w:rFonts w:ascii="Arial" w:cs="Arial" w:eastAsia="Arial" w:hAnsi="Arial"/>
                <w:sz w:val="18"/>
                <w:szCs w:val="18"/>
                <w:color w:val="0000EE"/>
                <w:w w:val="90"/>
              </w:rPr>
            </w:pPr>
            <w:hyperlink r:id="rId266">
              <w:r>
                <w:rPr>
                  <w:rFonts w:ascii="Arial" w:cs="Arial" w:eastAsia="Arial" w:hAnsi="Arial"/>
                  <w:sz w:val="18"/>
                  <w:szCs w:val="18"/>
                  <w:color w:val="0000EE"/>
                  <w:w w:val="90"/>
                </w:rPr>
                <w:t>Power of Attorney (included on the signature page to the registration statement)</w:t>
              </w:r>
            </w:hyperlink>
          </w:p>
        </w:tc>
        <w:tc>
          <w:tcPr>
            <w:tcW w:w="4000" w:type="dxa"/>
            <w:vAlign w:val="bottom"/>
            <w:gridSpan w:val="15"/>
          </w:tcPr>
          <w:p>
            <w:pPr>
              <w:spacing w:after="0"/>
              <w:rPr>
                <w:sz w:val="24"/>
                <w:szCs w:val="24"/>
                <w:color w:val="auto"/>
              </w:rPr>
            </w:pPr>
          </w:p>
        </w:tc>
      </w:tr>
    </w:tbl>
    <w:p>
      <w:pPr>
        <w:spacing w:after="0" w:line="121" w:lineRule="exact"/>
        <w:rPr>
          <w:sz w:val="20"/>
          <w:szCs w:val="20"/>
          <w:color w:val="auto"/>
        </w:rPr>
      </w:pPr>
    </w:p>
    <w:p>
      <w:pPr>
        <w:ind w:left="1340" w:hanging="1224"/>
        <w:spacing w:after="0"/>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compensatory plan.</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have been omitted pursuant to Item 601(b)(10)(iv) of Regulation S-K.</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380" w:hanging="264"/>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left="120" w:right="60" w:hanging="4"/>
        <w:spacing w:after="0" w:line="293" w:lineRule="auto"/>
        <w:tabs>
          <w:tab w:leader="none" w:pos="3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w:t>
      </w:r>
    </w:p>
    <w:p>
      <w:pPr>
        <w:spacing w:after="0" w:line="164" w:lineRule="exact"/>
        <w:rPr>
          <w:rFonts w:ascii="Arial" w:cs="Arial" w:eastAsia="Arial" w:hAnsi="Arial"/>
          <w:sz w:val="16"/>
          <w:szCs w:val="16"/>
          <w:color w:val="auto"/>
        </w:rPr>
      </w:pPr>
    </w:p>
    <w:p>
      <w:pPr>
        <w:ind w:left="120" w:right="380" w:hanging="4"/>
        <w:spacing w:after="0" w:line="277" w:lineRule="auto"/>
        <w:tabs>
          <w:tab w:leader="none" w:pos="4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140" w:hanging="4"/>
        <w:spacing w:after="0" w:line="263" w:lineRule="auto"/>
        <w:tabs>
          <w:tab w:leader="none" w:pos="3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20" w:hanging="4"/>
        <w:spacing w:after="0" w:line="277" w:lineRule="auto"/>
        <w:tabs>
          <w:tab w:leader="none" w:pos="3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20" w:right="20" w:hanging="4"/>
        <w:spacing w:after="0" w:line="272" w:lineRule="auto"/>
        <w:tabs>
          <w:tab w:leader="none" w:pos="375"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120" w:right="120" w:hanging="4"/>
        <w:spacing w:after="0" w:line="254" w:lineRule="auto"/>
        <w:tabs>
          <w:tab w:leader="none" w:pos="3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860"/>
        <w:spacing w:after="0" w:line="342" w:lineRule="auto"/>
        <w:rPr>
          <w:sz w:val="20"/>
          <w:szCs w:val="20"/>
          <w:color w:val="auto"/>
        </w:rPr>
      </w:pPr>
      <w:r>
        <w:rPr>
          <w:rFonts w:ascii="Arial" w:cs="Arial" w:eastAsia="Arial" w:hAnsi="Arial"/>
          <w:sz w:val="16"/>
          <w:szCs w:val="16"/>
          <w:color w:val="auto"/>
        </w:rPr>
        <w:t>Pursuant to the requirements of the Securities Act, the Registrant has duly caused this registration statement to be signed on its behalf by the undersigned, thereunto duly authorized, in the City of Waltham, Commonwealth of Massachusetts, on November 15, 2023.</w:t>
      </w:r>
    </w:p>
    <w:p>
      <w:pPr>
        <w:spacing w:after="0" w:line="1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Cameron Turtle, DPhil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Cameron Turtle, DPhil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20" w:type="dxa"/>
            <w:vAlign w:val="bottom"/>
          </w:tcPr>
          <w:p>
            <w:pPr>
              <w:jc w:val="center"/>
              <w:ind w:left="51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Cameron Turtle, DPhil</w:t>
            </w: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Chief Operating Officer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2"/>
              </w:rPr>
              <w:t>Cameron Turtle, DPhil</w:t>
            </w: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Burrows</w:t>
            </w: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182"/>
        </w:trPr>
        <w:tc>
          <w:tcPr>
            <w:tcW w:w="4320" w:type="dxa"/>
            <w:vAlign w:val="bottom"/>
          </w:tcPr>
          <w:p>
            <w:pPr>
              <w:jc w:val="center"/>
              <w:spacing w:after="0" w:line="182" w:lineRule="exact"/>
              <w:rPr>
                <w:sz w:val="20"/>
                <w:szCs w:val="20"/>
                <w:color w:val="auto"/>
              </w:rPr>
            </w:pPr>
            <w:r>
              <w:rPr>
                <w:rFonts w:ascii="Arial" w:cs="Arial" w:eastAsia="Arial" w:hAnsi="Arial"/>
                <w:sz w:val="18"/>
                <w:szCs w:val="18"/>
                <w:color w:val="auto"/>
                <w:w w:val="92"/>
              </w:rPr>
              <w:t>Scott Burrows</w:t>
            </w:r>
          </w:p>
        </w:tc>
        <w:tc>
          <w:tcPr>
            <w:tcW w:w="4100" w:type="dxa"/>
            <w:vAlign w:val="bottom"/>
          </w:tcPr>
          <w:p>
            <w:pPr>
              <w:jc w:val="center"/>
              <w:spacing w:after="0" w:line="182" w:lineRule="exact"/>
              <w:rPr>
                <w:sz w:val="20"/>
                <w:szCs w:val="20"/>
                <w:color w:val="auto"/>
              </w:rPr>
            </w:pPr>
            <w:r>
              <w:rPr>
                <w:rFonts w:ascii="Arial" w:cs="Arial" w:eastAsia="Arial" w:hAnsi="Arial"/>
                <w:sz w:val="18"/>
                <w:szCs w:val="18"/>
                <w:color w:val="auto"/>
                <w:w w:val="93"/>
              </w:rPr>
              <w:t>(Principal Financial Officer and Principal</w:t>
            </w:r>
          </w:p>
        </w:tc>
        <w:tc>
          <w:tcPr>
            <w:tcW w:w="2020" w:type="dxa"/>
            <w:vAlign w:val="bottom"/>
          </w:tcPr>
          <w:p>
            <w:pPr>
              <w:spacing w:after="0"/>
              <w:rPr>
                <w:sz w:val="15"/>
                <w:szCs w:val="15"/>
                <w:color w:val="auto"/>
              </w:rPr>
            </w:pPr>
          </w:p>
        </w:tc>
      </w:tr>
      <w:tr>
        <w:trPr>
          <w:trHeight w:val="230"/>
        </w:trPr>
        <w:tc>
          <w:tcPr>
            <w:tcW w:w="43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Accounting Officer)</w:t>
            </w:r>
          </w:p>
        </w:tc>
        <w:tc>
          <w:tcPr>
            <w:tcW w:w="2020" w:type="dxa"/>
            <w:vAlign w:val="bottom"/>
          </w:tcPr>
          <w:p>
            <w:pPr>
              <w:spacing w:after="0"/>
              <w:rPr>
                <w:sz w:val="20"/>
                <w:szCs w:val="20"/>
                <w:color w:val="auto"/>
              </w:rPr>
            </w:pPr>
          </w:p>
        </w:tc>
      </w:tr>
      <w:tr>
        <w:trPr>
          <w:trHeight w:val="4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Russell J. Cox</w:t>
            </w:r>
          </w:p>
        </w:tc>
        <w:tc>
          <w:tcPr>
            <w:tcW w:w="4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2"/>
              </w:rPr>
              <w:t>Peter Harwin</w:t>
            </w:r>
          </w:p>
        </w:tc>
        <w:tc>
          <w:tcPr>
            <w:tcW w:w="4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2"/>
              </w:rPr>
              <w:t>Michael Henderson, M.D.</w:t>
            </w:r>
          </w:p>
        </w:tc>
        <w:tc>
          <w:tcPr>
            <w:tcW w:w="4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1"/>
              </w:rPr>
              <w:t>Tomas Kiselak</w:t>
            </w:r>
          </w:p>
        </w:tc>
        <w:tc>
          <w:tcPr>
            <w:tcW w:w="4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6"/>
              </w:rPr>
              <w:t>Alison Lawton</w:t>
            </w:r>
          </w:p>
        </w:tc>
        <w:tc>
          <w:tcPr>
            <w:tcW w:w="4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37"/>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1"/>
              </w:rPr>
              <w:t>Ivana Magovčević-Liebisch, Ph.D., J.D.</w:t>
            </w:r>
          </w:p>
        </w:tc>
        <w:tc>
          <w:tcPr>
            <w:tcW w:w="4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20" w:type="dxa"/>
            <w:vAlign w:val="bottom"/>
          </w:tcPr>
          <w:p>
            <w:pPr>
              <w:jc w:val="center"/>
              <w:ind w:left="512"/>
              <w:spacing w:after="0"/>
              <w:rPr>
                <w:sz w:val="20"/>
                <w:szCs w:val="20"/>
                <w:color w:val="auto"/>
              </w:rPr>
            </w:pPr>
            <w:r>
              <w:rPr>
                <w:rFonts w:ascii="Arial" w:cs="Arial" w:eastAsia="Arial" w:hAnsi="Arial"/>
                <w:sz w:val="18"/>
                <w:szCs w:val="18"/>
                <w:color w:val="auto"/>
                <w:w w:val="89"/>
              </w:rPr>
              <w:t>November 15, 2023</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4"/>
              </w:rPr>
              <w:t>Hunter C. Smith, M.B.A.</w:t>
            </w:r>
          </w:p>
        </w:tc>
        <w:tc>
          <w:tcPr>
            <w:tcW w:w="4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320" w:type="dxa"/>
            <w:vAlign w:val="bottom"/>
          </w:tcPr>
          <w:p>
            <w:pPr>
              <w:spacing w:after="0"/>
              <w:rPr>
                <w:sz w:val="24"/>
                <w:szCs w:val="24"/>
                <w:color w:val="auto"/>
              </w:rPr>
            </w:pPr>
          </w:p>
        </w:tc>
        <w:tc>
          <w:tcPr>
            <w:tcW w:w="4100" w:type="dxa"/>
            <w:vAlign w:val="bottom"/>
          </w:tcPr>
          <w:p>
            <w:pPr>
              <w:ind w:left="104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364"/>
        </w:trPr>
        <w:tc>
          <w:tcPr>
            <w:tcW w:w="4320" w:type="dxa"/>
            <w:vAlign w:val="bottom"/>
          </w:tcPr>
          <w:p>
            <w:pPr>
              <w:spacing w:after="0"/>
              <w:rPr>
                <w:sz w:val="24"/>
                <w:szCs w:val="24"/>
                <w:color w:val="auto"/>
              </w:rPr>
            </w:pPr>
          </w:p>
        </w:tc>
        <w:tc>
          <w:tcPr>
            <w:tcW w:w="4100" w:type="dxa"/>
            <w:vAlign w:val="bottom"/>
          </w:tcPr>
          <w:p>
            <w:pPr>
              <w:ind w:left="1040"/>
              <w:spacing w:after="0"/>
              <w:rPr>
                <w:sz w:val="20"/>
                <w:szCs w:val="20"/>
                <w:color w:val="auto"/>
              </w:rPr>
            </w:pPr>
            <w:r>
              <w:rPr>
                <w:rFonts w:ascii="Arial" w:cs="Arial" w:eastAsia="Arial" w:hAnsi="Arial"/>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ASPEN MERGER SUB I,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SEQUOIA MERGER SUB II, LLC,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SPYRE THERAPEUTICS,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June 22, 2023</w:t>
      </w:r>
    </w:p>
    <w:p>
      <w:pPr>
        <w:sectPr>
          <w:pgSz w:w="11900" w:h="16838" w:orient="portrait"/>
          <w:cols w:equalWidth="0" w:num="1">
            <w:col w:w="10020"/>
          </w:cols>
          <w:pgMar w:left="1440" w:top="121" w:right="439" w:bottom="1440" w:gutter="0" w:footer="0" w:header="0"/>
        </w:sectPr>
      </w:pPr>
    </w:p>
    <w:bookmarkStart w:id="210" w:name="page211"/>
    <w:bookmarkEnd w:id="2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DESCRIPTION OF TRANSACTION</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1.1</w:t>
            </w:r>
          </w:p>
        </w:tc>
        <w:tc>
          <w:tcPr>
            <w:tcW w:w="8260" w:type="dxa"/>
            <w:vAlign w:val="bottom"/>
          </w:tcPr>
          <w:p>
            <w:pPr>
              <w:ind w:left="260"/>
              <w:spacing w:after="0"/>
              <w:rPr>
                <w:sz w:val="20"/>
                <w:szCs w:val="20"/>
                <w:color w:val="auto"/>
              </w:rPr>
            </w:pPr>
            <w:r>
              <w:rPr>
                <w:rFonts w:ascii="Arial" w:cs="Arial" w:eastAsia="Arial" w:hAnsi="Arial"/>
                <w:sz w:val="18"/>
                <w:szCs w:val="18"/>
                <w:color w:val="auto"/>
              </w:rPr>
              <w:t>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1.2</w:t>
            </w:r>
          </w:p>
        </w:tc>
        <w:tc>
          <w:tcPr>
            <w:tcW w:w="8260" w:type="dxa"/>
            <w:vAlign w:val="bottom"/>
          </w:tcPr>
          <w:p>
            <w:pPr>
              <w:ind w:left="260"/>
              <w:spacing w:after="0"/>
              <w:rPr>
                <w:sz w:val="20"/>
                <w:szCs w:val="20"/>
                <w:color w:val="auto"/>
              </w:rPr>
            </w:pPr>
            <w:r>
              <w:rPr>
                <w:rFonts w:ascii="Arial" w:cs="Arial" w:eastAsia="Arial" w:hAnsi="Arial"/>
                <w:sz w:val="18"/>
                <w:szCs w:val="18"/>
                <w:color w:val="auto"/>
              </w:rPr>
              <w:t>Effects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1.3</w:t>
            </w:r>
          </w:p>
        </w:tc>
        <w:tc>
          <w:tcPr>
            <w:tcW w:w="8260" w:type="dxa"/>
            <w:vAlign w:val="bottom"/>
          </w:tcPr>
          <w:p>
            <w:pPr>
              <w:ind w:left="260"/>
              <w:spacing w:after="0"/>
              <w:rPr>
                <w:sz w:val="20"/>
                <w:szCs w:val="20"/>
                <w:color w:val="auto"/>
              </w:rPr>
            </w:pPr>
            <w:r>
              <w:rPr>
                <w:rFonts w:ascii="Arial" w:cs="Arial" w:eastAsia="Arial" w:hAnsi="Arial"/>
                <w:sz w:val="18"/>
                <w:szCs w:val="18"/>
                <w:color w:val="auto"/>
              </w:rPr>
              <w:t>Closing; First Effective Time; Second Effective Time</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1.4</w:t>
            </w:r>
          </w:p>
        </w:tc>
        <w:tc>
          <w:tcPr>
            <w:tcW w:w="8260" w:type="dxa"/>
            <w:vAlign w:val="bottom"/>
          </w:tcPr>
          <w:p>
            <w:pPr>
              <w:ind w:left="260"/>
              <w:spacing w:after="0"/>
              <w:rPr>
                <w:sz w:val="20"/>
                <w:szCs w:val="20"/>
                <w:color w:val="auto"/>
              </w:rPr>
            </w:pPr>
            <w:r>
              <w:rPr>
                <w:rFonts w:ascii="Arial" w:cs="Arial" w:eastAsia="Arial" w:hAnsi="Arial"/>
                <w:sz w:val="18"/>
                <w:szCs w:val="18"/>
                <w:color w:val="auto"/>
              </w:rPr>
              <w:t>Certificate of Designation; Certificate of Incorporation and Bylaws; Directors and Officers</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1.5</w:t>
            </w:r>
          </w:p>
        </w:tc>
        <w:tc>
          <w:tcPr>
            <w:tcW w:w="8260" w:type="dxa"/>
            <w:vAlign w:val="bottom"/>
          </w:tcPr>
          <w:p>
            <w:pPr>
              <w:ind w:left="260"/>
              <w:spacing w:after="0"/>
              <w:rPr>
                <w:sz w:val="20"/>
                <w:szCs w:val="20"/>
                <w:color w:val="auto"/>
              </w:rPr>
            </w:pPr>
            <w:r>
              <w:rPr>
                <w:rFonts w:ascii="Arial" w:cs="Arial" w:eastAsia="Arial" w:hAnsi="Arial"/>
                <w:sz w:val="18"/>
                <w:szCs w:val="18"/>
                <w:color w:val="auto"/>
              </w:rPr>
              <w:t>Merger Consideration; Effect of Merger on Company Capital Stock</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1.6</w:t>
            </w:r>
          </w:p>
        </w:tc>
        <w:tc>
          <w:tcPr>
            <w:tcW w:w="8260" w:type="dxa"/>
            <w:vAlign w:val="bottom"/>
          </w:tcPr>
          <w:p>
            <w:pPr>
              <w:ind w:left="260"/>
              <w:spacing w:after="0"/>
              <w:rPr>
                <w:sz w:val="20"/>
                <w:szCs w:val="20"/>
                <w:color w:val="auto"/>
              </w:rPr>
            </w:pPr>
            <w:r>
              <w:rPr>
                <w:rFonts w:ascii="Arial" w:cs="Arial" w:eastAsia="Arial" w:hAnsi="Arial"/>
                <w:sz w:val="18"/>
                <w:szCs w:val="18"/>
                <w:color w:val="auto"/>
              </w:rPr>
              <w:t>Conversion of Shares</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1.7</w:t>
            </w:r>
          </w:p>
        </w:tc>
        <w:tc>
          <w:tcPr>
            <w:tcW w:w="8260" w:type="dxa"/>
            <w:vAlign w:val="bottom"/>
          </w:tcPr>
          <w:p>
            <w:pPr>
              <w:ind w:left="260"/>
              <w:spacing w:after="0"/>
              <w:rPr>
                <w:sz w:val="20"/>
                <w:szCs w:val="20"/>
                <w:color w:val="auto"/>
              </w:rPr>
            </w:pPr>
            <w:r>
              <w:rPr>
                <w:rFonts w:ascii="Arial" w:cs="Arial" w:eastAsia="Arial" w:hAnsi="Arial"/>
                <w:sz w:val="18"/>
                <w:szCs w:val="18"/>
                <w:color w:val="auto"/>
              </w:rPr>
              <w:t>Closing of the Company’s Transfer Books</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1.8</w:t>
            </w:r>
          </w:p>
        </w:tc>
        <w:tc>
          <w:tcPr>
            <w:tcW w:w="8260" w:type="dxa"/>
            <w:vAlign w:val="bottom"/>
          </w:tcPr>
          <w:p>
            <w:pPr>
              <w:ind w:left="260"/>
              <w:spacing w:after="0"/>
              <w:rPr>
                <w:sz w:val="20"/>
                <w:szCs w:val="20"/>
                <w:color w:val="auto"/>
              </w:rPr>
            </w:pPr>
            <w:r>
              <w:rPr>
                <w:rFonts w:ascii="Arial" w:cs="Arial" w:eastAsia="Arial" w:hAnsi="Arial"/>
                <w:sz w:val="18"/>
                <w:szCs w:val="18"/>
                <w:color w:val="auto"/>
              </w:rPr>
              <w:t>Exchange of Shares</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1.9</w:t>
            </w:r>
          </w:p>
        </w:tc>
        <w:tc>
          <w:tcPr>
            <w:tcW w:w="8260" w:type="dxa"/>
            <w:vAlign w:val="bottom"/>
          </w:tcPr>
          <w:p>
            <w:pPr>
              <w:ind w:left="260"/>
              <w:spacing w:after="0"/>
              <w:rPr>
                <w:sz w:val="20"/>
                <w:szCs w:val="20"/>
                <w:color w:val="auto"/>
              </w:rPr>
            </w:pPr>
            <w:r>
              <w:rPr>
                <w:rFonts w:ascii="Arial" w:cs="Arial" w:eastAsia="Arial" w:hAnsi="Arial"/>
                <w:sz w:val="18"/>
                <w:szCs w:val="18"/>
                <w:color w:val="auto"/>
              </w:rPr>
              <w:t>Company Options</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1.10</w:t>
            </w:r>
          </w:p>
        </w:tc>
        <w:tc>
          <w:tcPr>
            <w:tcW w:w="8260" w:type="dxa"/>
            <w:vAlign w:val="bottom"/>
          </w:tcPr>
          <w:p>
            <w:pPr>
              <w:ind w:left="260"/>
              <w:spacing w:after="0"/>
              <w:rPr>
                <w:sz w:val="20"/>
                <w:szCs w:val="20"/>
                <w:color w:val="auto"/>
              </w:rPr>
            </w:pPr>
            <w:r>
              <w:rPr>
                <w:rFonts w:ascii="Arial" w:cs="Arial" w:eastAsia="Arial" w:hAnsi="Arial"/>
                <w:sz w:val="18"/>
                <w:szCs w:val="18"/>
                <w:color w:val="auto"/>
              </w:rPr>
              <w:t>Contingent Value Right</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1.11</w:t>
            </w:r>
          </w:p>
        </w:tc>
        <w:tc>
          <w:tcPr>
            <w:tcW w:w="8260" w:type="dxa"/>
            <w:vAlign w:val="bottom"/>
          </w:tcPr>
          <w:p>
            <w:pPr>
              <w:ind w:left="260"/>
              <w:spacing w:after="0"/>
              <w:rPr>
                <w:sz w:val="20"/>
                <w:szCs w:val="20"/>
                <w:color w:val="auto"/>
              </w:rPr>
            </w:pPr>
            <w:r>
              <w:rPr>
                <w:rFonts w:ascii="Arial" w:cs="Arial" w:eastAsia="Arial" w:hAnsi="Arial"/>
                <w:sz w:val="18"/>
                <w:szCs w:val="18"/>
                <w:color w:val="auto"/>
              </w:rPr>
              <w:t>Further Action</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1.12</w:t>
            </w:r>
          </w:p>
        </w:tc>
        <w:tc>
          <w:tcPr>
            <w:tcW w:w="8260" w:type="dxa"/>
            <w:vAlign w:val="bottom"/>
          </w:tcPr>
          <w:p>
            <w:pPr>
              <w:ind w:left="260"/>
              <w:spacing w:after="0"/>
              <w:rPr>
                <w:sz w:val="20"/>
                <w:szCs w:val="20"/>
                <w:color w:val="auto"/>
              </w:rPr>
            </w:pPr>
            <w:r>
              <w:rPr>
                <w:rFonts w:ascii="Arial" w:cs="Arial" w:eastAsia="Arial" w:hAnsi="Arial"/>
                <w:sz w:val="18"/>
                <w:szCs w:val="18"/>
                <w:color w:val="auto"/>
              </w:rPr>
              <w:t>Withholding</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REPRESENTATIONS AND WARRANTIES OF THE COMPANY</w:t>
            </w: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2.1</w:t>
            </w:r>
          </w:p>
        </w:tc>
        <w:tc>
          <w:tcPr>
            <w:tcW w:w="8260" w:type="dxa"/>
            <w:vAlign w:val="bottom"/>
          </w:tcPr>
          <w:p>
            <w:pPr>
              <w:ind w:left="260"/>
              <w:spacing w:after="0"/>
              <w:rPr>
                <w:sz w:val="20"/>
                <w:szCs w:val="20"/>
                <w:color w:val="auto"/>
              </w:rPr>
            </w:pPr>
            <w:r>
              <w:rPr>
                <w:rFonts w:ascii="Arial" w:cs="Arial" w:eastAsia="Arial" w:hAnsi="Arial"/>
                <w:sz w:val="18"/>
                <w:szCs w:val="18"/>
                <w:color w:val="auto"/>
              </w:rPr>
              <w:t>Due Organization; Subsidiaries</w:t>
            </w: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2.2</w:t>
            </w:r>
          </w:p>
        </w:tc>
        <w:tc>
          <w:tcPr>
            <w:tcW w:w="826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2.3</w:t>
            </w:r>
          </w:p>
        </w:tc>
        <w:tc>
          <w:tcPr>
            <w:tcW w:w="826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2.4</w:t>
            </w:r>
          </w:p>
        </w:tc>
        <w:tc>
          <w:tcPr>
            <w:tcW w:w="826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2.5</w:t>
            </w:r>
          </w:p>
        </w:tc>
        <w:tc>
          <w:tcPr>
            <w:tcW w:w="826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2.6</w:t>
            </w:r>
          </w:p>
        </w:tc>
        <w:tc>
          <w:tcPr>
            <w:tcW w:w="826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2.7</w:t>
            </w:r>
          </w:p>
        </w:tc>
        <w:tc>
          <w:tcPr>
            <w:tcW w:w="826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2.8</w:t>
            </w:r>
          </w:p>
        </w:tc>
        <w:tc>
          <w:tcPr>
            <w:tcW w:w="826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2.9</w:t>
            </w:r>
          </w:p>
        </w:tc>
        <w:tc>
          <w:tcPr>
            <w:tcW w:w="826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2.10</w:t>
            </w:r>
          </w:p>
        </w:tc>
        <w:tc>
          <w:tcPr>
            <w:tcW w:w="826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2.11</w:t>
            </w:r>
          </w:p>
        </w:tc>
        <w:tc>
          <w:tcPr>
            <w:tcW w:w="8260" w:type="dxa"/>
            <w:vAlign w:val="bottom"/>
          </w:tcPr>
          <w:p>
            <w:pPr>
              <w:ind w:left="260"/>
              <w:spacing w:after="0"/>
              <w:rPr>
                <w:sz w:val="20"/>
                <w:szCs w:val="20"/>
                <w:color w:val="auto"/>
              </w:rPr>
            </w:pPr>
            <w:r>
              <w:rPr>
                <w:rFonts w:ascii="Arial" w:cs="Arial" w:eastAsia="Arial" w:hAnsi="Arial"/>
                <w:sz w:val="18"/>
                <w:szCs w:val="18"/>
                <w:color w:val="auto"/>
              </w:rPr>
              <w:t>Real Property; Leasehold</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2.12</w:t>
            </w:r>
          </w:p>
        </w:tc>
        <w:tc>
          <w:tcPr>
            <w:tcW w:w="826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2.13</w:t>
            </w:r>
          </w:p>
        </w:tc>
        <w:tc>
          <w:tcPr>
            <w:tcW w:w="8260" w:type="dxa"/>
            <w:vAlign w:val="bottom"/>
          </w:tcPr>
          <w:p>
            <w:pPr>
              <w:ind w:left="260"/>
              <w:spacing w:after="0"/>
              <w:rPr>
                <w:sz w:val="20"/>
                <w:szCs w:val="20"/>
                <w:color w:val="auto"/>
              </w:rPr>
            </w:pPr>
            <w:r>
              <w:rPr>
                <w:rFonts w:ascii="Arial" w:cs="Arial" w:eastAsia="Arial" w:hAnsi="Arial"/>
                <w:sz w:val="18"/>
                <w:szCs w:val="18"/>
                <w:color w:val="auto"/>
              </w:rPr>
              <w:t>Agreements, Contracts and Commitments</w:t>
            </w:r>
          </w:p>
        </w:tc>
        <w:tc>
          <w:tcPr>
            <w:tcW w:w="1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2.14</w:t>
            </w:r>
          </w:p>
        </w:tc>
        <w:tc>
          <w:tcPr>
            <w:tcW w:w="8260" w:type="dxa"/>
            <w:vAlign w:val="bottom"/>
          </w:tcPr>
          <w:p>
            <w:pPr>
              <w:ind w:left="260"/>
              <w:spacing w:after="0"/>
              <w:rPr>
                <w:sz w:val="20"/>
                <w:szCs w:val="20"/>
                <w:color w:val="auto"/>
              </w:rPr>
            </w:pPr>
            <w:r>
              <w:rPr>
                <w:rFonts w:ascii="Arial" w:cs="Arial" w:eastAsia="Arial" w:hAnsi="Arial"/>
                <w:sz w:val="18"/>
                <w:szCs w:val="18"/>
                <w:color w:val="auto"/>
              </w:rPr>
              <w:t>Compliance; Permits; Restrictions</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2.15</w:t>
            </w:r>
          </w:p>
        </w:tc>
        <w:tc>
          <w:tcPr>
            <w:tcW w:w="826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2.16</w:t>
            </w:r>
          </w:p>
        </w:tc>
        <w:tc>
          <w:tcPr>
            <w:tcW w:w="826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2.17</w:t>
            </w:r>
          </w:p>
        </w:tc>
        <w:tc>
          <w:tcPr>
            <w:tcW w:w="826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2.18</w:t>
            </w:r>
          </w:p>
        </w:tc>
        <w:tc>
          <w:tcPr>
            <w:tcW w:w="826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2.19</w:t>
            </w:r>
          </w:p>
        </w:tc>
        <w:tc>
          <w:tcPr>
            <w:tcW w:w="826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2.20</w:t>
            </w:r>
          </w:p>
        </w:tc>
        <w:tc>
          <w:tcPr>
            <w:tcW w:w="8260" w:type="dxa"/>
            <w:vAlign w:val="bottom"/>
          </w:tcPr>
          <w:p>
            <w:pPr>
              <w:ind w:left="260"/>
              <w:spacing w:after="0"/>
              <w:rPr>
                <w:sz w:val="20"/>
                <w:szCs w:val="20"/>
                <w:color w:val="auto"/>
              </w:rPr>
            </w:pPr>
            <w:r>
              <w:rPr>
                <w:rFonts w:ascii="Arial" w:cs="Arial" w:eastAsia="Arial" w:hAnsi="Arial"/>
                <w:sz w:val="18"/>
                <w:szCs w:val="18"/>
                <w:color w:val="auto"/>
              </w:rPr>
              <w:t>No Financial Advisors</w:t>
            </w: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2.21</w:t>
            </w:r>
          </w:p>
        </w:tc>
        <w:tc>
          <w:tcPr>
            <w:tcW w:w="826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2.22</w:t>
            </w:r>
          </w:p>
        </w:tc>
        <w:tc>
          <w:tcPr>
            <w:tcW w:w="8260" w:type="dxa"/>
            <w:vAlign w:val="bottom"/>
          </w:tcPr>
          <w:p>
            <w:pPr>
              <w:ind w:left="260"/>
              <w:spacing w:after="0"/>
              <w:rPr>
                <w:sz w:val="20"/>
                <w:szCs w:val="20"/>
                <w:color w:val="auto"/>
              </w:rPr>
            </w:pPr>
            <w:r>
              <w:rPr>
                <w:rFonts w:ascii="Arial" w:cs="Arial" w:eastAsia="Arial" w:hAnsi="Arial"/>
                <w:sz w:val="18"/>
                <w:szCs w:val="18"/>
                <w:color w:val="auto"/>
              </w:rPr>
              <w:t>Anti-Bribery</w:t>
            </w: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2.23</w:t>
            </w:r>
          </w:p>
        </w:tc>
        <w:tc>
          <w:tcPr>
            <w:tcW w:w="8260" w:type="dxa"/>
            <w:vAlign w:val="bottom"/>
          </w:tcPr>
          <w:p>
            <w:pPr>
              <w:ind w:left="260"/>
              <w:spacing w:after="0"/>
              <w:rPr>
                <w:sz w:val="20"/>
                <w:szCs w:val="20"/>
                <w:color w:val="auto"/>
              </w:rPr>
            </w:pPr>
            <w:r>
              <w:rPr>
                <w:rFonts w:ascii="Arial" w:cs="Arial" w:eastAsia="Arial" w:hAnsi="Arial"/>
                <w:sz w:val="18"/>
                <w:szCs w:val="18"/>
                <w:color w:val="auto"/>
              </w:rPr>
              <w:t>Disclaimer of Other Representations or Warranties</w:t>
            </w: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REPRESENTATIONS AND WARRANTIES OF PARENT AND MERGER SUBS</w:t>
            </w: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3.1</w:t>
            </w:r>
          </w:p>
        </w:tc>
        <w:tc>
          <w:tcPr>
            <w:tcW w:w="8260" w:type="dxa"/>
            <w:vAlign w:val="bottom"/>
          </w:tcPr>
          <w:p>
            <w:pPr>
              <w:ind w:left="260"/>
              <w:spacing w:after="0"/>
              <w:rPr>
                <w:sz w:val="20"/>
                <w:szCs w:val="20"/>
                <w:color w:val="auto"/>
              </w:rPr>
            </w:pPr>
            <w:r>
              <w:rPr>
                <w:rFonts w:ascii="Arial" w:cs="Arial" w:eastAsia="Arial" w:hAnsi="Arial"/>
                <w:sz w:val="18"/>
                <w:szCs w:val="18"/>
                <w:color w:val="auto"/>
              </w:rPr>
              <w:t>Due Organization; Subsidiaries</w:t>
            </w:r>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3.2</w:t>
            </w:r>
          </w:p>
        </w:tc>
        <w:tc>
          <w:tcPr>
            <w:tcW w:w="826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3.3</w:t>
            </w:r>
          </w:p>
        </w:tc>
        <w:tc>
          <w:tcPr>
            <w:tcW w:w="826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3.4</w:t>
            </w:r>
          </w:p>
        </w:tc>
        <w:tc>
          <w:tcPr>
            <w:tcW w:w="826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3.5</w:t>
            </w:r>
          </w:p>
        </w:tc>
        <w:tc>
          <w:tcPr>
            <w:tcW w:w="826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3.6</w:t>
            </w:r>
          </w:p>
        </w:tc>
        <w:tc>
          <w:tcPr>
            <w:tcW w:w="826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802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202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8020" w:type="dxa"/>
            <w:vAlign w:val="bottom"/>
          </w:tcPr>
          <w:p>
            <w:pPr>
              <w:ind w:left="4160"/>
              <w:spacing w:after="0"/>
              <w:rPr>
                <w:sz w:val="20"/>
                <w:szCs w:val="20"/>
                <w:color w:val="auto"/>
              </w:rPr>
            </w:pPr>
            <w:r>
              <w:rPr>
                <w:rFonts w:ascii="Arial" w:cs="Arial" w:eastAsia="Arial" w:hAnsi="Arial"/>
                <w:sz w:val="18"/>
                <w:szCs w:val="18"/>
                <w:color w:val="auto"/>
              </w:rPr>
              <w:t>(continued)</w:t>
            </w:r>
          </w:p>
        </w:tc>
        <w:tc>
          <w:tcPr>
            <w:tcW w:w="2020" w:type="dxa"/>
            <w:vAlign w:val="bottom"/>
          </w:tcPr>
          <w:p>
            <w:pPr>
              <w:spacing w:after="0"/>
              <w:rPr>
                <w:sz w:val="20"/>
                <w:szCs w:val="20"/>
                <w:color w:val="auto"/>
              </w:rPr>
            </w:pPr>
          </w:p>
        </w:tc>
      </w:tr>
      <w:tr>
        <w:trPr>
          <w:trHeight w:val="406"/>
        </w:trPr>
        <w:tc>
          <w:tcPr>
            <w:tcW w:w="9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920" w:type="dxa"/>
            <w:vAlign w:val="bottom"/>
          </w:tcPr>
          <w:p>
            <w:pPr>
              <w:ind w:left="360"/>
              <w:spacing w:after="0"/>
              <w:rPr>
                <w:sz w:val="20"/>
                <w:szCs w:val="20"/>
                <w:color w:val="auto"/>
              </w:rPr>
            </w:pPr>
            <w:r>
              <w:rPr>
                <w:rFonts w:ascii="Arial" w:cs="Arial" w:eastAsia="Arial" w:hAnsi="Arial"/>
                <w:sz w:val="18"/>
                <w:szCs w:val="18"/>
                <w:color w:val="auto"/>
              </w:rPr>
              <w:t>3.7</w:t>
            </w:r>
          </w:p>
        </w:tc>
        <w:tc>
          <w:tcPr>
            <w:tcW w:w="8020" w:type="dxa"/>
            <w:vAlign w:val="bottom"/>
          </w:tcPr>
          <w:p>
            <w:pPr>
              <w:ind w:left="260"/>
              <w:spacing w:after="0"/>
              <w:rPr>
                <w:sz w:val="20"/>
                <w:szCs w:val="20"/>
                <w:color w:val="auto"/>
              </w:rPr>
            </w:pPr>
            <w:r>
              <w:rPr>
                <w:rFonts w:ascii="Arial" w:cs="Arial" w:eastAsia="Arial" w:hAnsi="Arial"/>
                <w:sz w:val="18"/>
                <w:szCs w:val="18"/>
                <w:color w:val="auto"/>
              </w:rPr>
              <w:t>SEC Filings; Financial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3.8</w:t>
            </w:r>
          </w:p>
        </w:tc>
        <w:tc>
          <w:tcPr>
            <w:tcW w:w="802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3.9</w:t>
            </w:r>
          </w:p>
        </w:tc>
        <w:tc>
          <w:tcPr>
            <w:tcW w:w="802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3.10</w:t>
            </w:r>
          </w:p>
        </w:tc>
        <w:tc>
          <w:tcPr>
            <w:tcW w:w="802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3.11</w:t>
            </w:r>
          </w:p>
        </w:tc>
        <w:tc>
          <w:tcPr>
            <w:tcW w:w="8020" w:type="dxa"/>
            <w:vAlign w:val="bottom"/>
          </w:tcPr>
          <w:p>
            <w:pPr>
              <w:ind w:left="260"/>
              <w:spacing w:after="0"/>
              <w:rPr>
                <w:sz w:val="20"/>
                <w:szCs w:val="20"/>
                <w:color w:val="auto"/>
              </w:rPr>
            </w:pPr>
            <w:r>
              <w:rPr>
                <w:rFonts w:ascii="Arial" w:cs="Arial" w:eastAsia="Arial" w:hAnsi="Arial"/>
                <w:sz w:val="18"/>
                <w:szCs w:val="18"/>
                <w:color w:val="auto"/>
              </w:rPr>
              <w:t>Real Property; Leasehold</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3.12</w:t>
            </w:r>
          </w:p>
        </w:tc>
        <w:tc>
          <w:tcPr>
            <w:tcW w:w="802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3.13</w:t>
            </w:r>
          </w:p>
        </w:tc>
        <w:tc>
          <w:tcPr>
            <w:tcW w:w="8020" w:type="dxa"/>
            <w:vAlign w:val="bottom"/>
          </w:tcPr>
          <w:p>
            <w:pPr>
              <w:ind w:left="260"/>
              <w:spacing w:after="0"/>
              <w:rPr>
                <w:sz w:val="20"/>
                <w:szCs w:val="20"/>
                <w:color w:val="auto"/>
              </w:rPr>
            </w:pPr>
            <w:r>
              <w:rPr>
                <w:rFonts w:ascii="Arial" w:cs="Arial" w:eastAsia="Arial" w:hAnsi="Arial"/>
                <w:sz w:val="18"/>
                <w:szCs w:val="18"/>
                <w:color w:val="auto"/>
              </w:rPr>
              <w:t>Agreements, Contracts and Commitments</w:t>
            </w: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3.14</w:t>
            </w:r>
          </w:p>
        </w:tc>
        <w:tc>
          <w:tcPr>
            <w:tcW w:w="8020" w:type="dxa"/>
            <w:vAlign w:val="bottom"/>
          </w:tcPr>
          <w:p>
            <w:pPr>
              <w:ind w:left="260"/>
              <w:spacing w:after="0"/>
              <w:rPr>
                <w:sz w:val="20"/>
                <w:szCs w:val="20"/>
                <w:color w:val="auto"/>
              </w:rPr>
            </w:pPr>
            <w:r>
              <w:rPr>
                <w:rFonts w:ascii="Arial" w:cs="Arial" w:eastAsia="Arial" w:hAnsi="Arial"/>
                <w:sz w:val="18"/>
                <w:szCs w:val="18"/>
                <w:color w:val="auto"/>
              </w:rPr>
              <w:t>Compliance; Permits</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3.15</w:t>
            </w:r>
          </w:p>
        </w:tc>
        <w:tc>
          <w:tcPr>
            <w:tcW w:w="802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3.16</w:t>
            </w:r>
          </w:p>
        </w:tc>
        <w:tc>
          <w:tcPr>
            <w:tcW w:w="802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3.17</w:t>
            </w:r>
          </w:p>
        </w:tc>
        <w:tc>
          <w:tcPr>
            <w:tcW w:w="802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3.18</w:t>
            </w:r>
          </w:p>
        </w:tc>
        <w:tc>
          <w:tcPr>
            <w:tcW w:w="802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3.19</w:t>
            </w:r>
          </w:p>
        </w:tc>
        <w:tc>
          <w:tcPr>
            <w:tcW w:w="802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3.20</w:t>
            </w:r>
          </w:p>
        </w:tc>
        <w:tc>
          <w:tcPr>
            <w:tcW w:w="802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3.21</w:t>
            </w:r>
          </w:p>
        </w:tc>
        <w:tc>
          <w:tcPr>
            <w:tcW w:w="8020" w:type="dxa"/>
            <w:vAlign w:val="bottom"/>
          </w:tcPr>
          <w:p>
            <w:pPr>
              <w:ind w:left="260"/>
              <w:spacing w:after="0"/>
              <w:rPr>
                <w:sz w:val="20"/>
                <w:szCs w:val="20"/>
                <w:color w:val="auto"/>
              </w:rPr>
            </w:pPr>
            <w:r>
              <w:rPr>
                <w:rFonts w:ascii="Arial" w:cs="Arial" w:eastAsia="Arial" w:hAnsi="Arial"/>
                <w:sz w:val="18"/>
                <w:szCs w:val="18"/>
                <w:color w:val="auto"/>
              </w:rPr>
              <w:t>Opinion of Financial Advisor</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3.22</w:t>
            </w:r>
          </w:p>
        </w:tc>
        <w:tc>
          <w:tcPr>
            <w:tcW w:w="8020" w:type="dxa"/>
            <w:vAlign w:val="bottom"/>
          </w:tcPr>
          <w:p>
            <w:pPr>
              <w:ind w:left="260"/>
              <w:spacing w:after="0"/>
              <w:rPr>
                <w:sz w:val="20"/>
                <w:szCs w:val="20"/>
                <w:color w:val="auto"/>
              </w:rPr>
            </w:pPr>
            <w:r>
              <w:rPr>
                <w:rFonts w:ascii="Arial" w:cs="Arial" w:eastAsia="Arial" w:hAnsi="Arial"/>
                <w:sz w:val="18"/>
                <w:szCs w:val="18"/>
                <w:color w:val="auto"/>
              </w:rPr>
              <w:t>No Financial Advisors</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3.23</w:t>
            </w:r>
          </w:p>
        </w:tc>
        <w:tc>
          <w:tcPr>
            <w:tcW w:w="8020" w:type="dxa"/>
            <w:vAlign w:val="bottom"/>
          </w:tcPr>
          <w:p>
            <w:pPr>
              <w:ind w:left="260"/>
              <w:spacing w:after="0"/>
              <w:rPr>
                <w:sz w:val="20"/>
                <w:szCs w:val="20"/>
                <w:color w:val="auto"/>
              </w:rPr>
            </w:pPr>
            <w:r>
              <w:rPr>
                <w:rFonts w:ascii="Arial" w:cs="Arial" w:eastAsia="Arial" w:hAnsi="Arial"/>
                <w:sz w:val="18"/>
                <w:szCs w:val="18"/>
                <w:color w:val="auto"/>
              </w:rPr>
              <w:t>Anti-Bribery</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3.24</w:t>
            </w:r>
          </w:p>
        </w:tc>
        <w:tc>
          <w:tcPr>
            <w:tcW w:w="8020" w:type="dxa"/>
            <w:vAlign w:val="bottom"/>
          </w:tcPr>
          <w:p>
            <w:pPr>
              <w:ind w:left="260"/>
              <w:spacing w:after="0"/>
              <w:rPr>
                <w:sz w:val="20"/>
                <w:szCs w:val="20"/>
                <w:color w:val="auto"/>
              </w:rPr>
            </w:pPr>
            <w:r>
              <w:rPr>
                <w:rFonts w:ascii="Arial" w:cs="Arial" w:eastAsia="Arial" w:hAnsi="Arial"/>
                <w:sz w:val="18"/>
                <w:szCs w:val="18"/>
                <w:color w:val="auto"/>
              </w:rPr>
              <w:t>Valid Issuance</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3.25</w:t>
            </w:r>
          </w:p>
        </w:tc>
        <w:tc>
          <w:tcPr>
            <w:tcW w:w="8020" w:type="dxa"/>
            <w:vAlign w:val="bottom"/>
          </w:tcPr>
          <w:p>
            <w:pPr>
              <w:ind w:left="260"/>
              <w:spacing w:after="0"/>
              <w:rPr>
                <w:sz w:val="20"/>
                <w:szCs w:val="20"/>
                <w:color w:val="auto"/>
              </w:rPr>
            </w:pPr>
            <w:r>
              <w:rPr>
                <w:rFonts w:ascii="Arial" w:cs="Arial" w:eastAsia="Arial" w:hAnsi="Arial"/>
                <w:sz w:val="18"/>
                <w:szCs w:val="18"/>
                <w:color w:val="auto"/>
              </w:rPr>
              <w:t>Disclaimer of Other Representations or Warranties</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color w:val="auto"/>
              </w:rPr>
              <w:t>ADDITIONAL AGREEMENTS OF THE PARTIES</w:t>
            </w: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4.1</w:t>
            </w:r>
          </w:p>
        </w:tc>
        <w:tc>
          <w:tcPr>
            <w:tcW w:w="8020" w:type="dxa"/>
            <w:vAlign w:val="bottom"/>
          </w:tcPr>
          <w:p>
            <w:pPr>
              <w:ind w:left="260"/>
              <w:spacing w:after="0"/>
              <w:rPr>
                <w:sz w:val="20"/>
                <w:szCs w:val="20"/>
                <w:color w:val="auto"/>
              </w:rPr>
            </w:pPr>
            <w:r>
              <w:rPr>
                <w:rFonts w:ascii="Arial" w:cs="Arial" w:eastAsia="Arial" w:hAnsi="Arial"/>
                <w:sz w:val="18"/>
                <w:szCs w:val="18"/>
                <w:color w:val="auto"/>
              </w:rPr>
              <w:t>Parent Stockholders’ Meeting</w:t>
            </w: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4.2</w:t>
            </w:r>
          </w:p>
        </w:tc>
        <w:tc>
          <w:tcPr>
            <w:tcW w:w="8020" w:type="dxa"/>
            <w:vAlign w:val="bottom"/>
          </w:tcPr>
          <w:p>
            <w:pPr>
              <w:ind w:left="260"/>
              <w:spacing w:after="0"/>
              <w:rPr>
                <w:sz w:val="20"/>
                <w:szCs w:val="20"/>
                <w:color w:val="auto"/>
              </w:rPr>
            </w:pPr>
            <w:r>
              <w:rPr>
                <w:rFonts w:ascii="Arial" w:cs="Arial" w:eastAsia="Arial" w:hAnsi="Arial"/>
                <w:sz w:val="18"/>
                <w:szCs w:val="18"/>
                <w:color w:val="auto"/>
              </w:rPr>
              <w:t>Proxy Statement</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4.3</w:t>
            </w:r>
          </w:p>
        </w:tc>
        <w:tc>
          <w:tcPr>
            <w:tcW w:w="8020" w:type="dxa"/>
            <w:vAlign w:val="bottom"/>
          </w:tcPr>
          <w:p>
            <w:pPr>
              <w:ind w:left="260"/>
              <w:spacing w:after="0"/>
              <w:rPr>
                <w:sz w:val="20"/>
                <w:szCs w:val="20"/>
                <w:color w:val="auto"/>
              </w:rPr>
            </w:pPr>
            <w:r>
              <w:rPr>
                <w:rFonts w:ascii="Arial" w:cs="Arial" w:eastAsia="Arial" w:hAnsi="Arial"/>
                <w:sz w:val="18"/>
                <w:szCs w:val="18"/>
                <w:color w:val="auto"/>
              </w:rPr>
              <w:t>Reservation of Parent Common Stock; Issuance of Shares of Parent Common Stock</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4.4</w:t>
            </w:r>
          </w:p>
        </w:tc>
        <w:tc>
          <w:tcPr>
            <w:tcW w:w="802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4.5</w:t>
            </w:r>
          </w:p>
        </w:tc>
        <w:tc>
          <w:tcPr>
            <w:tcW w:w="8020" w:type="dxa"/>
            <w:vAlign w:val="bottom"/>
          </w:tcPr>
          <w:p>
            <w:pPr>
              <w:ind w:left="260"/>
              <w:spacing w:after="0"/>
              <w:rPr>
                <w:sz w:val="20"/>
                <w:szCs w:val="20"/>
                <w:color w:val="auto"/>
              </w:rPr>
            </w:pPr>
            <w:r>
              <w:rPr>
                <w:rFonts w:ascii="Arial" w:cs="Arial" w:eastAsia="Arial" w:hAnsi="Arial"/>
                <w:sz w:val="18"/>
                <w:szCs w:val="18"/>
                <w:color w:val="auto"/>
              </w:rPr>
              <w:t>Indemnification of Officers and Directors</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4.6</w:t>
            </w:r>
          </w:p>
        </w:tc>
        <w:tc>
          <w:tcPr>
            <w:tcW w:w="8020" w:type="dxa"/>
            <w:vAlign w:val="bottom"/>
          </w:tcPr>
          <w:p>
            <w:pPr>
              <w:ind w:left="260"/>
              <w:spacing w:after="0"/>
              <w:rPr>
                <w:sz w:val="20"/>
                <w:szCs w:val="20"/>
                <w:color w:val="auto"/>
              </w:rPr>
            </w:pPr>
            <w:r>
              <w:rPr>
                <w:rFonts w:ascii="Arial" w:cs="Arial" w:eastAsia="Arial" w:hAnsi="Arial"/>
                <w:sz w:val="18"/>
                <w:szCs w:val="18"/>
                <w:color w:val="auto"/>
              </w:rPr>
              <w:t>Additional Agreements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4.7</w:t>
            </w:r>
          </w:p>
        </w:tc>
        <w:tc>
          <w:tcPr>
            <w:tcW w:w="8020" w:type="dxa"/>
            <w:vAlign w:val="bottom"/>
          </w:tcPr>
          <w:p>
            <w:pPr>
              <w:ind w:left="260"/>
              <w:spacing w:after="0"/>
              <w:rPr>
                <w:sz w:val="20"/>
                <w:szCs w:val="20"/>
                <w:color w:val="auto"/>
              </w:rPr>
            </w:pPr>
            <w:r>
              <w:rPr>
                <w:rFonts w:ascii="Arial" w:cs="Arial" w:eastAsia="Arial" w:hAnsi="Arial"/>
                <w:sz w:val="18"/>
                <w:szCs w:val="18"/>
                <w:color w:val="auto"/>
              </w:rPr>
              <w:t>Listing</w:t>
            </w: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4.8</w:t>
            </w:r>
          </w:p>
        </w:tc>
        <w:tc>
          <w:tcPr>
            <w:tcW w:w="802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4.9</w:t>
            </w:r>
          </w:p>
        </w:tc>
        <w:tc>
          <w:tcPr>
            <w:tcW w:w="8020" w:type="dxa"/>
            <w:vAlign w:val="bottom"/>
          </w:tcPr>
          <w:p>
            <w:pPr>
              <w:ind w:left="260"/>
              <w:spacing w:after="0"/>
              <w:rPr>
                <w:sz w:val="20"/>
                <w:szCs w:val="20"/>
                <w:color w:val="auto"/>
              </w:rPr>
            </w:pPr>
            <w:r>
              <w:rPr>
                <w:rFonts w:ascii="Arial" w:cs="Arial" w:eastAsia="Arial" w:hAnsi="Arial"/>
                <w:sz w:val="18"/>
                <w:szCs w:val="18"/>
                <w:color w:val="auto"/>
              </w:rPr>
              <w:t>Legends</w:t>
            </w: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4.10</w:t>
            </w:r>
          </w:p>
        </w:tc>
        <w:tc>
          <w:tcPr>
            <w:tcW w:w="8020" w:type="dxa"/>
            <w:vAlign w:val="bottom"/>
          </w:tcPr>
          <w:p>
            <w:pPr>
              <w:ind w:left="260"/>
              <w:spacing w:after="0"/>
              <w:rPr>
                <w:sz w:val="20"/>
                <w:szCs w:val="20"/>
                <w:color w:val="auto"/>
              </w:rPr>
            </w:pPr>
            <w:r>
              <w:rPr>
                <w:rFonts w:ascii="Arial" w:cs="Arial" w:eastAsia="Arial" w:hAnsi="Arial"/>
                <w:sz w:val="18"/>
                <w:szCs w:val="18"/>
                <w:color w:val="auto"/>
              </w:rPr>
              <w:t>Directors and Officers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4.11</w:t>
            </w:r>
          </w:p>
        </w:tc>
        <w:tc>
          <w:tcPr>
            <w:tcW w:w="8020" w:type="dxa"/>
            <w:vAlign w:val="bottom"/>
          </w:tcPr>
          <w:p>
            <w:pPr>
              <w:ind w:left="260"/>
              <w:spacing w:after="0"/>
              <w:rPr>
                <w:sz w:val="20"/>
                <w:szCs w:val="20"/>
                <w:color w:val="auto"/>
              </w:rPr>
            </w:pPr>
            <w:r>
              <w:rPr>
                <w:rFonts w:ascii="Arial" w:cs="Arial" w:eastAsia="Arial" w:hAnsi="Arial"/>
                <w:sz w:val="18"/>
                <w:szCs w:val="18"/>
                <w:color w:val="auto"/>
              </w:rPr>
              <w:t>Section 16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4.12</w:t>
            </w:r>
          </w:p>
        </w:tc>
        <w:tc>
          <w:tcPr>
            <w:tcW w:w="8020" w:type="dxa"/>
            <w:vAlign w:val="bottom"/>
          </w:tcPr>
          <w:p>
            <w:pPr>
              <w:ind w:left="260"/>
              <w:spacing w:after="0"/>
              <w:rPr>
                <w:sz w:val="20"/>
                <w:szCs w:val="20"/>
                <w:color w:val="auto"/>
              </w:rPr>
            </w:pPr>
            <w:r>
              <w:rPr>
                <w:rFonts w:ascii="Arial" w:cs="Arial" w:eastAsia="Arial" w:hAnsi="Arial"/>
                <w:sz w:val="18"/>
                <w:szCs w:val="18"/>
                <w:color w:val="auto"/>
              </w:rPr>
              <w:t>Cooperation</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4.13</w:t>
            </w:r>
          </w:p>
        </w:tc>
        <w:tc>
          <w:tcPr>
            <w:tcW w:w="8020" w:type="dxa"/>
            <w:vAlign w:val="bottom"/>
          </w:tcPr>
          <w:p>
            <w:pPr>
              <w:ind w:left="260"/>
              <w:spacing w:after="0"/>
              <w:rPr>
                <w:sz w:val="20"/>
                <w:szCs w:val="20"/>
                <w:color w:val="auto"/>
              </w:rPr>
            </w:pPr>
            <w:r>
              <w:rPr>
                <w:rFonts w:ascii="Arial" w:cs="Arial" w:eastAsia="Arial" w:hAnsi="Arial"/>
                <w:sz w:val="18"/>
                <w:szCs w:val="18"/>
                <w:color w:val="auto"/>
              </w:rPr>
              <w:t>Closing Certificates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4.14</w:t>
            </w:r>
          </w:p>
        </w:tc>
        <w:tc>
          <w:tcPr>
            <w:tcW w:w="8020" w:type="dxa"/>
            <w:vAlign w:val="bottom"/>
          </w:tcPr>
          <w:p>
            <w:pPr>
              <w:ind w:left="260"/>
              <w:spacing w:after="0"/>
              <w:rPr>
                <w:sz w:val="20"/>
                <w:szCs w:val="20"/>
                <w:color w:val="auto"/>
              </w:rPr>
            </w:pPr>
            <w:r>
              <w:rPr>
                <w:rFonts w:ascii="Arial" w:cs="Arial" w:eastAsia="Arial" w:hAnsi="Arial"/>
                <w:sz w:val="18"/>
                <w:szCs w:val="18"/>
                <w:color w:val="auto"/>
              </w:rPr>
              <w:t>Takeover Statutes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4.15</w:t>
            </w:r>
          </w:p>
        </w:tc>
        <w:tc>
          <w:tcPr>
            <w:tcW w:w="8020" w:type="dxa"/>
            <w:vAlign w:val="bottom"/>
          </w:tcPr>
          <w:p>
            <w:pPr>
              <w:ind w:left="260"/>
              <w:spacing w:after="0"/>
              <w:rPr>
                <w:sz w:val="20"/>
                <w:szCs w:val="20"/>
                <w:color w:val="auto"/>
              </w:rPr>
            </w:pPr>
            <w:r>
              <w:rPr>
                <w:rFonts w:ascii="Arial" w:cs="Arial" w:eastAsia="Arial" w:hAnsi="Arial"/>
                <w:sz w:val="18"/>
                <w:szCs w:val="18"/>
                <w:color w:val="auto"/>
              </w:rPr>
              <w:t>Obligations of Merger Subs</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4.16</w:t>
            </w:r>
          </w:p>
        </w:tc>
        <w:tc>
          <w:tcPr>
            <w:tcW w:w="8020" w:type="dxa"/>
            <w:vAlign w:val="bottom"/>
          </w:tcPr>
          <w:p>
            <w:pPr>
              <w:ind w:left="260"/>
              <w:spacing w:after="0"/>
              <w:rPr>
                <w:sz w:val="20"/>
                <w:szCs w:val="20"/>
                <w:color w:val="auto"/>
              </w:rPr>
            </w:pPr>
            <w:r>
              <w:rPr>
                <w:rFonts w:ascii="Arial" w:cs="Arial" w:eastAsia="Arial" w:hAnsi="Arial"/>
                <w:sz w:val="18"/>
                <w:szCs w:val="18"/>
                <w:color w:val="auto"/>
              </w:rPr>
              <w:t>Private Placement</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CONDITIONS PRECEDENT TO OBLIGATIONS OF EACH PARTY</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5.1</w:t>
            </w:r>
          </w:p>
        </w:tc>
        <w:tc>
          <w:tcPr>
            <w:tcW w:w="8020" w:type="dxa"/>
            <w:vAlign w:val="bottom"/>
          </w:tcPr>
          <w:p>
            <w:pPr>
              <w:ind w:left="260"/>
              <w:spacing w:after="0"/>
              <w:rPr>
                <w:sz w:val="20"/>
                <w:szCs w:val="20"/>
                <w:color w:val="auto"/>
              </w:rPr>
            </w:pPr>
            <w:r>
              <w:rPr>
                <w:rFonts w:ascii="Arial" w:cs="Arial" w:eastAsia="Arial" w:hAnsi="Arial"/>
                <w:sz w:val="18"/>
                <w:szCs w:val="18"/>
                <w:color w:val="auto"/>
              </w:rPr>
              <w:t>No Restraints</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5.2</w:t>
            </w:r>
          </w:p>
        </w:tc>
        <w:tc>
          <w:tcPr>
            <w:tcW w:w="8020" w:type="dxa"/>
            <w:vAlign w:val="bottom"/>
          </w:tcPr>
          <w:p>
            <w:pPr>
              <w:ind w:left="260"/>
              <w:spacing w:after="0"/>
              <w:rPr>
                <w:sz w:val="20"/>
                <w:szCs w:val="20"/>
                <w:color w:val="auto"/>
              </w:rPr>
            </w:pPr>
            <w:r>
              <w:rPr>
                <w:rFonts w:ascii="Arial" w:cs="Arial" w:eastAsia="Arial" w:hAnsi="Arial"/>
                <w:sz w:val="18"/>
                <w:szCs w:val="18"/>
                <w:color w:val="auto"/>
              </w:rPr>
              <w:t>Certificate of Designation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5.3</w:t>
            </w:r>
          </w:p>
        </w:tc>
        <w:tc>
          <w:tcPr>
            <w:tcW w:w="8020" w:type="dxa"/>
            <w:vAlign w:val="bottom"/>
          </w:tcPr>
          <w:p>
            <w:pPr>
              <w:ind w:left="260"/>
              <w:spacing w:after="0"/>
              <w:rPr>
                <w:sz w:val="20"/>
                <w:szCs w:val="20"/>
                <w:color w:val="auto"/>
              </w:rPr>
            </w:pPr>
            <w:r>
              <w:rPr>
                <w:rFonts w:ascii="Arial" w:cs="Arial" w:eastAsia="Arial" w:hAnsi="Arial"/>
                <w:sz w:val="18"/>
                <w:szCs w:val="18"/>
                <w:color w:val="auto"/>
              </w:rPr>
              <w:t>Parent Financing</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color w:val="auto"/>
              </w:rPr>
              <w:t>CLOSING DELIVERIES OF THE COMPANY</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6.1</w:t>
            </w:r>
          </w:p>
        </w:tc>
        <w:tc>
          <w:tcPr>
            <w:tcW w:w="8020" w:type="dxa"/>
            <w:vAlign w:val="bottom"/>
          </w:tcPr>
          <w:p>
            <w:pPr>
              <w:ind w:left="260"/>
              <w:spacing w:after="0"/>
              <w:rPr>
                <w:sz w:val="20"/>
                <w:szCs w:val="20"/>
                <w:color w:val="auto"/>
              </w:rPr>
            </w:pPr>
            <w:r>
              <w:rPr>
                <w:rFonts w:ascii="Arial" w:cs="Arial" w:eastAsia="Arial" w:hAnsi="Arial"/>
                <w:sz w:val="18"/>
                <w:szCs w:val="18"/>
                <w:color w:val="auto"/>
              </w:rPr>
              <w:t>Documents</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6.2</w:t>
            </w:r>
          </w:p>
        </w:tc>
        <w:tc>
          <w:tcPr>
            <w:tcW w:w="8020" w:type="dxa"/>
            <w:vAlign w:val="bottom"/>
          </w:tcPr>
          <w:p>
            <w:pPr>
              <w:ind w:left="260"/>
              <w:spacing w:after="0"/>
              <w:rPr>
                <w:sz w:val="20"/>
                <w:szCs w:val="20"/>
                <w:color w:val="auto"/>
              </w:rPr>
            </w:pPr>
            <w:r>
              <w:rPr>
                <w:rFonts w:ascii="Arial" w:cs="Arial" w:eastAsia="Arial" w:hAnsi="Arial"/>
                <w:sz w:val="18"/>
                <w:szCs w:val="18"/>
                <w:color w:val="auto"/>
              </w:rPr>
              <w:t>FIRPTA Certificate</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6.3</w:t>
            </w:r>
          </w:p>
        </w:tc>
        <w:tc>
          <w:tcPr>
            <w:tcW w:w="8020" w:type="dxa"/>
            <w:vAlign w:val="bottom"/>
          </w:tcPr>
          <w:p>
            <w:pPr>
              <w:ind w:left="260"/>
              <w:spacing w:after="0"/>
              <w:rPr>
                <w:sz w:val="20"/>
                <w:szCs w:val="20"/>
                <w:color w:val="auto"/>
              </w:rPr>
            </w:pPr>
            <w:r>
              <w:rPr>
                <w:rFonts w:ascii="Arial" w:cs="Arial" w:eastAsia="Arial" w:hAnsi="Arial"/>
                <w:sz w:val="18"/>
                <w:szCs w:val="18"/>
                <w:color w:val="auto"/>
              </w:rPr>
              <w:t>Company Lock-Up Agreements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7480" w:type="dxa"/>
            <w:vAlign w:val="bottom"/>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7480" w:type="dxa"/>
            <w:vAlign w:val="bottom"/>
          </w:tcPr>
          <w:p>
            <w:pPr>
              <w:ind w:left="4000"/>
              <w:spacing w:after="0"/>
              <w:rPr>
                <w:sz w:val="20"/>
                <w:szCs w:val="20"/>
                <w:color w:val="auto"/>
              </w:rPr>
            </w:pPr>
            <w:r>
              <w:rPr>
                <w:rFonts w:ascii="Arial" w:cs="Arial" w:eastAsia="Arial" w:hAnsi="Arial"/>
                <w:sz w:val="18"/>
                <w:szCs w:val="18"/>
                <w:color w:val="auto"/>
              </w:rPr>
              <w:t>(continued)</w:t>
            </w:r>
          </w:p>
        </w:tc>
        <w:tc>
          <w:tcPr>
            <w:tcW w:w="2400" w:type="dxa"/>
            <w:vAlign w:val="bottom"/>
          </w:tcPr>
          <w:p>
            <w:pPr>
              <w:spacing w:after="0"/>
              <w:rPr>
                <w:sz w:val="20"/>
                <w:szCs w:val="20"/>
                <w:color w:val="auto"/>
              </w:rPr>
            </w:pPr>
          </w:p>
        </w:tc>
      </w:tr>
      <w:tr>
        <w:trPr>
          <w:trHeight w:val="406"/>
        </w:trPr>
        <w:tc>
          <w:tcPr>
            <w:tcW w:w="10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CLOSING DELIVERIES OF PARENT</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1080" w:type="dxa"/>
            <w:vAlign w:val="bottom"/>
          </w:tcPr>
          <w:p>
            <w:pPr>
              <w:ind w:left="360"/>
              <w:spacing w:after="0"/>
              <w:rPr>
                <w:sz w:val="20"/>
                <w:szCs w:val="20"/>
                <w:color w:val="auto"/>
              </w:rPr>
            </w:pPr>
            <w:r>
              <w:rPr>
                <w:rFonts w:ascii="Arial" w:cs="Arial" w:eastAsia="Arial" w:hAnsi="Arial"/>
                <w:sz w:val="18"/>
                <w:szCs w:val="18"/>
                <w:color w:val="auto"/>
              </w:rPr>
              <w:t>7.1</w:t>
            </w:r>
          </w:p>
        </w:tc>
        <w:tc>
          <w:tcPr>
            <w:tcW w:w="7480" w:type="dxa"/>
            <w:vAlign w:val="bottom"/>
          </w:tcPr>
          <w:p>
            <w:pPr>
              <w:ind w:left="100"/>
              <w:spacing w:after="0"/>
              <w:rPr>
                <w:sz w:val="20"/>
                <w:szCs w:val="20"/>
                <w:color w:val="auto"/>
              </w:rPr>
            </w:pPr>
            <w:r>
              <w:rPr>
                <w:rFonts w:ascii="Arial" w:cs="Arial" w:eastAsia="Arial" w:hAnsi="Arial"/>
                <w:sz w:val="18"/>
                <w:szCs w:val="18"/>
                <w:color w:val="auto"/>
              </w:rPr>
              <w:t>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7.2</w:t>
            </w:r>
          </w:p>
        </w:tc>
        <w:tc>
          <w:tcPr>
            <w:tcW w:w="7480" w:type="dxa"/>
            <w:vAlign w:val="bottom"/>
          </w:tcPr>
          <w:p>
            <w:pPr>
              <w:ind w:left="100"/>
              <w:spacing w:after="0"/>
              <w:rPr>
                <w:sz w:val="20"/>
                <w:szCs w:val="20"/>
                <w:color w:val="auto"/>
              </w:rPr>
            </w:pPr>
            <w:r>
              <w:rPr>
                <w:rFonts w:ascii="Arial" w:cs="Arial" w:eastAsia="Arial" w:hAnsi="Arial"/>
                <w:sz w:val="18"/>
                <w:szCs w:val="18"/>
                <w:color w:val="auto"/>
              </w:rPr>
              <w:t>Parent Lock-Up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80" w:type="dxa"/>
            <w:vAlign w:val="bottom"/>
          </w:tcPr>
          <w:p>
            <w:pPr>
              <w:spacing w:after="0"/>
              <w:rPr>
                <w:sz w:val="20"/>
                <w:szCs w:val="20"/>
                <w:color w:val="auto"/>
              </w:rPr>
            </w:pPr>
            <w:r>
              <w:rPr>
                <w:rFonts w:ascii="Arial" w:cs="Arial" w:eastAsia="Arial" w:hAnsi="Arial"/>
                <w:sz w:val="18"/>
                <w:szCs w:val="18"/>
                <w:b w:val="1"/>
                <w:bCs w:val="1"/>
                <w:color w:val="auto"/>
              </w:rPr>
              <w:t>SECTION 8.</w:t>
            </w:r>
          </w:p>
        </w:tc>
        <w:tc>
          <w:tcPr>
            <w:tcW w:w="7480" w:type="dxa"/>
            <w:vAlign w:val="bottom"/>
          </w:tcPr>
          <w:p>
            <w:pPr>
              <w:ind w:left="100"/>
              <w:spacing w:after="0"/>
              <w:rPr>
                <w:sz w:val="20"/>
                <w:szCs w:val="20"/>
                <w:color w:val="auto"/>
              </w:rPr>
            </w:pPr>
            <w:r>
              <w:rPr>
                <w:rFonts w:ascii="Arial" w:cs="Arial" w:eastAsia="Arial" w:hAnsi="Arial"/>
                <w:sz w:val="18"/>
                <w:szCs w:val="18"/>
                <w:color w:val="auto"/>
              </w:rPr>
              <w:t>MISCELLANEOUS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1080" w:type="dxa"/>
            <w:vAlign w:val="bottom"/>
          </w:tcPr>
          <w:p>
            <w:pPr>
              <w:ind w:left="360"/>
              <w:spacing w:after="0"/>
              <w:rPr>
                <w:sz w:val="20"/>
                <w:szCs w:val="20"/>
                <w:color w:val="auto"/>
              </w:rPr>
            </w:pPr>
            <w:r>
              <w:rPr>
                <w:rFonts w:ascii="Arial" w:cs="Arial" w:eastAsia="Arial" w:hAnsi="Arial"/>
                <w:sz w:val="18"/>
                <w:szCs w:val="18"/>
                <w:color w:val="auto"/>
              </w:rPr>
              <w:t>8.1</w:t>
            </w:r>
          </w:p>
        </w:tc>
        <w:tc>
          <w:tcPr>
            <w:tcW w:w="7480" w:type="dxa"/>
            <w:vAlign w:val="bottom"/>
          </w:tcPr>
          <w:p>
            <w:pPr>
              <w:ind w:left="100"/>
              <w:spacing w:after="0"/>
              <w:rPr>
                <w:sz w:val="20"/>
                <w:szCs w:val="20"/>
                <w:color w:val="auto"/>
              </w:rPr>
            </w:pPr>
            <w:r>
              <w:rPr>
                <w:rFonts w:ascii="Arial" w:cs="Arial" w:eastAsia="Arial" w:hAnsi="Arial"/>
                <w:sz w:val="18"/>
                <w:szCs w:val="18"/>
                <w:color w:val="auto"/>
              </w:rPr>
              <w:t>Non-Survival of 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8.2</w:t>
            </w:r>
          </w:p>
        </w:tc>
        <w:tc>
          <w:tcPr>
            <w:tcW w:w="7480" w:type="dxa"/>
            <w:vAlign w:val="bottom"/>
          </w:tcPr>
          <w:p>
            <w:pPr>
              <w:ind w:left="100"/>
              <w:spacing w:after="0"/>
              <w:rPr>
                <w:sz w:val="20"/>
                <w:szCs w:val="20"/>
                <w:color w:val="auto"/>
              </w:rPr>
            </w:pPr>
            <w:r>
              <w:rPr>
                <w:rFonts w:ascii="Arial" w:cs="Arial" w:eastAsia="Arial" w:hAnsi="Arial"/>
                <w:sz w:val="18"/>
                <w:szCs w:val="18"/>
                <w:color w:val="auto"/>
              </w:rPr>
              <w:t>Amendment</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8.3</w:t>
            </w:r>
          </w:p>
        </w:tc>
        <w:tc>
          <w:tcPr>
            <w:tcW w:w="7480" w:type="dxa"/>
            <w:vAlign w:val="bottom"/>
          </w:tcPr>
          <w:p>
            <w:pPr>
              <w:ind w:left="100"/>
              <w:spacing w:after="0"/>
              <w:rPr>
                <w:sz w:val="20"/>
                <w:szCs w:val="20"/>
                <w:color w:val="auto"/>
              </w:rPr>
            </w:pPr>
            <w:r>
              <w:rPr>
                <w:rFonts w:ascii="Arial" w:cs="Arial" w:eastAsia="Arial" w:hAnsi="Arial"/>
                <w:sz w:val="18"/>
                <w:szCs w:val="18"/>
                <w:color w:val="auto"/>
              </w:rPr>
              <w:t>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8.4</w:t>
            </w:r>
          </w:p>
        </w:tc>
        <w:tc>
          <w:tcPr>
            <w:tcW w:w="7480" w:type="dxa"/>
            <w:vAlign w:val="bottom"/>
          </w:tcPr>
          <w:p>
            <w:pPr>
              <w:ind w:left="100"/>
              <w:spacing w:after="0"/>
              <w:rPr>
                <w:sz w:val="20"/>
                <w:szCs w:val="20"/>
                <w:color w:val="auto"/>
              </w:rPr>
            </w:pPr>
            <w:r>
              <w:rPr>
                <w:rFonts w:ascii="Arial" w:cs="Arial" w:eastAsia="Arial" w:hAnsi="Arial"/>
                <w:sz w:val="18"/>
                <w:szCs w:val="18"/>
                <w:color w:val="auto"/>
              </w:rPr>
              <w:t>Entire Agreement; Counterparts; Exchanges by Electronic Transmission</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8.5</w:t>
            </w:r>
          </w:p>
        </w:tc>
        <w:tc>
          <w:tcPr>
            <w:tcW w:w="7480" w:type="dxa"/>
            <w:vAlign w:val="bottom"/>
          </w:tcPr>
          <w:p>
            <w:pPr>
              <w:ind w:left="100"/>
              <w:spacing w:after="0"/>
              <w:rPr>
                <w:sz w:val="20"/>
                <w:szCs w:val="20"/>
                <w:color w:val="auto"/>
              </w:rPr>
            </w:pPr>
            <w:r>
              <w:rPr>
                <w:rFonts w:ascii="Arial" w:cs="Arial" w:eastAsia="Arial" w:hAnsi="Arial"/>
                <w:sz w:val="18"/>
                <w:szCs w:val="18"/>
                <w:color w:val="auto"/>
              </w:rPr>
              <w:t>Applicable Law; Jurisdiction</w:t>
            </w:r>
          </w:p>
        </w:tc>
        <w:tc>
          <w:tcPr>
            <w:tcW w:w="2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8.6</w:t>
            </w:r>
          </w:p>
        </w:tc>
        <w:tc>
          <w:tcPr>
            <w:tcW w:w="7480" w:type="dxa"/>
            <w:vAlign w:val="bottom"/>
          </w:tcPr>
          <w:p>
            <w:pPr>
              <w:ind w:left="100"/>
              <w:spacing w:after="0"/>
              <w:rPr>
                <w:sz w:val="20"/>
                <w:szCs w:val="20"/>
                <w:color w:val="auto"/>
              </w:rPr>
            </w:pPr>
            <w:r>
              <w:rPr>
                <w:rFonts w:ascii="Arial" w:cs="Arial" w:eastAsia="Arial" w:hAnsi="Arial"/>
                <w:sz w:val="18"/>
                <w:szCs w:val="18"/>
                <w:color w:val="auto"/>
              </w:rPr>
              <w:t>Attorneys’ Fees</w:t>
            </w:r>
          </w:p>
        </w:tc>
        <w:tc>
          <w:tcPr>
            <w:tcW w:w="24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8.7</w:t>
            </w:r>
          </w:p>
        </w:tc>
        <w:tc>
          <w:tcPr>
            <w:tcW w:w="7480" w:type="dxa"/>
            <w:vAlign w:val="bottom"/>
          </w:tcPr>
          <w:p>
            <w:pPr>
              <w:ind w:left="100"/>
              <w:spacing w:after="0"/>
              <w:rPr>
                <w:sz w:val="20"/>
                <w:szCs w:val="20"/>
                <w:color w:val="auto"/>
              </w:rPr>
            </w:pPr>
            <w:r>
              <w:rPr>
                <w:rFonts w:ascii="Arial" w:cs="Arial" w:eastAsia="Arial" w:hAnsi="Arial"/>
                <w:sz w:val="18"/>
                <w:szCs w:val="18"/>
                <w:color w:val="auto"/>
              </w:rPr>
              <w:t>Assignability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8.8</w:t>
            </w:r>
          </w:p>
        </w:tc>
        <w:tc>
          <w:tcPr>
            <w:tcW w:w="7480" w:type="dxa"/>
            <w:vAlign w:val="bottom"/>
          </w:tcPr>
          <w:p>
            <w:pPr>
              <w:ind w:left="10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8.9</w:t>
            </w:r>
          </w:p>
        </w:tc>
        <w:tc>
          <w:tcPr>
            <w:tcW w:w="7480" w:type="dxa"/>
            <w:vAlign w:val="bottom"/>
          </w:tcPr>
          <w:p>
            <w:pPr>
              <w:ind w:left="100"/>
              <w:spacing w:after="0"/>
              <w:rPr>
                <w:sz w:val="20"/>
                <w:szCs w:val="20"/>
                <w:color w:val="auto"/>
              </w:rPr>
            </w:pPr>
            <w:r>
              <w:rPr>
                <w:rFonts w:ascii="Arial" w:cs="Arial" w:eastAsia="Arial" w:hAnsi="Arial"/>
                <w:sz w:val="18"/>
                <w:szCs w:val="18"/>
                <w:color w:val="auto"/>
              </w:rPr>
              <w:t>Cooperation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8.10</w:t>
            </w:r>
          </w:p>
        </w:tc>
        <w:tc>
          <w:tcPr>
            <w:tcW w:w="74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8.11</w:t>
            </w:r>
          </w:p>
        </w:tc>
        <w:tc>
          <w:tcPr>
            <w:tcW w:w="7480" w:type="dxa"/>
            <w:vAlign w:val="bottom"/>
          </w:tcPr>
          <w:p>
            <w:pPr>
              <w:ind w:left="100"/>
              <w:spacing w:after="0"/>
              <w:rPr>
                <w:sz w:val="20"/>
                <w:szCs w:val="20"/>
                <w:color w:val="auto"/>
              </w:rPr>
            </w:pPr>
            <w:r>
              <w:rPr>
                <w:rFonts w:ascii="Arial" w:cs="Arial" w:eastAsia="Arial" w:hAnsi="Arial"/>
                <w:sz w:val="18"/>
                <w:szCs w:val="18"/>
                <w:color w:val="auto"/>
              </w:rPr>
              <w:t>Other Remedies; Specific Performance</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8.12</w:t>
            </w:r>
          </w:p>
        </w:tc>
        <w:tc>
          <w:tcPr>
            <w:tcW w:w="7480" w:type="dxa"/>
            <w:vAlign w:val="bottom"/>
          </w:tcPr>
          <w:p>
            <w:pPr>
              <w:ind w:left="100"/>
              <w:spacing w:after="0"/>
              <w:rPr>
                <w:sz w:val="20"/>
                <w:szCs w:val="20"/>
                <w:color w:val="auto"/>
              </w:rPr>
            </w:pPr>
            <w:r>
              <w:rPr>
                <w:rFonts w:ascii="Arial" w:cs="Arial" w:eastAsia="Arial" w:hAnsi="Arial"/>
                <w:sz w:val="18"/>
                <w:szCs w:val="18"/>
                <w:color w:val="auto"/>
              </w:rPr>
              <w:t>No Third-Party Beneficiaries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80" w:type="dxa"/>
            <w:vAlign w:val="bottom"/>
          </w:tcPr>
          <w:p>
            <w:pPr>
              <w:ind w:left="360"/>
              <w:spacing w:after="0"/>
              <w:rPr>
                <w:sz w:val="20"/>
                <w:szCs w:val="20"/>
                <w:color w:val="auto"/>
              </w:rPr>
            </w:pPr>
            <w:r>
              <w:rPr>
                <w:rFonts w:ascii="Arial" w:cs="Arial" w:eastAsia="Arial" w:hAnsi="Arial"/>
                <w:sz w:val="18"/>
                <w:szCs w:val="18"/>
                <w:color w:val="auto"/>
              </w:rPr>
              <w:t>8.13</w:t>
            </w:r>
          </w:p>
        </w:tc>
        <w:tc>
          <w:tcPr>
            <w:tcW w:w="748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2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080" w:type="dxa"/>
            <w:vAlign w:val="bottom"/>
          </w:tcPr>
          <w:p>
            <w:pPr>
              <w:ind w:left="360"/>
              <w:spacing w:after="0"/>
              <w:rPr>
                <w:sz w:val="20"/>
                <w:szCs w:val="20"/>
                <w:color w:val="auto"/>
              </w:rPr>
            </w:pPr>
            <w:r>
              <w:rPr>
                <w:rFonts w:ascii="Arial" w:cs="Arial" w:eastAsia="Arial" w:hAnsi="Arial"/>
                <w:sz w:val="18"/>
                <w:szCs w:val="18"/>
                <w:color w:val="auto"/>
              </w:rPr>
              <w:t>8.14</w:t>
            </w:r>
          </w:p>
        </w:tc>
        <w:tc>
          <w:tcPr>
            <w:tcW w:w="7480" w:type="dxa"/>
            <w:vAlign w:val="bottom"/>
          </w:tcPr>
          <w:p>
            <w:pPr>
              <w:ind w:left="100"/>
              <w:spacing w:after="0"/>
              <w:rPr>
                <w:sz w:val="20"/>
                <w:szCs w:val="20"/>
                <w:color w:val="auto"/>
              </w:rPr>
            </w:pPr>
            <w:r>
              <w:rPr>
                <w:rFonts w:ascii="Arial" w:cs="Arial" w:eastAsia="Arial" w:hAnsi="Arial"/>
                <w:sz w:val="18"/>
                <w:szCs w:val="18"/>
                <w:color w:val="auto"/>
              </w:rPr>
              <w:t>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6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Exhibit A</w:t>
            </w:r>
          </w:p>
        </w:tc>
        <w:tc>
          <w:tcPr>
            <w:tcW w:w="624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3800" w:type="dxa"/>
            <w:vAlign w:val="bottom"/>
          </w:tcPr>
          <w:p>
            <w:pPr>
              <w:ind w:left="3520"/>
              <w:spacing w:after="0"/>
              <w:rPr>
                <w:sz w:val="20"/>
                <w:szCs w:val="20"/>
                <w:color w:val="auto"/>
              </w:rPr>
            </w:pPr>
            <w:r>
              <w:rPr>
                <w:rFonts w:ascii="Arial" w:cs="Arial" w:eastAsia="Arial" w:hAnsi="Arial"/>
                <w:sz w:val="18"/>
                <w:szCs w:val="18"/>
                <w:color w:val="auto"/>
                <w:w w:val="92"/>
              </w:rPr>
              <w:t>A-1</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Exhibit B</w:t>
            </w:r>
          </w:p>
        </w:tc>
        <w:tc>
          <w:tcPr>
            <w:tcW w:w="6240" w:type="dxa"/>
            <w:vAlign w:val="bottom"/>
          </w:tcPr>
          <w:p>
            <w:pPr>
              <w:ind w:left="180"/>
              <w:spacing w:after="0"/>
              <w:rPr>
                <w:sz w:val="20"/>
                <w:szCs w:val="20"/>
                <w:color w:val="auto"/>
              </w:rPr>
            </w:pPr>
            <w:r>
              <w:rPr>
                <w:rFonts w:ascii="Arial" w:cs="Arial" w:eastAsia="Arial" w:hAnsi="Arial"/>
                <w:sz w:val="18"/>
                <w:szCs w:val="18"/>
                <w:color w:val="auto"/>
              </w:rPr>
              <w:t>Form of Lock-Up Agreement</w:t>
            </w:r>
          </w:p>
        </w:tc>
        <w:tc>
          <w:tcPr>
            <w:tcW w:w="3800" w:type="dxa"/>
            <w:vAlign w:val="bottom"/>
          </w:tcPr>
          <w:p>
            <w:pPr>
              <w:ind w:left="3520"/>
              <w:spacing w:after="0"/>
              <w:rPr>
                <w:sz w:val="20"/>
                <w:szCs w:val="20"/>
                <w:color w:val="auto"/>
              </w:rPr>
            </w:pPr>
            <w:r>
              <w:rPr>
                <w:rFonts w:ascii="Arial" w:cs="Arial" w:eastAsia="Arial" w:hAnsi="Arial"/>
                <w:sz w:val="18"/>
                <w:szCs w:val="18"/>
                <w:color w:val="auto"/>
                <w:w w:val="92"/>
              </w:rPr>
              <w:t>B-1</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Exhibit C</w:t>
            </w:r>
          </w:p>
        </w:tc>
        <w:tc>
          <w:tcPr>
            <w:tcW w:w="6240" w:type="dxa"/>
            <w:vAlign w:val="bottom"/>
          </w:tcPr>
          <w:p>
            <w:pPr>
              <w:ind w:left="180"/>
              <w:spacing w:after="0"/>
              <w:rPr>
                <w:sz w:val="20"/>
                <w:szCs w:val="20"/>
                <w:color w:val="auto"/>
              </w:rPr>
            </w:pPr>
            <w:r>
              <w:rPr>
                <w:rFonts w:ascii="Arial" w:cs="Arial" w:eastAsia="Arial" w:hAnsi="Arial"/>
                <w:sz w:val="18"/>
                <w:szCs w:val="18"/>
                <w:color w:val="auto"/>
              </w:rPr>
              <w:t>Form of Certificate of Designation</w:t>
            </w:r>
          </w:p>
        </w:tc>
        <w:tc>
          <w:tcPr>
            <w:tcW w:w="3800" w:type="dxa"/>
            <w:vAlign w:val="bottom"/>
          </w:tcPr>
          <w:p>
            <w:pPr>
              <w:ind w:left="3520"/>
              <w:spacing w:after="0"/>
              <w:rPr>
                <w:sz w:val="20"/>
                <w:szCs w:val="20"/>
                <w:color w:val="auto"/>
              </w:rPr>
            </w:pPr>
            <w:r>
              <w:rPr>
                <w:rFonts w:ascii="Arial" w:cs="Arial" w:eastAsia="Arial" w:hAnsi="Arial"/>
                <w:sz w:val="18"/>
                <w:szCs w:val="18"/>
                <w:color w:val="auto"/>
                <w:w w:val="89"/>
              </w:rPr>
              <w:t>C-1</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Exhibit D</w:t>
            </w:r>
          </w:p>
        </w:tc>
        <w:tc>
          <w:tcPr>
            <w:tcW w:w="6240" w:type="dxa"/>
            <w:vAlign w:val="bottom"/>
          </w:tcPr>
          <w:p>
            <w:pPr>
              <w:ind w:left="180"/>
              <w:spacing w:after="0"/>
              <w:rPr>
                <w:sz w:val="20"/>
                <w:szCs w:val="20"/>
                <w:color w:val="auto"/>
              </w:rPr>
            </w:pPr>
            <w:r>
              <w:rPr>
                <w:rFonts w:ascii="Arial" w:cs="Arial" w:eastAsia="Arial" w:hAnsi="Arial"/>
                <w:sz w:val="18"/>
                <w:szCs w:val="18"/>
                <w:color w:val="auto"/>
              </w:rPr>
              <w:t>Form of CVR Agreement</w:t>
            </w:r>
          </w:p>
        </w:tc>
        <w:tc>
          <w:tcPr>
            <w:tcW w:w="3800" w:type="dxa"/>
            <w:vAlign w:val="bottom"/>
          </w:tcPr>
          <w:p>
            <w:pPr>
              <w:ind w:left="3520"/>
              <w:spacing w:after="0"/>
              <w:rPr>
                <w:sz w:val="20"/>
                <w:szCs w:val="20"/>
                <w:color w:val="auto"/>
              </w:rPr>
            </w:pPr>
            <w:r>
              <w:rPr>
                <w:rFonts w:ascii="Arial" w:cs="Arial" w:eastAsia="Arial" w:hAnsi="Arial"/>
                <w:sz w:val="18"/>
                <w:szCs w:val="18"/>
                <w:color w:val="auto"/>
                <w:w w:val="89"/>
              </w:rPr>
              <w:t>D-1</w:t>
            </w: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Exhibit E</w:t>
            </w:r>
          </w:p>
        </w:tc>
        <w:tc>
          <w:tcPr>
            <w:tcW w:w="6240" w:type="dxa"/>
            <w:vAlign w:val="bottom"/>
          </w:tcPr>
          <w:p>
            <w:pPr>
              <w:ind w:left="180"/>
              <w:spacing w:after="0"/>
              <w:rPr>
                <w:sz w:val="20"/>
                <w:szCs w:val="20"/>
                <w:color w:val="auto"/>
              </w:rPr>
            </w:pPr>
            <w:r>
              <w:rPr>
                <w:rFonts w:ascii="Arial" w:cs="Arial" w:eastAsia="Arial" w:hAnsi="Arial"/>
                <w:sz w:val="18"/>
                <w:szCs w:val="18"/>
                <w:color w:val="auto"/>
              </w:rPr>
              <w:t>Form of Parent Support Agreement</w:t>
            </w:r>
          </w:p>
        </w:tc>
        <w:tc>
          <w:tcPr>
            <w:tcW w:w="3800" w:type="dxa"/>
            <w:vAlign w:val="bottom"/>
          </w:tcPr>
          <w:p>
            <w:pPr>
              <w:ind w:left="3520"/>
              <w:spacing w:after="0"/>
              <w:rPr>
                <w:sz w:val="20"/>
                <w:szCs w:val="20"/>
                <w:color w:val="auto"/>
              </w:rPr>
            </w:pPr>
            <w:r>
              <w:rPr>
                <w:rFonts w:ascii="Arial" w:cs="Arial" w:eastAsia="Arial" w:hAnsi="Arial"/>
                <w:sz w:val="18"/>
                <w:szCs w:val="18"/>
                <w:color w:val="auto"/>
                <w:w w:val="92"/>
              </w:rPr>
              <w:t>E-1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40"/>
          </w:cols>
          <w:pgMar w:left="440" w:top="270" w:right="519" w:bottom="1440" w:gutter="0" w:footer="0" w:header="0"/>
        </w:sectPr>
      </w:pPr>
    </w:p>
    <w:bookmarkStart w:id="214" w:name="page215"/>
    <w:bookmarkEnd w:id="21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5" w:lineRule="exact"/>
        <w:rPr>
          <w:sz w:val="20"/>
          <w:szCs w:val="20"/>
          <w:color w:val="auto"/>
        </w:rPr>
      </w:pPr>
    </w:p>
    <w:p>
      <w:pPr>
        <w:ind w:left="4" w:right="20" w:firstLine="991"/>
        <w:spacing w:after="0" w:line="258" w:lineRule="auto"/>
        <w:rPr>
          <w:sz w:val="20"/>
          <w:szCs w:val="20"/>
          <w:color w:val="auto"/>
        </w:rPr>
      </w:pPr>
      <w:r>
        <w:rPr>
          <w:rFonts w:ascii="Arial" w:cs="Arial" w:eastAsia="Arial" w:hAnsi="Arial"/>
          <w:sz w:val="18"/>
          <w:szCs w:val="18"/>
          <w:color w:val="auto"/>
        </w:rPr>
        <w:t xml:space="preserve">THIS AGREEMENT AND PLAN OF MERGER is made and entered into as of June 22, 2023, by and among </w:t>
      </w:r>
      <w:r>
        <w:rPr>
          <w:rFonts w:ascii="Arial" w:cs="Arial" w:eastAsia="Arial" w:hAnsi="Arial"/>
          <w:sz w:val="18"/>
          <w:szCs w:val="18"/>
          <w:b w:val="1"/>
          <w:bCs w:val="1"/>
          <w:color w:val="auto"/>
        </w:rPr>
        <w:t>AEGLEA</w:t>
      </w:r>
      <w:r>
        <w:rPr>
          <w:rFonts w:ascii="Arial" w:cs="Arial" w:eastAsia="Arial" w:hAnsi="Arial"/>
          <w:sz w:val="18"/>
          <w:szCs w:val="18"/>
          <w:color w:val="auto"/>
        </w:rPr>
        <w:t xml:space="preserve"> </w:t>
      </w:r>
      <w:r>
        <w:rPr>
          <w:rFonts w:ascii="Arial" w:cs="Arial" w:eastAsia="Arial" w:hAnsi="Arial"/>
          <w:sz w:val="18"/>
          <w:szCs w:val="18"/>
          <w:b w:val="1"/>
          <w:bCs w:val="1"/>
          <w:color w:val="auto"/>
        </w:rPr>
        <w:t>BIOTHERAPEUTICS,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w:t>
      </w:r>
      <w:r>
        <w:rPr>
          <w:rFonts w:ascii="Arial" w:cs="Arial" w:eastAsia="Arial" w:hAnsi="Arial"/>
          <w:sz w:val="18"/>
          <w:szCs w:val="18"/>
          <w:b w:val="1"/>
          <w:bCs w:val="1"/>
          <w:color w:val="auto"/>
        </w:rPr>
        <w:t xml:space="preserve"> ASPEN MERGER SUB I, INC.</w:t>
      </w:r>
      <w:r>
        <w:rPr>
          <w:rFonts w:ascii="Arial" w:cs="Arial" w:eastAsia="Arial" w:hAnsi="Arial"/>
          <w:sz w:val="18"/>
          <w:szCs w:val="18"/>
          <w:color w:val="auto"/>
        </w:rPr>
        <w:t>, a Delaware corporation and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Parent (“</w:t>
      </w:r>
      <w:r>
        <w:rPr>
          <w:rFonts w:ascii="Arial" w:cs="Arial" w:eastAsia="Arial" w:hAnsi="Arial"/>
          <w:sz w:val="18"/>
          <w:szCs w:val="18"/>
          <w:b w:val="1"/>
          <w:bCs w:val="1"/>
          <w:i w:val="1"/>
          <w:iCs w:val="1"/>
          <w:color w:val="auto"/>
        </w:rPr>
        <w:t>First Merger Sub</w:t>
      </w:r>
      <w:r>
        <w:rPr>
          <w:rFonts w:ascii="Arial" w:cs="Arial" w:eastAsia="Arial" w:hAnsi="Arial"/>
          <w:sz w:val="18"/>
          <w:szCs w:val="18"/>
          <w:color w:val="auto"/>
        </w:rPr>
        <w:t xml:space="preserve">”), </w:t>
      </w:r>
      <w:r>
        <w:rPr>
          <w:rFonts w:ascii="Arial" w:cs="Arial" w:eastAsia="Arial" w:hAnsi="Arial"/>
          <w:sz w:val="18"/>
          <w:szCs w:val="18"/>
          <w:b w:val="1"/>
          <w:bCs w:val="1"/>
          <w:color w:val="auto"/>
        </w:rPr>
        <w:t>SEQUOIA MERGER SUB II, LLC</w:t>
      </w:r>
      <w:r>
        <w:rPr>
          <w:rFonts w:ascii="Arial" w:cs="Arial" w:eastAsia="Arial" w:hAnsi="Arial"/>
          <w:sz w:val="18"/>
          <w:szCs w:val="18"/>
          <w:color w:val="auto"/>
        </w:rPr>
        <w:t>, a Delaware limited liability company and wholly owned subsidiary of Parent (“</w:t>
      </w:r>
      <w:r>
        <w:rPr>
          <w:rFonts w:ascii="Arial" w:cs="Arial" w:eastAsia="Arial" w:hAnsi="Arial"/>
          <w:sz w:val="18"/>
          <w:szCs w:val="18"/>
          <w:b w:val="1"/>
          <w:bCs w:val="1"/>
          <w:i w:val="1"/>
          <w:iCs w:val="1"/>
          <w:color w:val="auto"/>
        </w:rPr>
        <w:t>Second Merger Sub</w:t>
      </w:r>
      <w:r>
        <w:rPr>
          <w:rFonts w:ascii="Arial" w:cs="Arial" w:eastAsia="Arial" w:hAnsi="Arial"/>
          <w:sz w:val="18"/>
          <w:szCs w:val="18"/>
          <w:color w:val="auto"/>
        </w:rPr>
        <w:t>” and together with First Merger Sub, “</w:t>
      </w:r>
      <w:r>
        <w:rPr>
          <w:rFonts w:ascii="Arial" w:cs="Arial" w:eastAsia="Arial" w:hAnsi="Arial"/>
          <w:sz w:val="18"/>
          <w:szCs w:val="18"/>
          <w:b w:val="1"/>
          <w:bCs w:val="1"/>
          <w:i w:val="1"/>
          <w:iCs w:val="1"/>
          <w:color w:val="auto"/>
        </w:rPr>
        <w:t>Merger Subs</w:t>
      </w:r>
      <w:r>
        <w:rPr>
          <w:rFonts w:ascii="Arial" w:cs="Arial" w:eastAsia="Arial" w:hAnsi="Arial"/>
          <w:sz w:val="18"/>
          <w:szCs w:val="18"/>
          <w:color w:val="auto"/>
        </w:rPr>
        <w:t xml:space="preserve">”), and </w:t>
      </w:r>
      <w:r>
        <w:rPr>
          <w:rFonts w:ascii="Arial" w:cs="Arial" w:eastAsia="Arial" w:hAnsi="Arial"/>
          <w:sz w:val="18"/>
          <w:szCs w:val="18"/>
          <w:b w:val="1"/>
          <w:bCs w:val="1"/>
          <w:color w:val="auto"/>
        </w:rPr>
        <w:t>SPYRE THERAPEUTICS,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A. Parent and the Company desire to enter into a business combination as contemplated by this Agreement based on the mutually agreed values of each Parent and the Company, and following the Closing, the aggregate percentage ownership will be based upon an agreed valuation for the Company of $110 million and an agreed valuation for Parent of $35 million, assuming certain minimum cash of Target at the Closing.</w:t>
      </w:r>
    </w:p>
    <w:p>
      <w:pPr>
        <w:spacing w:after="0" w:line="165"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B. Parent and the Company intend to effect a merger of First Merger Sub with and into the Company (the “</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in accordance with this Agreement and the DGCL. Upon consummation of the First Merger, First Merger Sub will cease to exist and the Company will become a wholly owned subsidiary of Parent.</w:t>
      </w:r>
    </w:p>
    <w:p>
      <w:pPr>
        <w:spacing w:after="0" w:line="18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C. Immediately following the First Merger and as part of the same overall transaction as the First Merger, the Company will merge with and into Second Merger Sub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Second Merger Sub being the surviving entity of the Second Merger;</w:t>
      </w:r>
    </w:p>
    <w:p>
      <w:pPr>
        <w:spacing w:after="0" w:line="184" w:lineRule="exact"/>
        <w:rPr>
          <w:sz w:val="20"/>
          <w:szCs w:val="20"/>
          <w:color w:val="auto"/>
        </w:rPr>
      </w:pPr>
    </w:p>
    <w:p>
      <w:pPr>
        <w:ind w:left="4" w:right="220" w:firstLine="440"/>
        <w:spacing w:after="0" w:line="311" w:lineRule="auto"/>
        <w:rPr>
          <w:sz w:val="20"/>
          <w:szCs w:val="20"/>
          <w:color w:val="auto"/>
        </w:rPr>
      </w:pPr>
      <w:r>
        <w:rPr>
          <w:rFonts w:ascii="Arial" w:cs="Arial" w:eastAsia="Arial" w:hAnsi="Arial"/>
          <w:sz w:val="16"/>
          <w:szCs w:val="16"/>
          <w:color w:val="auto"/>
        </w:rPr>
        <w:t>D.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w:t>
      </w:r>
    </w:p>
    <w:p>
      <w:pPr>
        <w:spacing w:after="0" w:line="149"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E. The Parent Board has (i) determined that the Contemplated Transactions are fair to, advisable and in the best interests of Parent and its stockholders, (ii) approved and declared advisable this Agreement and the Contemplated Transactions, including the issuance of the Parent Common Stock Payment Shares and the Parent Preferred Stock Payment Shares to the stockholders of the Company pursuant to the terms of this Agreement, and</w:t>
      </w:r>
    </w:p>
    <w:p>
      <w:pPr>
        <w:spacing w:after="0" w:line="2" w:lineRule="exact"/>
        <w:rPr>
          <w:sz w:val="20"/>
          <w:szCs w:val="20"/>
          <w:color w:val="auto"/>
        </w:rPr>
      </w:pPr>
    </w:p>
    <w:p>
      <w:pPr>
        <w:ind w:left="4" w:right="480" w:hanging="4"/>
        <w:spacing w:after="0" w:line="260" w:lineRule="auto"/>
        <w:tabs>
          <w:tab w:leader="none" w:pos="319"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stockholders of the Parent vote to approve the Parent Stockholder Matters at the Parent Stockholders’ Meeting to be convened following the Closing.</w:t>
      </w:r>
    </w:p>
    <w:p>
      <w:pPr>
        <w:spacing w:after="0" w:line="185" w:lineRule="exact"/>
        <w:rPr>
          <w:rFonts w:ascii="Arial" w:cs="Arial" w:eastAsia="Arial" w:hAnsi="Arial"/>
          <w:sz w:val="18"/>
          <w:szCs w:val="18"/>
          <w:color w:val="auto"/>
        </w:rPr>
      </w:pPr>
    </w:p>
    <w:p>
      <w:pPr>
        <w:ind w:left="4" w:right="320" w:firstLine="436"/>
        <w:spacing w:after="0" w:line="259" w:lineRule="auto"/>
        <w:tabs>
          <w:tab w:leader="none" w:pos="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215" w:name="page216"/>
    <w:bookmarkEnd w:id="215"/>
    <w:p>
      <w:pPr>
        <w:ind w:left="4" w:right="5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The sole member of the Second Merger Sub has (i) determined that the Contemplated Transactions are fair to, advisable, and in the best interests of Second Merger Sub and its sole member, (ii) approved and declared advisable this Agreement and the Contemplated Transactions and</w:t>
      </w:r>
    </w:p>
    <w:p>
      <w:pPr>
        <w:ind w:left="4" w:right="300" w:hanging="4"/>
        <w:spacing w:after="0" w:line="260" w:lineRule="auto"/>
        <w:tabs>
          <w:tab w:leader="none" w:pos="3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sole member of Second Merger Sub votes to adopt this Agreement and thereby approve the Contemplated Transactions.</w:t>
      </w:r>
    </w:p>
    <w:p>
      <w:pPr>
        <w:spacing w:after="0" w:line="185" w:lineRule="exact"/>
        <w:rPr>
          <w:rFonts w:ascii="Arial" w:cs="Arial" w:eastAsia="Arial" w:hAnsi="Arial"/>
          <w:sz w:val="18"/>
          <w:szCs w:val="18"/>
          <w:color w:val="auto"/>
        </w:rPr>
      </w:pPr>
    </w:p>
    <w:p>
      <w:pPr>
        <w:ind w:left="4" w:right="140" w:firstLine="436"/>
        <w:spacing w:after="0" w:line="259" w:lineRule="auto"/>
        <w:tabs>
          <w:tab w:leader="none" w:pos="66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 Board has (i) determined that the Contemplated Transactions are fair to, advisable and in the best interests of the Company and its stockholders, (ii) approved and declared advisable this Agreement and the Contemplated Transactions and (iii) recommended, upon the terms and subject to the conditions set forth in this Agreement, that the stockholders of the Company vote to approve the Company Stockholder Matters (the “</w:t>
      </w:r>
      <w:r>
        <w:rPr>
          <w:rFonts w:ascii="Arial" w:cs="Arial" w:eastAsia="Arial" w:hAnsi="Arial"/>
          <w:sz w:val="18"/>
          <w:szCs w:val="18"/>
          <w:b w:val="1"/>
          <w:bCs w:val="1"/>
          <w:i w:val="1"/>
          <w:iCs w:val="1"/>
          <w:color w:val="auto"/>
        </w:rPr>
        <w:t>Board Approval</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firstLine="436"/>
        <w:spacing w:after="0" w:line="290" w:lineRule="auto"/>
        <w:tabs>
          <w:tab w:leader="none" w:pos="594" w:val="left"/>
        </w:tabs>
        <w:numPr>
          <w:ilvl w:val="1"/>
          <w:numId w:val="86"/>
        </w:numPr>
        <w:rPr>
          <w:rFonts w:ascii="Arial" w:cs="Arial" w:eastAsia="Arial" w:hAnsi="Arial"/>
          <w:sz w:val="16"/>
          <w:szCs w:val="16"/>
          <w:color w:val="auto"/>
        </w:rPr>
      </w:pPr>
      <w:r>
        <w:rPr>
          <w:rFonts w:ascii="Arial" w:cs="Arial" w:eastAsia="Arial" w:hAnsi="Arial"/>
          <w:sz w:val="16"/>
          <w:szCs w:val="16"/>
          <w:color w:val="auto"/>
        </w:rPr>
        <w:t>Subsequent to the Board Approval, but prior to the execution and delivery of this Agreement, the requisite Company stockholders by written consent and in accordance with the Company’s certificate of incorporation, the Company’s bylaws and the DGCL (i) approved and adopted this Agreement and the Contemplated Transactions, (ii) acknowledged that the approval given thereby is irrevocable and that such stockholder is aware of its rights to demand appraisal for its shares pursuant to Section 262 of the DGCL, a true and correct copy of which was attached thereto, and that such stockholder has received and read a copy of Section 262 of the DGCL, and (iii) acknowledged that by its approval of the Merger it is not entitled to appraisal rights with respect to its shares in connection with the Merger and thereby waives any rights to receive payment of the fair value of its capital stock under the DGCL (such matters, the “</w:t>
      </w:r>
      <w:r>
        <w:rPr>
          <w:rFonts w:ascii="Arial" w:cs="Arial" w:eastAsia="Arial" w:hAnsi="Arial"/>
          <w:sz w:val="16"/>
          <w:szCs w:val="16"/>
          <w:b w:val="1"/>
          <w:bCs w:val="1"/>
          <w:i w:val="1"/>
          <w:iCs w:val="1"/>
          <w:color w:val="auto"/>
        </w:rPr>
        <w:t>Company Stockholder Matters</w:t>
      </w:r>
      <w:r>
        <w:rPr>
          <w:rFonts w:ascii="Arial" w:cs="Arial" w:eastAsia="Arial" w:hAnsi="Arial"/>
          <w:sz w:val="16"/>
          <w:szCs w:val="16"/>
          <w:color w:val="auto"/>
        </w:rPr>
        <w:t>” and the consent, the “</w:t>
      </w:r>
      <w:r>
        <w:rPr>
          <w:rFonts w:ascii="Arial" w:cs="Arial" w:eastAsia="Arial" w:hAnsi="Arial"/>
          <w:sz w:val="16"/>
          <w:szCs w:val="16"/>
          <w:b w:val="1"/>
          <w:bCs w:val="1"/>
          <w:i w:val="1"/>
          <w:iCs w:val="1"/>
          <w:color w:val="auto"/>
        </w:rPr>
        <w:t>Stockholder Written Consent</w:t>
      </w:r>
      <w:r>
        <w:rPr>
          <w:rFonts w:ascii="Arial" w:cs="Arial" w:eastAsia="Arial" w:hAnsi="Arial"/>
          <w:sz w:val="16"/>
          <w:szCs w:val="16"/>
          <w:color w:val="auto"/>
        </w:rPr>
        <w:t>”), and the Stockholder Written Consent is to become effective by its terms immediately following the execution of this Agreement by the parties hereto.</w:t>
      </w:r>
    </w:p>
    <w:p>
      <w:pPr>
        <w:spacing w:after="0" w:line="165" w:lineRule="exact"/>
        <w:rPr>
          <w:rFonts w:ascii="Arial" w:cs="Arial" w:eastAsia="Arial" w:hAnsi="Arial"/>
          <w:sz w:val="16"/>
          <w:szCs w:val="16"/>
          <w:color w:val="auto"/>
        </w:rPr>
      </w:pPr>
    </w:p>
    <w:p>
      <w:pPr>
        <w:ind w:left="4" w:right="220" w:firstLine="436"/>
        <w:spacing w:after="0" w:line="275" w:lineRule="auto"/>
        <w:tabs>
          <w:tab w:leader="none" w:pos="604"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Concurrently with the execution and delivery of this Agreement and as a condition and inducement to each of Parent and the Company’s willingness to enter into this Agreement, all of the directors, all of the officers and the stockholders of Parent listed in </w:t>
      </w:r>
      <w:r>
        <w:rPr>
          <w:rFonts w:ascii="Arial" w:cs="Arial" w:eastAsia="Arial" w:hAnsi="Arial"/>
          <w:sz w:val="17"/>
          <w:szCs w:val="17"/>
          <w:u w:val="single" w:color="auto"/>
          <w:color w:val="auto"/>
        </w:rPr>
        <w:t>Section A-1</w:t>
      </w:r>
      <w:r>
        <w:rPr>
          <w:rFonts w:ascii="Arial" w:cs="Arial" w:eastAsia="Arial" w:hAnsi="Arial"/>
          <w:sz w:val="17"/>
          <w:szCs w:val="17"/>
          <w:color w:val="auto"/>
        </w:rPr>
        <w:t xml:space="preserve"> of the Parent Disclosure Schedule (solely in their capacity as stockholders of Parent) (the “</w:t>
      </w:r>
      <w:r>
        <w:rPr>
          <w:rFonts w:ascii="Arial" w:cs="Arial" w:eastAsia="Arial" w:hAnsi="Arial"/>
          <w:sz w:val="17"/>
          <w:szCs w:val="17"/>
          <w:b w:val="1"/>
          <w:bCs w:val="1"/>
          <w:i w:val="1"/>
          <w:iCs w:val="1"/>
          <w:color w:val="auto"/>
        </w:rPr>
        <w:t>Parent Signatories</w:t>
      </w:r>
      <w:r>
        <w:rPr>
          <w:rFonts w:ascii="Arial" w:cs="Arial" w:eastAsia="Arial" w:hAnsi="Arial"/>
          <w:sz w:val="17"/>
          <w:szCs w:val="17"/>
          <w:color w:val="auto"/>
        </w:rPr>
        <w:t xml:space="preserve">”) and the stockholders of the Company listed in </w:t>
      </w:r>
      <w:r>
        <w:rPr>
          <w:rFonts w:ascii="Arial" w:cs="Arial" w:eastAsia="Arial" w:hAnsi="Arial"/>
          <w:sz w:val="17"/>
          <w:szCs w:val="17"/>
          <w:u w:val="single" w:color="auto"/>
          <w:color w:val="auto"/>
        </w:rPr>
        <w:t>Section A</w:t>
      </w:r>
      <w:r>
        <w:rPr>
          <w:rFonts w:ascii="Arial" w:cs="Arial" w:eastAsia="Arial" w:hAnsi="Arial"/>
          <w:sz w:val="17"/>
          <w:szCs w:val="17"/>
          <w:color w:val="auto"/>
        </w:rPr>
        <w:t xml:space="preserve"> of the Company Disclosure Schedule (the “</w:t>
      </w:r>
      <w:r>
        <w:rPr>
          <w:rFonts w:ascii="Arial" w:cs="Arial" w:eastAsia="Arial" w:hAnsi="Arial"/>
          <w:sz w:val="17"/>
          <w:szCs w:val="17"/>
          <w:b w:val="1"/>
          <w:bCs w:val="1"/>
          <w:i w:val="1"/>
          <w:iCs w:val="1"/>
          <w:color w:val="auto"/>
        </w:rPr>
        <w:t>Company Signatories</w:t>
      </w:r>
      <w:r>
        <w:rPr>
          <w:rFonts w:ascii="Arial" w:cs="Arial" w:eastAsia="Arial" w:hAnsi="Arial"/>
          <w:sz w:val="17"/>
          <w:szCs w:val="17"/>
          <w:color w:val="auto"/>
        </w:rPr>
        <w:t xml:space="preserve">”) (solely in their capacity as stockholders of the Company) are executing lock-up agreements in substantially the form attached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(each, a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4" w:right="180" w:firstLine="436"/>
        <w:spacing w:after="0" w:line="279" w:lineRule="auto"/>
        <w:tabs>
          <w:tab w:leader="none" w:pos="664" w:val="left"/>
        </w:tabs>
        <w:numPr>
          <w:ilvl w:val="1"/>
          <w:numId w:val="86"/>
        </w:numPr>
        <w:rPr>
          <w:rFonts w:ascii="Arial" w:cs="Arial" w:eastAsia="Arial" w:hAnsi="Arial"/>
          <w:sz w:val="17"/>
          <w:szCs w:val="17"/>
          <w:color w:val="auto"/>
        </w:rPr>
      </w:pPr>
      <w:r>
        <w:rPr>
          <w:rFonts w:ascii="Arial" w:cs="Arial" w:eastAsia="Arial" w:hAnsi="Arial"/>
          <w:sz w:val="17"/>
          <w:szCs w:val="17"/>
          <w:color w:val="auto"/>
        </w:rPr>
        <w:t>Concurrently with the execution and delivery of this Agreement, certain investors have executed a Securities Purchase Agreement among Parent and the Persons named therein (representing an aggregate commitment no less than the Concurrent Investment Amount of $150,000,000), pursuant to which such Persons will have agreed to purchase the number of shares of Parent Convertible Preferred Stock set forth therein concurrently with the Closing in connection with the Parent Financing (the “</w:t>
      </w:r>
      <w:r>
        <w:rPr>
          <w:rFonts w:ascii="Arial" w:cs="Arial" w:eastAsia="Arial" w:hAnsi="Arial"/>
          <w:sz w:val="17"/>
          <w:szCs w:val="17"/>
          <w:b w:val="1"/>
          <w:bCs w:val="1"/>
          <w:i w:val="1"/>
          <w:iCs w:val="1"/>
          <w:color w:val="auto"/>
        </w:rPr>
        <w:t>Securities Purchase Agreement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4" w:right="120" w:firstLine="436"/>
        <w:spacing w:after="0" w:line="257" w:lineRule="auto"/>
        <w:tabs>
          <w:tab w:leader="none" w:pos="644"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the Company’s willingness to enter into this Agreement, certain stockholders set forth on </w:t>
      </w:r>
      <w:r>
        <w:rPr>
          <w:rFonts w:ascii="Arial" w:cs="Arial" w:eastAsia="Arial" w:hAnsi="Arial"/>
          <w:sz w:val="18"/>
          <w:szCs w:val="18"/>
          <w:u w:val="single" w:color="auto"/>
          <w:color w:val="auto"/>
        </w:rPr>
        <w:t>Section A-2</w:t>
      </w:r>
      <w:r>
        <w:rPr>
          <w:rFonts w:ascii="Arial" w:cs="Arial" w:eastAsia="Arial" w:hAnsi="Arial"/>
          <w:sz w:val="18"/>
          <w:szCs w:val="18"/>
          <w:color w:val="auto"/>
        </w:rPr>
        <w:t xml:space="preserve"> of the Parent Disclosure Schedule (solely in their capacity as stockholders) are executing support agreements in favor of the Company in substantially the form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Parent Stockholder Support Agreement</w:t>
      </w:r>
      <w:r>
        <w:rPr>
          <w:rFonts w:ascii="Arial" w:cs="Arial" w:eastAsia="Arial" w:hAnsi="Arial"/>
          <w:sz w:val="18"/>
          <w:szCs w:val="18"/>
          <w:color w:val="auto"/>
        </w:rPr>
        <w:t>”), pursuant to which such Persons have, subject to the terms and conditions set forth therein, agreed to vote all of their shares of capital stock of Parent in favor of the Parent Stockholder Matters.</w:t>
      </w:r>
    </w:p>
    <w:p>
      <w:pPr>
        <w:spacing w:after="0" w:line="187" w:lineRule="exact"/>
        <w:rPr>
          <w:rFonts w:ascii="Arial" w:cs="Arial" w:eastAsia="Arial" w:hAnsi="Arial"/>
          <w:sz w:val="18"/>
          <w:szCs w:val="18"/>
          <w:color w:val="auto"/>
        </w:rPr>
      </w:pPr>
    </w:p>
    <w:p>
      <w:pPr>
        <w:ind w:left="4" w:right="320" w:firstLine="436"/>
        <w:spacing w:after="0" w:line="277" w:lineRule="auto"/>
        <w:tabs>
          <w:tab w:leader="none" w:pos="694" w:val="left"/>
        </w:tabs>
        <w:numPr>
          <w:ilvl w:val="1"/>
          <w:numId w:val="86"/>
        </w:numPr>
        <w:rPr>
          <w:rFonts w:ascii="Arial" w:cs="Arial" w:eastAsia="Arial" w:hAnsi="Arial"/>
          <w:sz w:val="18"/>
          <w:szCs w:val="18"/>
          <w:color w:val="auto"/>
        </w:rPr>
      </w:pPr>
      <w:r>
        <w:rPr>
          <w:rFonts w:ascii="Arial" w:cs="Arial" w:eastAsia="Arial" w:hAnsi="Arial"/>
          <w:sz w:val="18"/>
          <w:szCs w:val="18"/>
          <w:color w:val="auto"/>
        </w:rPr>
        <w:t>Immediately following the execution and delivery of this Agreement, but prior to the filing of the Certificate of Merger, Parent will file the Certificate of Designation with the office of the Secretary of State of the State of Delaware.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16" w:name="page217"/>
    <w:bookmarkEnd w:id="216"/>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DESCRIPTION OF TRANSACTION</w:t>
      </w:r>
    </w:p>
    <w:p>
      <w:pPr>
        <w:spacing w:after="0" w:line="117"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The Merger</w:t>
      </w:r>
      <w:r>
        <w:rPr>
          <w:rFonts w:ascii="Arial" w:cs="Arial" w:eastAsia="Arial" w:hAnsi="Arial"/>
          <w:sz w:val="18"/>
          <w:szCs w:val="18"/>
          <w:color w:val="auto"/>
        </w:rPr>
        <w:t>. Upon the terms and subject to the conditions set forth in this Agreement, at the First Effective Time, First Merger Sub shall be merged with and into the Company, and the separate existence of First Merger Sub shall cease. As a result of the First Merger, the Company will continue as the surviving corporation in the First Merger (the “</w:t>
      </w:r>
      <w:r>
        <w:rPr>
          <w:rFonts w:ascii="Arial" w:cs="Arial" w:eastAsia="Arial" w:hAnsi="Arial"/>
          <w:sz w:val="18"/>
          <w:szCs w:val="18"/>
          <w:b w:val="1"/>
          <w:bCs w:val="1"/>
          <w:i w:val="1"/>
          <w:iCs w:val="1"/>
          <w:color w:val="auto"/>
        </w:rPr>
        <w:t>First Step Surviving Corporation</w:t>
      </w:r>
      <w:r>
        <w:rPr>
          <w:rFonts w:ascii="Arial" w:cs="Arial" w:eastAsia="Arial" w:hAnsi="Arial"/>
          <w:sz w:val="18"/>
          <w:szCs w:val="18"/>
          <w:color w:val="auto"/>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w:t>
      </w:r>
    </w:p>
    <w:p>
      <w:pPr>
        <w:spacing w:after="0" w:line="187" w:lineRule="exact"/>
        <w:rPr>
          <w:sz w:val="20"/>
          <w:szCs w:val="20"/>
          <w:color w:val="auto"/>
        </w:rPr>
      </w:pPr>
    </w:p>
    <w:p>
      <w:pPr>
        <w:ind w:right="340" w:firstLine="991"/>
        <w:spacing w:after="0" w:line="281"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Effects of the Merger</w:t>
      </w:r>
      <w:r>
        <w:rPr>
          <w:rFonts w:ascii="Arial" w:cs="Arial" w:eastAsia="Arial" w:hAnsi="Arial"/>
          <w:sz w:val="17"/>
          <w:szCs w:val="17"/>
          <w:color w:val="auto"/>
        </w:rPr>
        <w:t>. At and after the First Effective Time, the First Merger shall have the effects set forth in this Agreement, the First Certificate of Merger and in the applicable provisions of the DGCL. As a result of the First Merger, the First Step Surviving Corporation will become a wholly owned subsidiary of Parent. At and after the Second Effective Time, the Second Merger shall have the effects set forth in this Agreement, the Second Certificate of Merger and in the applicable provisions of the DGCL and the DLLCA.</w:t>
      </w:r>
    </w:p>
    <w:p>
      <w:pPr>
        <w:spacing w:after="0" w:line="165"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Closing; First Effective Time; Second Effective Time</w:t>
      </w:r>
      <w:r>
        <w:rPr>
          <w:rFonts w:ascii="Arial" w:cs="Arial" w:eastAsia="Arial" w:hAnsi="Arial"/>
          <w:sz w:val="16"/>
          <w:szCs w:val="16"/>
          <w:color w:val="auto"/>
        </w:rPr>
        <w:t>. The consummation of the Merger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is being consummated remotely via the electronic exchange of documents and signatures substantially simultaneously with the execution and delivery of this Agreement, or at such other time, date and place as Parent and the Company may mutually agree in writing. The date on which the Closing actually takes place is referred to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At the Closing, (i) the Parties shall cause the First Merger to be consummated by executing and filing with the Secretary of State of the State of Delaware a certificate of merger with respect to the First Merger, satisfying the applicable requirements of the DGCL and in form and substance to be agreed upon by the Parties (the “</w:t>
      </w:r>
      <w:r>
        <w:rPr>
          <w:rFonts w:ascii="Arial" w:cs="Arial" w:eastAsia="Arial" w:hAnsi="Arial"/>
          <w:sz w:val="16"/>
          <w:szCs w:val="16"/>
          <w:b w:val="1"/>
          <w:bCs w:val="1"/>
          <w:i w:val="1"/>
          <w:iCs w:val="1"/>
          <w:color w:val="auto"/>
        </w:rPr>
        <w:t>First Certificate of Merger</w:t>
      </w:r>
      <w:r>
        <w:rPr>
          <w:rFonts w:ascii="Arial" w:cs="Arial" w:eastAsia="Arial" w:hAnsi="Arial"/>
          <w:sz w:val="16"/>
          <w:szCs w:val="16"/>
          <w:color w:val="auto"/>
        </w:rPr>
        <w:t>”)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to be agreed upon by the Parties (the “</w:t>
      </w:r>
      <w:r>
        <w:rPr>
          <w:rFonts w:ascii="Arial" w:cs="Arial" w:eastAsia="Arial" w:hAnsi="Arial"/>
          <w:sz w:val="16"/>
          <w:szCs w:val="16"/>
          <w:b w:val="1"/>
          <w:bCs w:val="1"/>
          <w:i w:val="1"/>
          <w:iCs w:val="1"/>
          <w:color w:val="auto"/>
        </w:rPr>
        <w:t>Second Certificate of Merger</w:t>
      </w:r>
      <w:r>
        <w:rPr>
          <w:rFonts w:ascii="Arial" w:cs="Arial" w:eastAsia="Arial" w:hAnsi="Arial"/>
          <w:sz w:val="16"/>
          <w:szCs w:val="16"/>
          <w:color w:val="auto"/>
        </w:rPr>
        <w:t>” and together with the First Certificate of Merger, the “</w:t>
      </w:r>
      <w:r>
        <w:rPr>
          <w:rFonts w:ascii="Arial" w:cs="Arial" w:eastAsia="Arial" w:hAnsi="Arial"/>
          <w:sz w:val="16"/>
          <w:szCs w:val="16"/>
          <w:b w:val="1"/>
          <w:bCs w:val="1"/>
          <w:i w:val="1"/>
          <w:iCs w:val="1"/>
          <w:color w:val="auto"/>
        </w:rPr>
        <w:t>Certificates of Merger</w:t>
      </w:r>
      <w:r>
        <w:rPr>
          <w:rFonts w:ascii="Arial" w:cs="Arial" w:eastAsia="Arial" w:hAnsi="Arial"/>
          <w:sz w:val="16"/>
          <w:szCs w:val="16"/>
          <w:color w:val="auto"/>
        </w:rPr>
        <w:t>”). The First Merger shall become effective at the time of the filing of such First Certificate of Merger with the Secretary of State of the State of Delaware or at such later time as may be specified in such First Certificate of Merger with the consent of Parent and the Company (the time as of which the First Merger becomes effective being referred to as the “</w:t>
      </w:r>
      <w:r>
        <w:rPr>
          <w:rFonts w:ascii="Arial" w:cs="Arial" w:eastAsia="Arial" w:hAnsi="Arial"/>
          <w:sz w:val="16"/>
          <w:szCs w:val="16"/>
          <w:b w:val="1"/>
          <w:bCs w:val="1"/>
          <w:i w:val="1"/>
          <w:iCs w:val="1"/>
          <w:color w:val="auto"/>
        </w:rPr>
        <w:t>First Effective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Time</w:t>
      </w:r>
      <w:r>
        <w:rPr>
          <w:rFonts w:ascii="Arial" w:cs="Arial" w:eastAsia="Arial" w:hAnsi="Arial"/>
          <w:sz w:val="16"/>
          <w:szCs w:val="16"/>
          <w:color w:val="auto"/>
        </w:rPr>
        <w:t>”). The Second Merger shall become effective at the time of the filing of such Second Certificate of Merger with the Secretary of State of the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Delaware or at such later time as may be specified in such Second Certificate of Merger with the consent of Parent and the Company (the time as of which the Second Merger becomes effective being referred to as the “</w:t>
      </w:r>
      <w:r>
        <w:rPr>
          <w:rFonts w:ascii="Arial" w:cs="Arial" w:eastAsia="Arial" w:hAnsi="Arial"/>
          <w:sz w:val="16"/>
          <w:szCs w:val="16"/>
          <w:b w:val="1"/>
          <w:bCs w:val="1"/>
          <w:i w:val="1"/>
          <w:iCs w:val="1"/>
          <w:color w:val="auto"/>
        </w:rPr>
        <w:t>Second Effective Time</w:t>
      </w:r>
      <w:r>
        <w:rPr>
          <w:rFonts w:ascii="Arial" w:cs="Arial" w:eastAsia="Arial" w:hAnsi="Arial"/>
          <w:sz w:val="16"/>
          <w:szCs w:val="16"/>
          <w:color w:val="auto"/>
        </w:rPr>
        <w: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Certificate of Designation; Certificate of Incorporation and Bylaws; Directors and Officers</w:t>
      </w:r>
      <w:r>
        <w:rPr>
          <w:rFonts w:ascii="Arial" w:cs="Arial" w:eastAsia="Arial" w:hAnsi="Arial"/>
          <w:sz w:val="18"/>
          <w:szCs w:val="18"/>
          <w:color w:val="auto"/>
        </w:rPr>
        <w:t>.</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 Prior to the First Effective Time, Parent will file the Certificate of Designation with the office of the Secretary of State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217" w:name="page218"/>
    <w:bookmarkEnd w:id="217"/>
    <w:p>
      <w:pPr>
        <w:ind w:left="1680" w:hanging="252"/>
        <w:spacing w:after="0"/>
        <w:tabs>
          <w:tab w:leader="none" w:pos="1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First Effective Time:</w:t>
      </w:r>
    </w:p>
    <w:p>
      <w:pPr>
        <w:spacing w:after="0" w:line="117" w:lineRule="exact"/>
        <w:rPr>
          <w:rFonts w:ascii="Arial" w:cs="Arial" w:eastAsia="Arial" w:hAnsi="Arial"/>
          <w:sz w:val="18"/>
          <w:szCs w:val="18"/>
          <w:color w:val="auto"/>
        </w:rPr>
      </w:pPr>
    </w:p>
    <w:p>
      <w:pPr>
        <w:ind w:right="320" w:firstLine="1979"/>
        <w:spacing w:after="0" w:line="308" w:lineRule="auto"/>
        <w:tabs>
          <w:tab w:leader="none" w:pos="2198"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certificate of incorporation of the First Step Surviving Corporation shall be amended and restated as set forth in an exhibit to the First Certificate of Merger, until thereafter amended as provided by the DGCL and such certificate of incorporation;</w:t>
      </w:r>
    </w:p>
    <w:p>
      <w:pPr>
        <w:spacing w:after="0" w:line="146" w:lineRule="exact"/>
        <w:rPr>
          <w:rFonts w:ascii="Arial" w:cs="Arial" w:eastAsia="Arial" w:hAnsi="Arial"/>
          <w:sz w:val="17"/>
          <w:szCs w:val="17"/>
          <w:color w:val="auto"/>
        </w:rPr>
      </w:pPr>
    </w:p>
    <w:p>
      <w:pPr>
        <w:ind w:right="240" w:firstLine="1979"/>
        <w:spacing w:after="0" w:line="263" w:lineRule="auto"/>
        <w:tabs>
          <w:tab w:leader="none" w:pos="22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bylaws of the First Step Surviving Corporation shall be amended and restated in their entirety to read identically to the bylaws of the Company as in effect immediately prior to the First Effective Time, until thereafter amended as provided by the DGCL and such bylaws; and</w:t>
      </w:r>
    </w:p>
    <w:p>
      <w:pPr>
        <w:spacing w:after="0" w:line="183" w:lineRule="exact"/>
        <w:rPr>
          <w:rFonts w:ascii="Arial" w:cs="Arial" w:eastAsia="Arial" w:hAnsi="Arial"/>
          <w:sz w:val="18"/>
          <w:szCs w:val="18"/>
          <w:color w:val="auto"/>
        </w:rPr>
      </w:pPr>
    </w:p>
    <w:p>
      <w:pPr>
        <w:ind w:firstLine="1979"/>
        <w:spacing w:after="0" w:line="342" w:lineRule="auto"/>
        <w:tabs>
          <w:tab w:leader="none" w:pos="2298"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directors and officers of the First Step Surviving Corporation, each to hold office in accordance with the certificate of incorporation and bylaws of the First Step Surviving Corporation, shall be such persons as shall be mutually agreed upon by Parent and the Company.</w:t>
      </w:r>
    </w:p>
    <w:p>
      <w:pPr>
        <w:spacing w:after="0" w:line="123" w:lineRule="exact"/>
        <w:rPr>
          <w:rFonts w:ascii="Arial" w:cs="Arial" w:eastAsia="Arial" w:hAnsi="Arial"/>
          <w:sz w:val="16"/>
          <w:szCs w:val="16"/>
          <w:color w:val="auto"/>
        </w:rPr>
      </w:pPr>
    </w:p>
    <w:p>
      <w:pPr>
        <w:ind w:left="1680" w:hanging="252"/>
        <w:spacing w:after="0"/>
        <w:tabs>
          <w:tab w:leader="none" w:pos="1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the Second Effective Time:</w:t>
      </w:r>
    </w:p>
    <w:p>
      <w:pPr>
        <w:spacing w:after="0" w:line="117" w:lineRule="exact"/>
        <w:rPr>
          <w:rFonts w:ascii="Arial" w:cs="Arial" w:eastAsia="Arial" w:hAnsi="Arial"/>
          <w:sz w:val="18"/>
          <w:szCs w:val="18"/>
          <w:color w:val="auto"/>
        </w:rPr>
      </w:pPr>
    </w:p>
    <w:p>
      <w:pPr>
        <w:ind w:right="20" w:firstLine="1979"/>
        <w:spacing w:after="0" w:line="257" w:lineRule="auto"/>
        <w:tabs>
          <w:tab w:leader="none" w:pos="2198"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Second Effective Time (as part of the Second Certificate of Merger), the certificate of formation shall be amended to (A)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name of the Surviving Entity to “Spyre Therapeutics, LLC,” (B) comply with </w:t>
      </w:r>
      <w:r>
        <w:rPr>
          <w:rFonts w:ascii="Arial" w:cs="Arial" w:eastAsia="Arial" w:hAnsi="Arial"/>
          <w:sz w:val="18"/>
          <w:szCs w:val="18"/>
          <w:u w:val="single" w:color="auto"/>
          <w:color w:val="auto"/>
        </w:rPr>
        <w:t>Section 4.5</w:t>
      </w:r>
      <w:r>
        <w:rPr>
          <w:rFonts w:ascii="Arial" w:cs="Arial" w:eastAsia="Arial" w:hAnsi="Arial"/>
          <w:sz w:val="18"/>
          <w:szCs w:val="18"/>
          <w:color w:val="auto"/>
        </w:rPr>
        <w:t>, and (C) make such other changes as are mutually agreed to by Parent and the Company;</w:t>
      </w:r>
    </w:p>
    <w:p>
      <w:pPr>
        <w:spacing w:after="0" w:line="187" w:lineRule="exact"/>
        <w:rPr>
          <w:rFonts w:ascii="Arial" w:cs="Arial" w:eastAsia="Arial" w:hAnsi="Arial"/>
          <w:sz w:val="18"/>
          <w:szCs w:val="18"/>
          <w:color w:val="auto"/>
        </w:rPr>
      </w:pPr>
    </w:p>
    <w:p>
      <w:pPr>
        <w:ind w:right="20" w:firstLine="1979"/>
        <w:spacing w:after="0" w:line="257" w:lineRule="auto"/>
        <w:tabs>
          <w:tab w:leader="none" w:pos="22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following the Second Effective Time (but as soon thereafter as practicable), the limited liability company agreement shall be amended to (A) comply with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(B) change the name of the Surviving Entity to “Spyre Therapeutics, LLC”;</w:t>
      </w:r>
    </w:p>
    <w:p>
      <w:pPr>
        <w:spacing w:after="0" w:line="187" w:lineRule="exact"/>
        <w:rPr>
          <w:rFonts w:ascii="Arial" w:cs="Arial" w:eastAsia="Arial" w:hAnsi="Arial"/>
          <w:sz w:val="18"/>
          <w:szCs w:val="18"/>
          <w:color w:val="auto"/>
        </w:rPr>
      </w:pPr>
    </w:p>
    <w:p>
      <w:pPr>
        <w:ind w:right="80" w:firstLine="1979"/>
        <w:spacing w:after="0" w:line="342" w:lineRule="auto"/>
        <w:tabs>
          <w:tab w:leader="none" w:pos="2298"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managers and officers of the Surviving Entity, each to hold office in accordance with the certificate of formation and limited liability company agreement of the Surviving Entity, shall be such persons as shall be mutually agreed upon by Parent and the Company; and</w:t>
      </w:r>
    </w:p>
    <w:p>
      <w:pPr>
        <w:spacing w:after="0" w:line="123" w:lineRule="exact"/>
        <w:rPr>
          <w:rFonts w:ascii="Arial" w:cs="Arial" w:eastAsia="Arial" w:hAnsi="Arial"/>
          <w:sz w:val="16"/>
          <w:szCs w:val="16"/>
          <w:color w:val="auto"/>
        </w:rPr>
      </w:pPr>
    </w:p>
    <w:p>
      <w:pPr>
        <w:ind w:right="100" w:firstLine="1979"/>
        <w:spacing w:after="0" w:line="257" w:lineRule="auto"/>
        <w:tabs>
          <w:tab w:leader="none" w:pos="22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Parent shall be identical to the certificate of incorporation of Parent immediately prior to the Second Effective Time, until thereafter amended as provided by the DGCL and such certificate of incorporation,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following the Second Effective Time, the certificate of incorporation shall be amended to (A) change the corporate name of Parent to “Spyre Therapeutics, Inc.”, (B) effect the Nasdaq Reverse Split, if deemed necessary, and (C) make such other changes as are mutually agreed to by Parent and the Company.</w:t>
      </w:r>
    </w:p>
    <w:p>
      <w:pPr>
        <w:spacing w:after="0" w:line="184"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Merger Consideration; Effect of Merger on Company Capital Stock</w:t>
      </w:r>
      <w:r>
        <w:rPr>
          <w:rFonts w:ascii="Arial" w:cs="Arial" w:eastAsia="Arial" w:hAnsi="Arial"/>
          <w:sz w:val="18"/>
          <w:szCs w:val="18"/>
          <w:color w:val="auto"/>
        </w:rPr>
        <w:t>. The aggregate merger consideration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Consideration</w:t>
      </w:r>
      <w:r>
        <w:rPr>
          <w:rFonts w:ascii="Arial" w:cs="Arial" w:eastAsia="Arial" w:hAnsi="Arial"/>
          <w:sz w:val="18"/>
          <w:szCs w:val="18"/>
          <w:color w:val="auto"/>
        </w:rPr>
        <w:t>”) to be paid by Parent for all of the outstanding shares of Company Capital Stock at the Closing and amounts reserved for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shall be (a) 13,013,636 shares of Parent Common Stock (“</w:t>
      </w:r>
      <w:r>
        <w:rPr>
          <w:rFonts w:ascii="Arial" w:cs="Arial" w:eastAsia="Arial" w:hAnsi="Arial"/>
          <w:sz w:val="18"/>
          <w:szCs w:val="18"/>
          <w:b w:val="1"/>
          <w:bCs w:val="1"/>
          <w:i w:val="1"/>
          <w:iCs w:val="1"/>
          <w:color w:val="auto"/>
        </w:rPr>
        <w:t>Parent Common Stock Payment Shares</w:t>
      </w:r>
      <w:r>
        <w:rPr>
          <w:rFonts w:ascii="Arial" w:cs="Arial" w:eastAsia="Arial" w:hAnsi="Arial"/>
          <w:sz w:val="18"/>
          <w:szCs w:val="18"/>
          <w:color w:val="auto"/>
        </w:rPr>
        <w:t>”), which shares shall represent a number of shares equal to no more than 19.9% of the outstanding shares of Parent Common Stock as of immediately before the First Effective Time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 Consideration Cap</w:t>
      </w:r>
      <w:r>
        <w:rPr>
          <w:rFonts w:ascii="Arial" w:cs="Arial" w:eastAsia="Arial" w:hAnsi="Arial"/>
          <w:sz w:val="18"/>
          <w:szCs w:val="18"/>
          <w:color w:val="auto"/>
        </w:rPr>
        <w:t>”), and (b) in the event the aggregate number of shares of Parent Common Stock Payment Shares issued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stockholder at Closing would result in the issuance of shares of Parent Common Stock in an amount in excess of the Parent Common Stock Consideration Cap, Parent shall issue to such Company stockholders shares of Parent Common Stock up to the Parent Common Stock Consideration Cap and shall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18" w:name="page219"/>
    <w:bookmarkEnd w:id="218"/>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 the remaining balance to such stockholders a total of 364,889 shares of Parent Convertible Preferred Stock (“</w:t>
      </w:r>
      <w:r>
        <w:rPr>
          <w:rFonts w:ascii="Arial" w:cs="Arial" w:eastAsia="Arial" w:hAnsi="Arial"/>
          <w:sz w:val="17"/>
          <w:szCs w:val="17"/>
          <w:b w:val="1"/>
          <w:bCs w:val="1"/>
          <w:i w:val="1"/>
          <w:iCs w:val="1"/>
          <w:color w:val="auto"/>
        </w:rPr>
        <w:t>Parent Preferred Stock Payment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Each Parent Preferred Stock Payment Share shall be convertible into 1,000 shares of Parent Common Stock, subject to and contingent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affirmative vote of a majority of the Parent Common Stock present or represented and entitled to vote at a meeting of stockholders of Parent to approve, for purposes of the Nasdaq Stock Market Rules, the issuance of shares of Parent Common Stock to the stockholders of the Company upon conversion of any and all shares of Parent Convertible Preferred Stock in accordance with the terms of the Certificate of Designation in substantially the form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Preferred Stock Conversion Proposal</w:t>
      </w:r>
      <w:r>
        <w:rPr>
          <w:rFonts w:ascii="Arial" w:cs="Arial" w:eastAsia="Arial" w:hAnsi="Arial"/>
          <w:sz w:val="17"/>
          <w:szCs w:val="17"/>
          <w:color w:val="auto"/>
        </w:rPr>
        <w:t>”).</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Conversion of Shares</w:t>
      </w:r>
      <w:r>
        <w:rPr>
          <w:rFonts w:ascii="Arial" w:cs="Arial" w:eastAsia="Arial" w:hAnsi="Arial"/>
          <w:sz w:val="18"/>
          <w:szCs w:val="18"/>
          <w:color w:val="auto"/>
        </w:rPr>
        <w:t>.</w:t>
      </w:r>
    </w:p>
    <w:p>
      <w:pPr>
        <w:spacing w:after="0" w:line="229" w:lineRule="exact"/>
        <w:rPr>
          <w:sz w:val="20"/>
          <w:szCs w:val="20"/>
          <w:color w:val="auto"/>
        </w:rPr>
      </w:pPr>
    </w:p>
    <w:p>
      <w:pPr>
        <w:ind w:right="180" w:firstLine="1428"/>
        <w:spacing w:after="0" w:line="277" w:lineRule="auto"/>
        <w:tabs>
          <w:tab w:leader="none" w:pos="16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the First Effective Time, by virtue of the First Merger and without any further action on the part of Parent, Merger Subs, the Company or any stockholder of the Company or Parent:</w:t>
      </w:r>
    </w:p>
    <w:p>
      <w:pPr>
        <w:spacing w:after="0" w:line="62" w:lineRule="exact"/>
        <w:rPr>
          <w:rFonts w:ascii="Arial" w:cs="Arial" w:eastAsia="Arial" w:hAnsi="Arial"/>
          <w:sz w:val="18"/>
          <w:szCs w:val="18"/>
          <w:color w:val="auto"/>
        </w:rPr>
      </w:pPr>
    </w:p>
    <w:p>
      <w:pPr>
        <w:ind w:right="280" w:firstLine="1979"/>
        <w:spacing w:after="0" w:line="263" w:lineRule="auto"/>
        <w:tabs>
          <w:tab w:leader="none" w:pos="21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shares of Company Common Stock held as treasury stock or held or owned by the Company or any wholly owned Subsidiary of the Company immediately prior to the First Effective Time shall be canceled and retired and shall cease to exist, and no consideration shall be delivered in exchange therefor; and</w:t>
      </w:r>
    </w:p>
    <w:p>
      <w:pPr>
        <w:spacing w:after="0" w:line="183" w:lineRule="exact"/>
        <w:rPr>
          <w:rFonts w:ascii="Arial" w:cs="Arial" w:eastAsia="Arial" w:hAnsi="Arial"/>
          <w:sz w:val="18"/>
          <w:szCs w:val="18"/>
          <w:color w:val="auto"/>
        </w:rPr>
      </w:pPr>
    </w:p>
    <w:p>
      <w:pPr>
        <w:ind w:firstLine="1979"/>
        <w:spacing w:after="0" w:line="311" w:lineRule="auto"/>
        <w:tabs>
          <w:tab w:leader="none" w:pos="2248"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1.6(c)</w:t>
      </w:r>
      <w:r>
        <w:rPr>
          <w:rFonts w:ascii="Arial" w:cs="Arial" w:eastAsia="Arial" w:hAnsi="Arial"/>
          <w:sz w:val="16"/>
          <w:szCs w:val="16"/>
          <w:color w:val="auto"/>
        </w:rPr>
        <w:t xml:space="preserve">, each share of Company Capital Stock outstanding immediately prior to the First Effective Time (excluding shares to be canceled pursuant to </w:t>
      </w:r>
      <w:r>
        <w:rPr>
          <w:rFonts w:ascii="Arial" w:cs="Arial" w:eastAsia="Arial" w:hAnsi="Arial"/>
          <w:sz w:val="16"/>
          <w:szCs w:val="16"/>
          <w:u w:val="single" w:color="auto"/>
          <w:color w:val="auto"/>
        </w:rPr>
        <w:t>Section 1.6(a)(i)</w:t>
      </w:r>
      <w:r>
        <w:rPr>
          <w:rFonts w:ascii="Arial" w:cs="Arial" w:eastAsia="Arial" w:hAnsi="Arial"/>
          <w:sz w:val="16"/>
          <w:szCs w:val="16"/>
          <w:color w:val="auto"/>
        </w:rPr>
        <w:t xml:space="preserve"> and excluding Dissenting Shares) shall be automatically converted solely into the right to receive a number of Parent Common Stock Payment Shares equal to the Exchange Ratio as set forth on the Allocation Certificate.</w:t>
      </w:r>
    </w:p>
    <w:p>
      <w:pPr>
        <w:spacing w:after="0" w:line="148" w:lineRule="exact"/>
        <w:rPr>
          <w:rFonts w:ascii="Arial" w:cs="Arial" w:eastAsia="Arial" w:hAnsi="Arial"/>
          <w:sz w:val="16"/>
          <w:szCs w:val="16"/>
          <w:color w:val="auto"/>
        </w:rPr>
      </w:pPr>
    </w:p>
    <w:p>
      <w:pPr>
        <w:ind w:right="160" w:firstLine="1428"/>
        <w:spacing w:after="0" w:line="286" w:lineRule="auto"/>
        <w:tabs>
          <w:tab w:leader="none" w:pos="1687"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any shares of Company Common Stock outstanding immediately prior to the First Effective Time are subject to a repurchase option or a risk of forfeiture under any applicable restricted stock purchase agreement or other similar agreement with the Company, such shares of Company Common Stock shall no longer be subject to any right of repurchase, risk of forfeiture or other such conditions.</w:t>
      </w:r>
    </w:p>
    <w:p>
      <w:pPr>
        <w:spacing w:after="0" w:line="165" w:lineRule="exact"/>
        <w:rPr>
          <w:rFonts w:ascii="Arial" w:cs="Arial" w:eastAsia="Arial" w:hAnsi="Arial"/>
          <w:sz w:val="17"/>
          <w:szCs w:val="17"/>
          <w:color w:val="auto"/>
        </w:rPr>
      </w:pPr>
    </w:p>
    <w:p>
      <w:pPr>
        <w:ind w:right="20" w:firstLine="1428"/>
        <w:spacing w:after="0" w:line="257" w:lineRule="auto"/>
        <w:tabs>
          <w:tab w:leader="none" w:pos="16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fractional shares of Parent Common Stock and Parent Convertible Preferred Stock shall be issued in connection with the First Merger, and no certificates or scrip for any such fractional shares shall be issued and no cash shall be paid for any such fractional shares. Any fractional shares of Parent Common Stock that a holder of Company Common Stock would otherwise be entitled to receive shall be aggregated with all fractional shares of Parent Common Stock issuable to such holder) or a fraction of a share of Parent Convertible Preferred Stock issuable to such holder and any remaining fractional shares shall be rounded up to the nearest whole share.</w:t>
      </w:r>
    </w:p>
    <w:p>
      <w:pPr>
        <w:spacing w:after="0" w:line="187" w:lineRule="exact"/>
        <w:rPr>
          <w:rFonts w:ascii="Arial" w:cs="Arial" w:eastAsia="Arial" w:hAnsi="Arial"/>
          <w:sz w:val="18"/>
          <w:szCs w:val="18"/>
          <w:color w:val="auto"/>
        </w:rPr>
      </w:pPr>
    </w:p>
    <w:p>
      <w:pPr>
        <w:ind w:right="180" w:firstLine="1428"/>
        <w:spacing w:after="0" w:line="257" w:lineRule="auto"/>
        <w:tabs>
          <w:tab w:leader="none" w:pos="168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the First Effective Time, by virtue of the First Merger and without any further action on the part of Parent, Merger Subs, the Company or any member of the Company or stockholder of Parent, each share of common stock of First Merger Sub issued and outstanding immediately prior to the First Effective Time shall be converted into and exchanged for one share of common stock of the First Step Surviving Corporation. If applicable, each stock certificate of First Merger Sub evidencing ownership of any such shares shall, as of the First Effective Time, evidence ownership of such shares of common stock of the First Step Surviving Corporation.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19" w:name="page220"/>
    <w:bookmarkEnd w:id="219"/>
    <w:p>
      <w:pPr>
        <w:ind w:firstLine="1428"/>
        <w:spacing w:after="0" w:line="290" w:lineRule="auto"/>
        <w:tabs>
          <w:tab w:leader="none" w:pos="1677"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between the date of this Agreement and the First Effective Time, the outstanding shares of Company Common Stock or Parent Common Stock or Parent Convertible Preferred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Company Common Stock and Parent Common Stock and Parent Convertible Preferred Stock, with the same economic effect as contemplated by this Agreement prior to such stock dividend, subdivision, reclassification, recapitalization, split, combination or exchange of shares or other like 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herein will be construed to permit the Company or Parent to take any action with respect to Company Common Stock or Parent</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Parent Convertible Preferred Stock, respectively, that is prohibited or not expressly permitted by the terms of this Agreement.</w:t>
      </w:r>
    </w:p>
    <w:p>
      <w:pPr>
        <w:spacing w:after="0" w:line="165" w:lineRule="exact"/>
        <w:rPr>
          <w:rFonts w:ascii="Arial" w:cs="Arial" w:eastAsia="Arial" w:hAnsi="Arial"/>
          <w:sz w:val="16"/>
          <w:szCs w:val="16"/>
          <w:color w:val="auto"/>
        </w:rPr>
      </w:pPr>
    </w:p>
    <w:p>
      <w:pPr>
        <w:ind w:right="80" w:firstLine="1428"/>
        <w:spacing w:after="0" w:line="259" w:lineRule="auto"/>
        <w:tabs>
          <w:tab w:leader="none" w:pos="165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w:t>
      </w:r>
    </w:p>
    <w:p>
      <w:pPr>
        <w:spacing w:after="0" w:line="183"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b w:val="1"/>
          <w:bCs w:val="1"/>
          <w:u w:val="single" w:color="auto"/>
          <w:color w:val="auto"/>
        </w:rPr>
        <w:t>Closing of the Company’s Transfer Books</w:t>
      </w:r>
      <w:r>
        <w:rPr>
          <w:rFonts w:ascii="Arial" w:cs="Arial" w:eastAsia="Arial" w:hAnsi="Arial"/>
          <w:sz w:val="17"/>
          <w:szCs w:val="17"/>
          <w:color w:val="auto"/>
        </w:rPr>
        <w:t>. At the First Effective Time: (a) all holders of (i) certificates representing shares of Company Capital Stock and (ii) book-entry shares representing shares of Company Capital Stock (“</w:t>
      </w:r>
      <w:r>
        <w:rPr>
          <w:rFonts w:ascii="Arial" w:cs="Arial" w:eastAsia="Arial" w:hAnsi="Arial"/>
          <w:sz w:val="17"/>
          <w:szCs w:val="17"/>
          <w:b w:val="1"/>
          <w:bCs w:val="1"/>
          <w:i w:val="1"/>
          <w:iCs w:val="1"/>
          <w:color w:val="auto"/>
        </w:rPr>
        <w:t>Book-Entry Shares</w:t>
      </w:r>
      <w:r>
        <w:rPr>
          <w:rFonts w:ascii="Arial" w:cs="Arial" w:eastAsia="Arial" w:hAnsi="Arial"/>
          <w:sz w:val="17"/>
          <w:szCs w:val="17"/>
          <w:color w:val="auto"/>
        </w:rPr>
        <w:t>”), in each case, that were outstanding immediately prior to the First Effective Time shall cease to have any rights as stockholders of the Company; and (b) the stock transfer books of the Company shall be closed with respect to all shares of Company Capital Stock outstanding immediately prior to the First Effective Time. No further transfer of any such shares of Company Capital Stock shall be made on such stock transfer books after the First Effective Time. If, after the first Effective Time, a valid certificate previously representing any shares of Company Capital Stock outstanding immediately prior to the First Effective Time (a “</w:t>
      </w:r>
      <w:r>
        <w:rPr>
          <w:rFonts w:ascii="Arial" w:cs="Arial" w:eastAsia="Arial" w:hAnsi="Arial"/>
          <w:sz w:val="17"/>
          <w:szCs w:val="17"/>
          <w:b w:val="1"/>
          <w:bCs w:val="1"/>
          <w:i w:val="1"/>
          <w:iCs w:val="1"/>
          <w:color w:val="auto"/>
        </w:rPr>
        <w:t>Company Stock Certificate</w:t>
      </w:r>
      <w:r>
        <w:rPr>
          <w:rFonts w:ascii="Arial" w:cs="Arial" w:eastAsia="Arial" w:hAnsi="Arial"/>
          <w:sz w:val="17"/>
          <w:szCs w:val="17"/>
          <w:color w:val="auto"/>
        </w:rPr>
        <w:t xml:space="preserve">”) is presented to the Exchange Agent or to the Surviving Entity, such Company Stock Certificate shall be canceled and shall be exchanged as provided in </w:t>
      </w:r>
      <w:r>
        <w:rPr>
          <w:rFonts w:ascii="Arial" w:cs="Arial" w:eastAsia="Arial" w:hAnsi="Arial"/>
          <w:sz w:val="17"/>
          <w:szCs w:val="17"/>
          <w:u w:val="single" w:color="auto"/>
          <w:color w:val="auto"/>
        </w:rPr>
        <w:t>Sections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1.8</w:t>
      </w:r>
      <w:r>
        <w:rPr>
          <w:rFonts w:ascii="Arial" w:cs="Arial" w:eastAsia="Arial" w:hAnsi="Arial"/>
          <w:sz w:val="17"/>
          <w:szCs w:val="17"/>
          <w:color w:val="auto"/>
        </w:rPr>
        <w:t>.</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u w:val="single" w:color="auto"/>
          <w:color w:val="auto"/>
        </w:rPr>
        <w:t>Exchange of Shares</w:t>
      </w:r>
      <w:r>
        <w:rPr>
          <w:rFonts w:ascii="Arial" w:cs="Arial" w:eastAsia="Arial" w:hAnsi="Arial"/>
          <w:sz w:val="18"/>
          <w:szCs w:val="18"/>
          <w:color w:val="auto"/>
        </w:rPr>
        <w:t>.</w:t>
      </w:r>
    </w:p>
    <w:p>
      <w:pPr>
        <w:spacing w:after="0" w:line="229" w:lineRule="exact"/>
        <w:rPr>
          <w:sz w:val="20"/>
          <w:szCs w:val="20"/>
          <w:color w:val="auto"/>
        </w:rPr>
      </w:pPr>
    </w:p>
    <w:p>
      <w:pPr>
        <w:ind w:right="180" w:firstLine="1428"/>
        <w:spacing w:after="0" w:line="296" w:lineRule="auto"/>
        <w:tabs>
          <w:tab w:leader="none" w:pos="1677" w:val="left"/>
        </w:tabs>
        <w:numPr>
          <w:ilvl w:val="0"/>
          <w:numId w:val="90"/>
        </w:numPr>
        <w:rPr>
          <w:rFonts w:ascii="Arial" w:cs="Arial" w:eastAsia="Arial" w:hAnsi="Arial"/>
          <w:sz w:val="16"/>
          <w:szCs w:val="16"/>
          <w:color w:val="auto"/>
        </w:rPr>
      </w:pPr>
      <w:r>
        <w:rPr>
          <w:rFonts w:ascii="Arial" w:cs="Arial" w:eastAsia="Arial" w:hAnsi="Arial"/>
          <w:sz w:val="16"/>
          <w:szCs w:val="16"/>
          <w:color w:val="auto"/>
        </w:rPr>
        <w:t>On or prior to the Closing Date, Parent and the Company shall agree upon and select a reputable bank, transfer agent or trust company to act as exchange agent in the Merger (the “</w:t>
      </w:r>
      <w:r>
        <w:rPr>
          <w:rFonts w:ascii="Arial" w:cs="Arial" w:eastAsia="Arial" w:hAnsi="Arial"/>
          <w:sz w:val="16"/>
          <w:szCs w:val="16"/>
          <w:b w:val="1"/>
          <w:bCs w:val="1"/>
          <w:i w:val="1"/>
          <w:iCs w:val="1"/>
          <w:color w:val="auto"/>
        </w:rPr>
        <w:t>Exchange Agent</w:t>
      </w:r>
      <w:r>
        <w:rPr>
          <w:rFonts w:ascii="Arial" w:cs="Arial" w:eastAsia="Arial" w:hAnsi="Arial"/>
          <w:sz w:val="16"/>
          <w:szCs w:val="16"/>
          <w:color w:val="auto"/>
        </w:rPr>
        <w:t xml:space="preserve">”). At the First Effective Time, Parent shall deposit with the Exchange Agent certificates or evidence of book-entry shares representing the Parent Common Stock and Parent Convertible Preferred Stock issuable pursuant to </w:t>
      </w:r>
      <w:r>
        <w:rPr>
          <w:rFonts w:ascii="Arial" w:cs="Arial" w:eastAsia="Arial" w:hAnsi="Arial"/>
          <w:sz w:val="16"/>
          <w:szCs w:val="16"/>
          <w:u w:val="single" w:color="auto"/>
          <w:color w:val="auto"/>
        </w:rPr>
        <w:t>Section 1.6(a)</w:t>
      </w:r>
      <w:r>
        <w:rPr>
          <w:rFonts w:ascii="Arial" w:cs="Arial" w:eastAsia="Arial" w:hAnsi="Arial"/>
          <w:sz w:val="16"/>
          <w:szCs w:val="16"/>
          <w:color w:val="auto"/>
        </w:rPr>
        <w:t>. The Parent Common Stock and Parent Convertible Preferred Stock so deposited with the Exchange Agent, together with any dividends or distributions received by the Exchange Agent with respect to such shares, are referred to collectively as the “</w:t>
      </w:r>
      <w:r>
        <w:rPr>
          <w:rFonts w:ascii="Arial" w:cs="Arial" w:eastAsia="Arial" w:hAnsi="Arial"/>
          <w:sz w:val="16"/>
          <w:szCs w:val="16"/>
          <w:b w:val="1"/>
          <w:bCs w:val="1"/>
          <w:i w:val="1"/>
          <w:iCs w:val="1"/>
          <w:color w:val="auto"/>
        </w:rPr>
        <w:t>Exchange Fund</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right="80" w:firstLine="1428"/>
        <w:spacing w:after="0" w:line="271" w:lineRule="auto"/>
        <w:tabs>
          <w:tab w:leader="none" w:pos="1687"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As soon as reasonably practicable after the record date for the CVR, the Exchange Agent shall issue book-entry shares representing the Merger Consideration (in a number of whole shares of Parent Common Stock and Parent Convertible Preferred Stock) that each holder of Company Common Stock has the right to receive pursuant to the provisions of </w:t>
      </w:r>
      <w:r>
        <w:rPr>
          <w:rFonts w:ascii="Arial" w:cs="Arial" w:eastAsia="Arial" w:hAnsi="Arial"/>
          <w:sz w:val="17"/>
          <w:szCs w:val="17"/>
          <w:u w:val="single" w:color="auto"/>
          <w:color w:val="auto"/>
        </w:rPr>
        <w:t>Section 1.6(a)</w:t>
      </w:r>
      <w:r>
        <w:rPr>
          <w:rFonts w:ascii="Arial" w:cs="Arial" w:eastAsia="Arial" w:hAnsi="Arial"/>
          <w:sz w:val="17"/>
          <w:szCs w:val="17"/>
          <w:color w:val="auto"/>
        </w:rPr>
        <w:t xml:space="preserve"> and each Company Stock Certificate or Book-Entry Share formerly held by each such holder shall be deemed, from and after the First Effective Time, to represent only the right to receive book-entry shares of Parent Common Stock and Parent Convertible Preferred Stock representing the Merger Consideration and, following issuance of book-entry shares representing the Merger Consideration, shall be canceled. The Merger Consideration and any dividends or other distributions as are payable pursuant to </w:t>
      </w:r>
      <w:r>
        <w:rPr>
          <w:rFonts w:ascii="Arial" w:cs="Arial" w:eastAsia="Arial" w:hAnsi="Arial"/>
          <w:sz w:val="17"/>
          <w:szCs w:val="17"/>
          <w:u w:val="single" w:color="auto"/>
          <w:color w:val="auto"/>
        </w:rPr>
        <w:t>Section 1.8(d)</w:t>
      </w:r>
      <w:r>
        <w:rPr>
          <w:rFonts w:ascii="Arial" w:cs="Arial" w:eastAsia="Arial" w:hAnsi="Arial"/>
          <w:sz w:val="17"/>
          <w:szCs w:val="17"/>
          <w:color w:val="auto"/>
        </w:rPr>
        <w:t xml:space="preserve"> shall be deemed to have been in full satisfaction of all rights pertaining to Company Capital Stock formerly represented by such Company Stock Certificates or Book-Entry Shares.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20" w:name="page221"/>
    <w:bookmarkEnd w:id="220"/>
    <w:p>
      <w:pPr>
        <w:ind w:left="4" w:right="60" w:firstLine="1428"/>
        <w:spacing w:after="0" w:line="291" w:lineRule="auto"/>
        <w:tabs>
          <w:tab w:leader="none" w:pos="1681"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dividends or other distributions declared or made with respect to Parent Common Stock or Parent Convertible Preferred Stock with a record date on or after the First Effective Time shall be paid to the holder of any unsurrendered Company Stock Certificate or Book-Entry Shares with respect to the shares of Parent Common Stock and/or Parent Convertible Preferred Stock that such holder has the right to receive in the Merger until such holder surrenders such Company Stock Certificate or transfers such Book-Entry Shares or provides an affidavit of loss or destruction in lieu thereof in accordance with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(at which time (or, if later, on the applicable payment date) such holder shall be entitled, subject to the effect of applicable abandoned property, escheat or similar Laws, to receive all such dividends and distributions, without interest); provided, however, that in no event shall holders of Company Capital Stock receiving the Merger Consideration be entitled to receive the CVR.</w:t>
      </w:r>
    </w:p>
    <w:p>
      <w:pPr>
        <w:spacing w:after="0" w:line="166" w:lineRule="exact"/>
        <w:rPr>
          <w:rFonts w:ascii="Arial" w:cs="Arial" w:eastAsia="Arial" w:hAnsi="Arial"/>
          <w:sz w:val="16"/>
          <w:szCs w:val="16"/>
          <w:color w:val="auto"/>
        </w:rPr>
      </w:pPr>
    </w:p>
    <w:p>
      <w:pPr>
        <w:ind w:left="4" w:right="160" w:firstLine="1428"/>
        <w:spacing w:after="0" w:line="296" w:lineRule="auto"/>
        <w:tabs>
          <w:tab w:leader="none" w:pos="1691"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portion of the Exchange Fund that remains unclaimed by holders of shares of Company Capital Stock as of the date that is one year after the Closing Date shall be delivered to Parent upon demand, and any holders of Company Stock Certificates or Book-Entry Shares who have not theretofore surrendered their Company Stock Certificates or transferred their Book-Entry Shares in accordance with this Section 1.8 shall thereafter look only to Parent as general creditors for satisfaction of their claims for Parent Common Stock and Parent Convertible Preferred Stock and any dividends or distributions with respect to shares of Parent Common Stock and Parent Convertible Preferred Stock.</w:t>
      </w:r>
    </w:p>
    <w:p>
      <w:pPr>
        <w:spacing w:after="0" w:line="161" w:lineRule="exact"/>
        <w:rPr>
          <w:rFonts w:ascii="Arial" w:cs="Arial" w:eastAsia="Arial" w:hAnsi="Arial"/>
          <w:sz w:val="16"/>
          <w:szCs w:val="16"/>
          <w:color w:val="auto"/>
        </w:rPr>
      </w:pPr>
    </w:p>
    <w:p>
      <w:pPr>
        <w:ind w:left="4" w:right="20" w:firstLine="1428"/>
        <w:spacing w:after="0" w:line="272" w:lineRule="auto"/>
        <w:tabs>
          <w:tab w:leader="none" w:pos="1681" w:val="left"/>
        </w:tabs>
        <w:numPr>
          <w:ilvl w:val="0"/>
          <w:numId w:val="91"/>
        </w:numPr>
        <w:rPr>
          <w:rFonts w:ascii="Arial" w:cs="Arial" w:eastAsia="Arial" w:hAnsi="Arial"/>
          <w:sz w:val="17"/>
          <w:szCs w:val="17"/>
          <w:color w:val="auto"/>
        </w:rPr>
      </w:pPr>
      <w:r>
        <w:rPr>
          <w:rFonts w:ascii="Arial" w:cs="Arial" w:eastAsia="Arial" w:hAnsi="Arial"/>
          <w:sz w:val="17"/>
          <w:szCs w:val="17"/>
          <w:color w:val="auto"/>
        </w:rPr>
        <w:t>No Party shall be liable to any holder of any shares of Company Capital Stock or to any other Person with respect to any shares of Parent Common Stock or Parent Convertible Preferred Stock (or dividends or distributions with respect thereto) or for any cash amounts delivered to any public official pursuant to any applicable abandoned property Law, escheat Law or similar Law. Any portion of the Exchange Fund that remains unclaimed by holders of shares of Company Capital Stock as of the date that is two years after the Closing Date (or immediately prior to such earlier date on which the related Exchange Funds (and all dividends or other distributions in respect thereof) would otherwise escheat to or become the property of any Governmental Body) shall, to the extent permitted by applicable Law, become the property of the Surviving Entity, free and clear of all claims or interest of any Person previously entitled thereto.</w:t>
      </w:r>
    </w:p>
    <w:p>
      <w:pPr>
        <w:spacing w:after="0" w:line="17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Company Options</w:t>
      </w:r>
      <w:r>
        <w:rPr>
          <w:rFonts w:ascii="Arial" w:cs="Arial" w:eastAsia="Arial" w:hAnsi="Arial"/>
          <w:sz w:val="18"/>
          <w:szCs w:val="18"/>
          <w:color w:val="auto"/>
        </w:rPr>
        <w:t>.</w:t>
      </w:r>
    </w:p>
    <w:p>
      <w:pPr>
        <w:spacing w:after="0" w:line="229" w:lineRule="exact"/>
        <w:rPr>
          <w:sz w:val="20"/>
          <w:szCs w:val="20"/>
          <w:color w:val="auto"/>
        </w:rPr>
      </w:pPr>
    </w:p>
    <w:p>
      <w:pPr>
        <w:ind w:left="4" w:firstLine="1428"/>
        <w:spacing w:after="0" w:line="283" w:lineRule="auto"/>
        <w:tabs>
          <w:tab w:leader="none" w:pos="1681" w:val="left"/>
        </w:tabs>
        <w:numPr>
          <w:ilvl w:val="1"/>
          <w:numId w:val="92"/>
        </w:numPr>
        <w:rPr>
          <w:rFonts w:ascii="Arial" w:cs="Arial" w:eastAsia="Arial" w:hAnsi="Arial"/>
          <w:sz w:val="16"/>
          <w:szCs w:val="16"/>
          <w:color w:val="auto"/>
        </w:rPr>
      </w:pPr>
      <w:r>
        <w:rPr>
          <w:rFonts w:ascii="Arial" w:cs="Arial" w:eastAsia="Arial" w:hAnsi="Arial"/>
          <w:sz w:val="16"/>
          <w:szCs w:val="16"/>
          <w:color w:val="auto"/>
        </w:rPr>
        <w:t>At the First Effective Time, each Company Option that is outstanding and unexercised immediately prior to the First Effective Time under the Company Plan, whether or not vested, shall be converted into and become an option to purchase Parent Common Stock, and Parent shall assume the Company Plan and each such Company Option in accordance with the terms (as in effect as of the date of this Agreement) of the Company Plan and the terms of the stock option agreement by which such Company Option is evidenced (but with changes to such documents as Parent in good faith determines are necessary to reflect the substitution of the Company Options by Parent to purchase shares of Parent Common Stock). All rights with respect to Company Common Stock under Company Options assumed by Parent shall thereupon be converted into rights with respect to Parent Common Stock. Accordingly, from and after the First Effective Time: (i) each Company Option assumed by Parent may be exercised solely for shares of Parent Common Stock; (ii) the number of shares of Parent Common Stock subject to each Company Option assumed by Parent shall be determined by multiplying (A) the number of shares of Company Common Stock that were subject to such Company Option, as in effect immediately prior to the First Effective Time, by (B) the Exchange Ratio, and rounding the resulting number down to the nearest whole number of shares of Parent Common Stock;</w:t>
      </w:r>
    </w:p>
    <w:p>
      <w:pPr>
        <w:spacing w:after="0" w:line="4" w:lineRule="exact"/>
        <w:rPr>
          <w:rFonts w:ascii="Arial" w:cs="Arial" w:eastAsia="Arial" w:hAnsi="Arial"/>
          <w:sz w:val="16"/>
          <w:szCs w:val="16"/>
          <w:color w:val="auto"/>
        </w:rPr>
      </w:pPr>
    </w:p>
    <w:p>
      <w:pPr>
        <w:ind w:left="4" w:right="40" w:hanging="4"/>
        <w:spacing w:after="0" w:line="295" w:lineRule="auto"/>
        <w:tabs>
          <w:tab w:leader="none" w:pos="319"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per share exercise price for the Parent Common Stock issuable upon exercise of each Company Option assumed by Parent shall be determined by dividing (A) the per share exercise price of Company Common Stock subject to such Company Option, as in effect immediately prior to the First Effective Time, by (B) the Exchange Ratio and rounding the resulting exercise price up to the nearest whole cent; and (iv) any restriction on the exercise of any Company Option assumed by Parent shall continue in full force and effect and the term, exercisability, vesting schedule and other</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221" w:name="page222"/>
    <w:bookmarkEnd w:id="22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provisions of such Company Option shall otherwise remain unchanged;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 the case of any Company Option to which Section 421 of the Code applies as of the First Effective Time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and (II) the exercise price, the number of shares of Parent Common Stock subject to, and the terms and conditions of exercise of each option to purchase Parent Common Stock shall also be determined in a manner consistent with the requirements of Section 409A of the Code; </w:t>
      </w:r>
      <w:r>
        <w:rPr>
          <w:rFonts w:ascii="Arial" w:cs="Arial" w:eastAsia="Arial" w:hAnsi="Arial"/>
          <w:sz w:val="16"/>
          <w:szCs w:val="16"/>
          <w:i w:val="1"/>
          <w:iCs w:val="1"/>
          <w:color w:val="auto"/>
        </w:rPr>
        <w:t>provided, further</w:t>
      </w:r>
      <w:r>
        <w:rPr>
          <w:rFonts w:ascii="Arial" w:cs="Arial" w:eastAsia="Arial" w:hAnsi="Arial"/>
          <w:sz w:val="16"/>
          <w:szCs w:val="16"/>
          <w:color w:val="auto"/>
        </w:rPr>
        <w:t>, that: (x) Parent may amend the terms of the Company Options and the Company Plan as may be necessary to reflect Parent’s substitution of the Company Options with options to purchase Parent Common Stock (such as by making any change in control or similar definition relate to Parent and having any provision that provides for the adjustment of Company Options upon the occurrence of certain corporate events relate to corporate events that relate to Parent and/or Parent Common Stock); and (y) the Parent Board or a committee thereof shall succeed to the authority and responsibility of the Company Board or any committee thereof with respect to each Company Option assumed by Parent.</w:t>
      </w:r>
    </w:p>
    <w:p>
      <w:pPr>
        <w:spacing w:after="0" w:line="168" w:lineRule="exact"/>
        <w:rPr>
          <w:sz w:val="20"/>
          <w:szCs w:val="20"/>
          <w:color w:val="auto"/>
        </w:rPr>
      </w:pPr>
    </w:p>
    <w:p>
      <w:pPr>
        <w:jc w:val="both"/>
        <w:ind w:firstLine="1428"/>
        <w:spacing w:after="0" w:line="263" w:lineRule="auto"/>
        <w:tabs>
          <w:tab w:leader="none" w:pos="1687"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Parent shall file with the SEC, promptly after the First Effective Time (and in any evert, not later than thirty (30) days thereafter), a registration statement on Form S-8 (or any successor form), if available for use by Parent, relating to the shares of Parent Common Stock issuable with respect to Company Options assumed by Parent in accordance with Section 1.10.</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Contingent Value Right</w:t>
      </w:r>
      <w:r>
        <w:rPr>
          <w:rFonts w:ascii="Arial" w:cs="Arial" w:eastAsia="Arial" w:hAnsi="Arial"/>
          <w:sz w:val="18"/>
          <w:szCs w:val="18"/>
          <w:color w:val="auto"/>
        </w:rPr>
        <w:t>.</w:t>
      </w:r>
    </w:p>
    <w:p>
      <w:pPr>
        <w:spacing w:after="0" w:line="229" w:lineRule="exact"/>
        <w:rPr>
          <w:sz w:val="20"/>
          <w:szCs w:val="20"/>
          <w:color w:val="auto"/>
        </w:rPr>
      </w:pPr>
    </w:p>
    <w:p>
      <w:pPr>
        <w:jc w:val="both"/>
        <w:ind w:firstLine="1428"/>
        <w:spacing w:after="0" w:line="311" w:lineRule="auto"/>
        <w:tabs>
          <w:tab w:leader="none" w:pos="1677" w:val="left"/>
        </w:tabs>
        <w:numPr>
          <w:ilvl w:val="0"/>
          <w:numId w:val="95"/>
        </w:numPr>
        <w:rPr>
          <w:rFonts w:ascii="Arial" w:cs="Arial" w:eastAsia="Arial" w:hAnsi="Arial"/>
          <w:sz w:val="16"/>
          <w:szCs w:val="16"/>
          <w:color w:val="auto"/>
        </w:rPr>
      </w:pPr>
      <w:r>
        <w:rPr>
          <w:rFonts w:ascii="Arial" w:cs="Arial" w:eastAsia="Arial" w:hAnsi="Arial"/>
          <w:sz w:val="16"/>
          <w:szCs w:val="16"/>
          <w:color w:val="auto"/>
        </w:rPr>
        <w:t>Holders of Parent Common Stock of record as of immediately prior to the First Effective Time shall be entitled to one contractual contingent value right (a “</w:t>
      </w:r>
      <w:r>
        <w:rPr>
          <w:rFonts w:ascii="Arial" w:cs="Arial" w:eastAsia="Arial" w:hAnsi="Arial"/>
          <w:sz w:val="16"/>
          <w:szCs w:val="16"/>
          <w:b w:val="1"/>
          <w:bCs w:val="1"/>
          <w:i w:val="1"/>
          <w:iCs w:val="1"/>
          <w:color w:val="auto"/>
        </w:rPr>
        <w:t>CVR</w:t>
      </w:r>
      <w:r>
        <w:rPr>
          <w:rFonts w:ascii="Arial" w:cs="Arial" w:eastAsia="Arial" w:hAnsi="Arial"/>
          <w:sz w:val="16"/>
          <w:szCs w:val="16"/>
          <w:color w:val="auto"/>
        </w:rPr>
        <w:t xml:space="preserve">”) issued by Parent subject to and in accordance with the terms and conditions of the CVR Agreement, attached hereto as </w:t>
      </w:r>
      <w:r>
        <w:rPr>
          <w:rFonts w:ascii="Arial" w:cs="Arial" w:eastAsia="Arial" w:hAnsi="Arial"/>
          <w:sz w:val="16"/>
          <w:szCs w:val="16"/>
          <w:b w:val="1"/>
          <w:bCs w:val="1"/>
          <w:color w:val="auto"/>
        </w:rPr>
        <w:t xml:space="preserve">Exhibit D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CVR Agreement</w:t>
      </w:r>
      <w:r>
        <w:rPr>
          <w:rFonts w:ascii="Arial" w:cs="Arial" w:eastAsia="Arial" w:hAnsi="Arial"/>
          <w:sz w:val="16"/>
          <w:szCs w:val="16"/>
          <w:color w:val="auto"/>
        </w:rPr>
        <w:t>”), for each share of Parent Common Stock held by such holders (less applicable withholding Taxes).</w:t>
      </w:r>
    </w:p>
    <w:p>
      <w:pPr>
        <w:spacing w:after="0" w:line="148" w:lineRule="exact"/>
        <w:rPr>
          <w:rFonts w:ascii="Arial" w:cs="Arial" w:eastAsia="Arial" w:hAnsi="Arial"/>
          <w:sz w:val="16"/>
          <w:szCs w:val="16"/>
          <w:color w:val="auto"/>
        </w:rPr>
      </w:pPr>
    </w:p>
    <w:p>
      <w:pPr>
        <w:ind w:right="80" w:firstLine="1428"/>
        <w:spacing w:after="0" w:line="296" w:lineRule="auto"/>
        <w:tabs>
          <w:tab w:leader="none" w:pos="1687" w:val="left"/>
        </w:tabs>
        <w:numPr>
          <w:ilvl w:val="0"/>
          <w:numId w:val="95"/>
        </w:numPr>
        <w:rPr>
          <w:rFonts w:ascii="Arial" w:cs="Arial" w:eastAsia="Arial" w:hAnsi="Arial"/>
          <w:sz w:val="16"/>
          <w:szCs w:val="16"/>
          <w:color w:val="auto"/>
        </w:rPr>
      </w:pPr>
      <w:r>
        <w:rPr>
          <w:rFonts w:ascii="Arial" w:cs="Arial" w:eastAsia="Arial" w:hAnsi="Arial"/>
          <w:sz w:val="16"/>
          <w:szCs w:val="16"/>
          <w:color w:val="auto"/>
        </w:rPr>
        <w:t>Within thirty (30) days of the First Effective Time, Parent shall authorize and duly adopt, execute and deliver, and will ensure that Exchange Agent executes and delivers, the CVR Agreement, subject to any reasonable revisions to the CVR Agreement that are requested by such Exchange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revisions are not, individually or in the aggregate, detrimental or adverse, taken as a whole, to any holder of a CVR). Parent and the Company shall cooperate, including by making changes to the form of CVR Agreement, as necessary to ensure that the CVRs are not subject to registration under the Securities Act, the Exchange Act or any applicable state securities or “blue sky” laws.</w:t>
      </w:r>
    </w:p>
    <w:p>
      <w:pPr>
        <w:spacing w:after="0" w:line="161" w:lineRule="exact"/>
        <w:rPr>
          <w:rFonts w:ascii="Arial" w:cs="Arial" w:eastAsia="Arial" w:hAnsi="Arial"/>
          <w:sz w:val="16"/>
          <w:szCs w:val="16"/>
          <w:color w:val="auto"/>
        </w:rPr>
      </w:pPr>
    </w:p>
    <w:p>
      <w:pPr>
        <w:ind w:left="1680" w:hanging="252"/>
        <w:spacing w:after="0"/>
        <w:tabs>
          <w:tab w:leader="none" w:pos="16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Parent and the Exchange Agent shall, within thirty (30) days of the First Effective Time, duly authorize, execute and deliver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CVR Agreement.</w:t>
      </w:r>
    </w:p>
    <w:p>
      <w:pPr>
        <w:spacing w:after="0" w:line="207"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Further Action</w:t>
      </w:r>
      <w:r>
        <w:rPr>
          <w:rFonts w:ascii="Arial" w:cs="Arial" w:eastAsia="Arial" w:hAnsi="Arial"/>
          <w:sz w:val="16"/>
          <w:szCs w:val="16"/>
          <w:color w:val="auto"/>
        </w:rPr>
        <w:t>.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reasonable best efforts (in the name of the Company, in the name of Merger Subs, in the name of the Surviving Entity and otherwise) to take such action.</w:t>
      </w:r>
    </w:p>
    <w:p>
      <w:pPr>
        <w:spacing w:after="0" w:line="151" w:lineRule="exact"/>
        <w:rPr>
          <w:sz w:val="20"/>
          <w:szCs w:val="20"/>
          <w:color w:val="auto"/>
        </w:rPr>
      </w:pPr>
    </w:p>
    <w:p>
      <w:pPr>
        <w:ind w:right="160" w:firstLine="991"/>
        <w:spacing w:after="0" w:line="28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The Parties and the Exchange Agent (each, a “</w:t>
      </w:r>
      <w:r>
        <w:rPr>
          <w:rFonts w:ascii="Arial" w:cs="Arial" w:eastAsia="Arial" w:hAnsi="Arial"/>
          <w:sz w:val="17"/>
          <w:szCs w:val="17"/>
          <w:b w:val="1"/>
          <w:bCs w:val="1"/>
          <w:i w:val="1"/>
          <w:iCs w:val="1"/>
          <w:color w:val="auto"/>
        </w:rPr>
        <w:t>Withholding Agent</w:t>
      </w:r>
      <w:r>
        <w:rPr>
          <w:rFonts w:ascii="Arial" w:cs="Arial" w:eastAsia="Arial" w:hAnsi="Arial"/>
          <w:sz w:val="17"/>
          <w:szCs w:val="17"/>
          <w:color w:val="auto"/>
        </w:rPr>
        <w:t>”) shall be entitled to deduct and withhold from the consideration otherwise payable pursuant to this Agreement (including the CVR Agreement) to any holder of Company Capital Stock or any other Person such amounts as such Party or the Exchange Agent is required to deduct and withhold under the Code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2" w:name="page223"/>
    <w:bookmarkEnd w:id="22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Law with respect to the making of such payment; provided, however, that if a Withholding Agent determines that any payment to any stockholder of the Company hereunder is subject to deduction and/or withholding, then, except with respect to compensatory payments, or as a result of a failure to deliver the certificate described in Section 6.2, such Withholding Agent shall (i) provide notice to such stockholder as soon as reasonably practicable after such determination (and no later than three (3) Business Days prior to undertaking such deduction and/or withholding), and (ii) use commercially reasonable efforts to cooperate with such stockholder prior to Closing to reduce or eliminate any such deduction and/or withholding. To the extent that amounts are so withheld and paid over to the appropriate Governmental Body, such withheld amounts shall be treated for all purposes of this Agreement as having been paid to the Person in respect of whom such deduction and withholding was made.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229"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8.13(h)</w:t>
      </w:r>
      <w:r>
        <w:rPr>
          <w:rFonts w:ascii="Arial" w:cs="Arial" w:eastAsia="Arial" w:hAnsi="Arial"/>
          <w:sz w:val="18"/>
          <w:szCs w:val="18"/>
          <w:color w:val="auto"/>
        </w:rPr>
        <w:t>, except as set forth in the disclosure schedule delivered by the Company to Parent (the “</w:t>
      </w:r>
      <w:r>
        <w:rPr>
          <w:rFonts w:ascii="Arial" w:cs="Arial" w:eastAsia="Arial" w:hAnsi="Arial"/>
          <w:sz w:val="18"/>
          <w:szCs w:val="18"/>
          <w:b w:val="1"/>
          <w:bCs w:val="1"/>
          <w:i w:val="1"/>
          <w:iCs w:val="1"/>
          <w:color w:val="auto"/>
        </w:rPr>
        <w:t>Company 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the Company represents and warrants to Parent and Merger Subs as follows:</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Due Organization; Subsidiaries</w:t>
      </w:r>
      <w:r>
        <w:rPr>
          <w:rFonts w:ascii="Arial" w:cs="Arial" w:eastAsia="Arial" w:hAnsi="Arial"/>
          <w:sz w:val="18"/>
          <w:szCs w:val="18"/>
          <w:color w:val="auto"/>
        </w:rPr>
        <w:t>.</w:t>
      </w:r>
    </w:p>
    <w:p>
      <w:pPr>
        <w:spacing w:after="0" w:line="229" w:lineRule="exact"/>
        <w:rPr>
          <w:sz w:val="20"/>
          <w:szCs w:val="20"/>
          <w:color w:val="auto"/>
        </w:rPr>
      </w:pPr>
    </w:p>
    <w:p>
      <w:pPr>
        <w:ind w:right="40" w:firstLine="1428"/>
        <w:spacing w:after="0" w:line="259" w:lineRule="auto"/>
        <w:tabs>
          <w:tab w:leader="none" w:pos="167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is a corporation duly incorporated, validly existing and in good standing under the Laws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86" w:lineRule="exact"/>
        <w:rPr>
          <w:rFonts w:ascii="Arial" w:cs="Arial" w:eastAsia="Arial" w:hAnsi="Arial"/>
          <w:sz w:val="18"/>
          <w:szCs w:val="18"/>
          <w:color w:val="auto"/>
        </w:rPr>
      </w:pPr>
    </w:p>
    <w:p>
      <w:pPr>
        <w:jc w:val="both"/>
        <w:ind w:firstLine="1428"/>
        <w:spacing w:after="0" w:line="286" w:lineRule="auto"/>
        <w:tabs>
          <w:tab w:leader="none" w:pos="168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65" w:lineRule="exact"/>
        <w:rPr>
          <w:rFonts w:ascii="Arial" w:cs="Arial" w:eastAsia="Arial" w:hAnsi="Arial"/>
          <w:sz w:val="17"/>
          <w:szCs w:val="17"/>
          <w:color w:val="auto"/>
        </w:rPr>
      </w:pPr>
    </w:p>
    <w:p>
      <w:pPr>
        <w:ind w:firstLine="1428"/>
        <w:spacing w:after="0" w:line="277" w:lineRule="auto"/>
        <w:tabs>
          <w:tab w:leader="none" w:pos="167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has no Subsidiaries and the Company does not own any capital stock of, or any equity, ownership or profit-sharing interest of any nature in, or controls directly or indirectly, any other Entity.</w:t>
      </w:r>
    </w:p>
    <w:p>
      <w:pPr>
        <w:spacing w:after="0" w:line="170" w:lineRule="exact"/>
        <w:rPr>
          <w:rFonts w:ascii="Arial" w:cs="Arial" w:eastAsia="Arial" w:hAnsi="Arial"/>
          <w:sz w:val="18"/>
          <w:szCs w:val="18"/>
          <w:color w:val="auto"/>
        </w:rPr>
      </w:pPr>
    </w:p>
    <w:p>
      <w:pPr>
        <w:ind w:firstLine="1428"/>
        <w:spacing w:after="0" w:line="279" w:lineRule="auto"/>
        <w:tabs>
          <w:tab w:leader="none" w:pos="168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 is not nor has ever been, directly or indirectly, a party to, member of or participant in any partnership, joint venture or similar business entity. The Company has not agreed to, and is not obligated to make, nor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67" w:lineRule="exact"/>
        <w:rPr>
          <w:sz w:val="20"/>
          <w:szCs w:val="20"/>
          <w:color w:val="auto"/>
        </w:rPr>
      </w:pPr>
    </w:p>
    <w:p>
      <w:pPr>
        <w:ind w:right="560" w:firstLine="991"/>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Organizational Documents</w:t>
      </w:r>
      <w:r>
        <w:rPr>
          <w:rFonts w:ascii="Arial" w:cs="Arial" w:eastAsia="Arial" w:hAnsi="Arial"/>
          <w:sz w:val="18"/>
          <w:szCs w:val="18"/>
          <w:color w:val="auto"/>
        </w:rPr>
        <w:t>. The Company has made available to Parent accurate and complete copies of the Organizational Documents of the Company in effect as of the date of this Agreement. The Company is not in breach or violation of its respective Organizational Documents.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23" w:name="page224"/>
    <w:bookmarkEnd w:id="22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Arial" w:cs="Arial" w:eastAsia="Arial" w:hAnsi="Arial"/>
          <w:sz w:val="18"/>
          <w:szCs w:val="18"/>
          <w:b w:val="1"/>
          <w:bCs w:val="1"/>
          <w:u w:val="single" w:color="auto"/>
          <w:color w:val="auto"/>
        </w:rPr>
        <w:t>Authority; Binding Nature of Agreement</w:t>
      </w:r>
      <w:r>
        <w:rPr>
          <w:rFonts w:ascii="Arial" w:cs="Arial" w:eastAsia="Arial" w:hAnsi="Arial"/>
          <w:sz w:val="18"/>
          <w:szCs w:val="18"/>
          <w:color w:val="auto"/>
        </w:rPr>
        <w:t>.</w:t>
      </w:r>
    </w:p>
    <w:p>
      <w:pPr>
        <w:spacing w:after="0" w:line="229" w:lineRule="exact"/>
        <w:rPr>
          <w:sz w:val="20"/>
          <w:szCs w:val="20"/>
          <w:color w:val="auto"/>
        </w:rPr>
      </w:pPr>
    </w:p>
    <w:p>
      <w:pPr>
        <w:ind w:left="4" w:right="140" w:firstLine="1428"/>
        <w:spacing w:after="0" w:line="286" w:lineRule="auto"/>
        <w:tabs>
          <w:tab w:leader="none" w:pos="1681"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Company has all necessary corporate power and authority to enter into and to perform its obligations under this Agreement and, subject to receipt of the Required Company Stockholder Vote, to consummate the Contemplated Transactions. The Company Board (at meetings duly called and held or by unanimous written consent) has (i) determined that the Contemplated Transactions are fair to, advisable and in the best interests of the Company and its stockholders, (ii) authorized, approved and declared advisable this Agreement and the Contemplated Transactions and</w:t>
      </w:r>
    </w:p>
    <w:p>
      <w:pPr>
        <w:spacing w:after="0" w:line="1" w:lineRule="exact"/>
        <w:rPr>
          <w:rFonts w:ascii="Arial" w:cs="Arial" w:eastAsia="Arial" w:hAnsi="Arial"/>
          <w:sz w:val="16"/>
          <w:szCs w:val="16"/>
          <w:color w:val="auto"/>
        </w:rPr>
      </w:pPr>
    </w:p>
    <w:p>
      <w:pPr>
        <w:ind w:left="4" w:right="240" w:hanging="4"/>
        <w:spacing w:after="0" w:line="260" w:lineRule="auto"/>
        <w:tabs>
          <w:tab w:leader="none" w:pos="319"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stockholders of the Company vote in favor of the Company Stockholder Matters.</w:t>
      </w:r>
    </w:p>
    <w:p>
      <w:pPr>
        <w:spacing w:after="0" w:line="185" w:lineRule="exact"/>
        <w:rPr>
          <w:rFonts w:ascii="Arial" w:cs="Arial" w:eastAsia="Arial" w:hAnsi="Arial"/>
          <w:sz w:val="18"/>
          <w:szCs w:val="18"/>
          <w:color w:val="auto"/>
        </w:rPr>
      </w:pPr>
    </w:p>
    <w:p>
      <w:pPr>
        <w:ind w:left="4" w:right="40" w:firstLine="1428"/>
        <w:spacing w:after="0" w:line="263" w:lineRule="auto"/>
        <w:tabs>
          <w:tab w:leader="none" w:pos="1691"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Company and, assuming the due authorization, execution and delivery by Parent and Merger Subs, constitutes the legal, valid and binding obligation of the Company, enforceable against the Company in accordance with its terms, subject to the Enforceability Exceptions.</w:t>
      </w:r>
    </w:p>
    <w:p>
      <w:pPr>
        <w:spacing w:after="0" w:line="180" w:lineRule="exact"/>
        <w:rPr>
          <w:sz w:val="20"/>
          <w:szCs w:val="20"/>
          <w:color w:val="auto"/>
        </w:rPr>
      </w:pPr>
    </w:p>
    <w:p>
      <w:pPr>
        <w:ind w:left="4" w:right="40" w:firstLine="991"/>
        <w:spacing w:after="0" w:line="274"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Vote Required</w:t>
      </w:r>
      <w:r>
        <w:rPr>
          <w:rFonts w:ascii="Arial" w:cs="Arial" w:eastAsia="Arial" w:hAnsi="Arial"/>
          <w:sz w:val="17"/>
          <w:szCs w:val="17"/>
          <w:color w:val="auto"/>
        </w:rPr>
        <w:t>. The affirmative vote (or written consent) of the holders of a majority of the shares of Company Common Stock outstanding on the record date for the Stockholder Written Consent and entitled to vote thereon, voting as a single class (the “</w:t>
      </w:r>
      <w:r>
        <w:rPr>
          <w:rFonts w:ascii="Arial" w:cs="Arial" w:eastAsia="Arial" w:hAnsi="Arial"/>
          <w:sz w:val="17"/>
          <w:szCs w:val="17"/>
          <w:b w:val="1"/>
          <w:bCs w:val="1"/>
          <w:i w:val="1"/>
          <w:iCs w:val="1"/>
          <w:color w:val="auto"/>
        </w:rPr>
        <w:t>Required 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Stockholder Vote</w:t>
      </w:r>
      <w:r>
        <w:rPr>
          <w:rFonts w:ascii="Arial" w:cs="Arial" w:eastAsia="Arial" w:hAnsi="Arial"/>
          <w:sz w:val="17"/>
          <w:szCs w:val="17"/>
          <w:color w:val="auto"/>
        </w:rPr>
        <w:t>”), is the only vote (or written consent) of the holders of any class or series of Company Capital Stock necessary to adopt and approve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and approve the Contemplated Transactions. The Stockholder Written Consent became effective upon the execution of this Agreement by the parties hereto and provided the Required Company Stockholder Vote. No other corporate proceedings by the Company are necessary to authorize this Agreement or to consummate the Contemplated Transactions.</w:t>
      </w:r>
    </w:p>
    <w:p>
      <w:pPr>
        <w:spacing w:after="0" w:line="173" w:lineRule="exact"/>
        <w:rPr>
          <w:sz w:val="20"/>
          <w:szCs w:val="20"/>
          <w:color w:val="auto"/>
        </w:rPr>
      </w:pPr>
    </w:p>
    <w:p>
      <w:pPr>
        <w:ind w:left="4" w:right="120" w:firstLine="991"/>
        <w:spacing w:after="0" w:line="31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u w:val="single" w:color="auto"/>
          <w:color w:val="auto"/>
        </w:rPr>
        <w:t>Non-Contravention; Consents</w:t>
      </w:r>
      <w:r>
        <w:rPr>
          <w:rFonts w:ascii="Arial" w:cs="Arial" w:eastAsia="Arial" w:hAnsi="Arial"/>
          <w:sz w:val="16"/>
          <w:szCs w:val="16"/>
          <w:color w:val="auto"/>
        </w:rPr>
        <w:t>. Subject to obtaining the required Company Stockholder Vote, the filing of the Certificates of Merger required by the DGCL, and the filing of the Certificate of Designation, neither (x) the execution, delivery or performance of this Agreement by the Company, nor (y) the consummation of the Contemplated Transactions, will directly or indirectly (with or without notice or lapse of time):</w:t>
      </w:r>
    </w:p>
    <w:p>
      <w:pPr>
        <w:spacing w:after="0" w:line="38" w:lineRule="exact"/>
        <w:rPr>
          <w:sz w:val="20"/>
          <w:szCs w:val="20"/>
          <w:color w:val="auto"/>
        </w:rPr>
      </w:pPr>
    </w:p>
    <w:p>
      <w:pPr>
        <w:ind w:left="1684" w:hanging="252"/>
        <w:spacing w:after="0"/>
        <w:tabs>
          <w:tab w:leader="none" w:pos="168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225" w:lineRule="exact"/>
        <w:rPr>
          <w:rFonts w:ascii="Arial" w:cs="Arial" w:eastAsia="Arial" w:hAnsi="Arial"/>
          <w:sz w:val="18"/>
          <w:szCs w:val="18"/>
          <w:color w:val="auto"/>
        </w:rPr>
      </w:pPr>
    </w:p>
    <w:p>
      <w:pPr>
        <w:ind w:left="4" w:right="20" w:firstLine="1428"/>
        <w:spacing w:after="0" w:line="259" w:lineRule="auto"/>
        <w:tabs>
          <w:tab w:leader="none" w:pos="1691"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or give any Governmental Body or other Person the right to challenge the Contemplated Transactions or to exercise any remedy or obtain any relief under, any Law or any order, writ, injunction, judgment or decree to which the Company, or any of the assets owned or used by the Company, is subject, except as would not reasonably be expected to be material to the Company or its business;</w:t>
      </w:r>
    </w:p>
    <w:p>
      <w:pPr>
        <w:spacing w:after="0" w:line="186" w:lineRule="exact"/>
        <w:rPr>
          <w:rFonts w:ascii="Arial" w:cs="Arial" w:eastAsia="Arial" w:hAnsi="Arial"/>
          <w:sz w:val="18"/>
          <w:szCs w:val="18"/>
          <w:color w:val="auto"/>
        </w:rPr>
      </w:pPr>
    </w:p>
    <w:p>
      <w:pPr>
        <w:ind w:left="4" w:right="60" w:firstLine="1428"/>
        <w:spacing w:after="0" w:line="263" w:lineRule="auto"/>
        <w:tabs>
          <w:tab w:leader="none" w:pos="1681"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terms or requirements of, or give any Governmental Body the right to revoke, withdraw, suspend, cancel, terminate or modify, any Governmental Authorization that is held by the Company, except as would not reasonably be expected to be material to the Company or its business;</w:t>
      </w:r>
    </w:p>
    <w:p>
      <w:pPr>
        <w:spacing w:after="0" w:line="183" w:lineRule="exact"/>
        <w:rPr>
          <w:rFonts w:ascii="Arial" w:cs="Arial" w:eastAsia="Arial" w:hAnsi="Arial"/>
          <w:sz w:val="18"/>
          <w:szCs w:val="18"/>
          <w:color w:val="auto"/>
        </w:rPr>
      </w:pPr>
    </w:p>
    <w:p>
      <w:pPr>
        <w:ind w:left="4" w:right="20" w:firstLine="1428"/>
        <w:spacing w:after="0" w:line="257" w:lineRule="auto"/>
        <w:tabs>
          <w:tab w:leader="none" w:pos="1691"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Company Material Contract, or give any Person the right to: (i) declare a default or exercise any remedy under any Company Material Contract; (ii) any material payment, rebate, chargeback, penalty or change in delivery schedule under any Company Material Contract; (iii) accelerate the maturity or performance of any Company Material Contract; or (iv) cancel, terminate or modify any term of any Company Material Contract, except in the case of any non-material breach, default, penalty or modification; or</w:t>
      </w:r>
    </w:p>
    <w:p>
      <w:pPr>
        <w:spacing w:after="0" w:line="187" w:lineRule="exact"/>
        <w:rPr>
          <w:rFonts w:ascii="Arial" w:cs="Arial" w:eastAsia="Arial" w:hAnsi="Arial"/>
          <w:sz w:val="18"/>
          <w:szCs w:val="18"/>
          <w:color w:val="auto"/>
        </w:rPr>
      </w:pPr>
    </w:p>
    <w:p>
      <w:pPr>
        <w:ind w:left="4" w:firstLine="1428"/>
        <w:spacing w:after="0" w:line="277" w:lineRule="auto"/>
        <w:tabs>
          <w:tab w:leader="none" w:pos="1681"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the Company (except for Permitted Encumbrances).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0" w:right="459" w:bottom="1440" w:gutter="0" w:footer="0" w:header="0"/>
        </w:sectPr>
      </w:pPr>
    </w:p>
    <w:bookmarkStart w:id="224" w:name="page225"/>
    <w:bookmarkEnd w:id="224"/>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for (i) any Consent set forth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of the Company Disclosure Schedule under any Company Contract, (ii) the Required Company Stockholder Vote, (iii) the filing of the Certificates of Merger with the Secretary of State of the State of Delaware pursuant to the DGCL, (iv) the filing of the Certificate of Designation with the Secretary of State of the State of Delaware pursuant to the DGCL and (v) such consents, waivers, approvals, orders, authorizations, registrations, declarations and filings as may be required under applicable federal and state securities Laws, the Company is not required to make any filing with or give any notice to, or to obtain any Consent from, any Person in connection with (A) the execution, delivery or performance of this Agreement, or (B) the consummation of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the Lock-Up Agreements and to the consummation of the Contemplated Transactions. No other state takeover statute or similar Law applies or purports to apply to the Merger, this Agreement, the Lock-Up Agreements or any of the Contemplated Transactions.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w:t>
      </w:r>
    </w:p>
    <w:p>
      <w:pPr>
        <w:spacing w:after="0" w:line="229" w:lineRule="exact"/>
        <w:rPr>
          <w:sz w:val="20"/>
          <w:szCs w:val="20"/>
          <w:color w:val="auto"/>
        </w:rPr>
      </w:pPr>
    </w:p>
    <w:p>
      <w:pPr>
        <w:ind w:firstLine="1428"/>
        <w:spacing w:after="0" w:line="293" w:lineRule="auto"/>
        <w:tabs>
          <w:tab w:leader="none" w:pos="167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authorized Company Capital Stock as of the date of this Agreement consists of (i) 47,728,480 shares of Company Common Stock, par value $0.001 per share, of which 7,506,651 shares have been issued and are outstanding as of the date of this Agreement, and (ii) 20,000,000 shares of Preferred Stock, par value $0.001 per share (the “</w:t>
      </w:r>
      <w:r>
        <w:rPr>
          <w:rFonts w:ascii="Arial" w:cs="Arial" w:eastAsia="Arial" w:hAnsi="Arial"/>
          <w:sz w:val="16"/>
          <w:szCs w:val="16"/>
          <w:b w:val="1"/>
          <w:bCs w:val="1"/>
          <w:i w:val="1"/>
          <w:iCs w:val="1"/>
          <w:color w:val="auto"/>
        </w:rPr>
        <w:t>Company Preferred Stock</w:t>
      </w:r>
      <w:r>
        <w:rPr>
          <w:rFonts w:ascii="Arial" w:cs="Arial" w:eastAsia="Arial" w:hAnsi="Arial"/>
          <w:sz w:val="16"/>
          <w:szCs w:val="16"/>
          <w:color w:val="auto"/>
        </w:rPr>
        <w:t xml:space="preserve">”), of which 20,000,000 shares have been designated ‘Series A Preferred Stock’ all of which have been issued and are outstanding as of the date of this Agreement. The Company does not hold any shares of its capital stock in its treasury.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of the Company Disclosure Schedule lists, as of the date of this Agreement, each record holder of issued and outstanding Company Capital Stock and the number and type of shares of Company Capital Stock held by such holder.</w:t>
      </w:r>
    </w:p>
    <w:p>
      <w:pPr>
        <w:spacing w:after="0" w:line="164" w:lineRule="exact"/>
        <w:rPr>
          <w:rFonts w:ascii="Arial" w:cs="Arial" w:eastAsia="Arial" w:hAnsi="Arial"/>
          <w:sz w:val="16"/>
          <w:szCs w:val="16"/>
          <w:color w:val="auto"/>
        </w:rPr>
      </w:pPr>
    </w:p>
    <w:p>
      <w:pPr>
        <w:ind w:right="20" w:firstLine="1428"/>
        <w:spacing w:after="0" w:line="269" w:lineRule="auto"/>
        <w:tabs>
          <w:tab w:leader="none" w:pos="168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All of the outstanding shares of Company Common Stock and Company Preferred Stock have been duly authorized and validly issued, and are fully paid and nonassessable. Except as set forth in the Investor Agreements,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or as set forth in the Investor Agreements, there is no Company Contract relating to the voting or registration of, or restricting any Person from purchasing, selling, pledging or otherwise disposing of (or granting any option or similar right with respect to), any shares of Company Capital Stock. The Company is not under any obligation, nor is it bound by any Contract pursuant to which it may become obligated, to repurchase, redeem or otherwise acquire any outstanding shares of Company Capital Stock or other securities.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of the Company Disclosure Schedule accurately and completely lists all repurchase rights held by the Company with respect to shares of Company Capital Stock (including shares issued pursuant to the exercise of stock options) and specifies which of those repurchase rights are currently exercisable and whether the holder of such shares of Company Capital Stock timely filed an election with the relevant Governmental Bodies under Section 83(b) of the Code with respect to such shares. Each share of Company Preferred Stock is convertible into one share of Company Common Stock.</w:t>
      </w:r>
    </w:p>
    <w:p>
      <w:pPr>
        <w:spacing w:after="0" w:line="178" w:lineRule="exact"/>
        <w:rPr>
          <w:rFonts w:ascii="Arial" w:cs="Arial" w:eastAsia="Arial" w:hAnsi="Arial"/>
          <w:sz w:val="17"/>
          <w:szCs w:val="17"/>
          <w:color w:val="auto"/>
        </w:rPr>
      </w:pPr>
    </w:p>
    <w:p>
      <w:pPr>
        <w:ind w:right="60" w:firstLine="1428"/>
        <w:spacing w:after="0" w:line="257" w:lineRule="auto"/>
        <w:tabs>
          <w:tab w:leader="none" w:pos="16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for the Company’s 2023 Equity Incentive Plan (the “</w:t>
      </w:r>
      <w:r>
        <w:rPr>
          <w:rFonts w:ascii="Arial" w:cs="Arial" w:eastAsia="Arial" w:hAnsi="Arial"/>
          <w:sz w:val="18"/>
          <w:szCs w:val="18"/>
          <w:b w:val="1"/>
          <w:bCs w:val="1"/>
          <w:i w:val="1"/>
          <w:iCs w:val="1"/>
          <w:color w:val="auto"/>
        </w:rPr>
        <w:t>Company Plan</w:t>
      </w:r>
      <w:r>
        <w:rPr>
          <w:rFonts w:ascii="Arial" w:cs="Arial" w:eastAsia="Arial" w:hAnsi="Arial"/>
          <w:sz w:val="18"/>
          <w:szCs w:val="18"/>
          <w:color w:val="auto"/>
        </w:rPr>
        <w:t>”), the Company does not have any stock option plan or any other plan, program, agreement or arrangement providing for any equity-based compensation for any Person. As of the date of this Agreement, the Company has reserved 2,049,133 shares of Company Common Stock for issuance under the Company Plan, of which 1,827,304 shares have been issued and are currently outstanding, 5,000 shares have been reserved for issuance upon exercise of Company Options previously granted and currently outstanding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5" w:name="page226"/>
    <w:bookmarkEnd w:id="22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the Company Plan, and 216,829 shares of Company Common Stock remain available for future issuance of awards pursuant to the Company Plan.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of the Company Disclosure Schedule sets forth the following information with respect to each Company Option outstanding as of the date of this Agreement: (i) the name of the optionee; (ii) the number of shares of Company Common Stock subject to such Company Option at the time of grant; (iii) the number of shares of Company Common Stock subject to such Company Option as of the date of this Agreement; (iv) the exercise price of such Company Option; (v) the date on which such Company Option was granted; (vi) the applicable vesting schedule, including the number of vested and unvested shares as of the date of this Agreement and any acceleration provisions; (vii) the date on which such Company Option expires;</w:t>
      </w:r>
    </w:p>
    <w:p>
      <w:pPr>
        <w:spacing w:after="0" w:line="4" w:lineRule="exact"/>
        <w:rPr>
          <w:sz w:val="20"/>
          <w:szCs w:val="20"/>
          <w:color w:val="auto"/>
        </w:rPr>
      </w:pPr>
    </w:p>
    <w:p>
      <w:pPr>
        <w:ind w:left="404" w:hanging="404"/>
        <w:spacing w:after="0"/>
        <w:tabs>
          <w:tab w:leader="none" w:pos="40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whether such Company Option is intended to constitute an “incentive stock option” (as defined in the Code) or a non-qualified stock option; and</w:t>
      </w:r>
    </w:p>
    <w:p>
      <w:pPr>
        <w:spacing w:after="0" w:line="32" w:lineRule="exact"/>
        <w:rPr>
          <w:rFonts w:ascii="Arial" w:cs="Arial" w:eastAsia="Arial" w:hAnsi="Arial"/>
          <w:sz w:val="16"/>
          <w:szCs w:val="16"/>
          <w:color w:val="auto"/>
        </w:rPr>
      </w:pPr>
    </w:p>
    <w:p>
      <w:pPr>
        <w:jc w:val="both"/>
        <w:ind w:left="4" w:right="140" w:hanging="4"/>
        <w:spacing w:after="0" w:line="255" w:lineRule="auto"/>
        <w:tabs>
          <w:tab w:leader="none" w:pos="30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whether such Company Option is “early exercisable.” The Company has made available to Parent an accurate and complete copy of the Company Plan and a form of stock option agreement that is consistent in all material respects with the stock option agreements evidencing outstanding Company Options granted thereunder.</w:t>
      </w:r>
    </w:p>
    <w:p>
      <w:pPr>
        <w:spacing w:after="0" w:line="189" w:lineRule="exact"/>
        <w:rPr>
          <w:rFonts w:ascii="Arial" w:cs="Arial" w:eastAsia="Arial" w:hAnsi="Arial"/>
          <w:sz w:val="18"/>
          <w:szCs w:val="18"/>
          <w:color w:val="auto"/>
        </w:rPr>
      </w:pPr>
    </w:p>
    <w:p>
      <w:pPr>
        <w:ind w:left="4" w:right="40" w:firstLine="1428"/>
        <w:spacing w:after="0" w:line="293" w:lineRule="auto"/>
        <w:tabs>
          <w:tab w:leader="none" w:pos="169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Except for Company Options set forth in </w:t>
      </w:r>
      <w:r>
        <w:rPr>
          <w:rFonts w:ascii="Arial" w:cs="Arial" w:eastAsia="Arial" w:hAnsi="Arial"/>
          <w:sz w:val="16"/>
          <w:szCs w:val="16"/>
          <w:u w:val="single" w:color="auto"/>
          <w:color w:val="auto"/>
        </w:rPr>
        <w:t>Section 2.6(c)</w:t>
      </w:r>
      <w:r>
        <w:rPr>
          <w:rFonts w:ascii="Arial" w:cs="Arial" w:eastAsia="Arial" w:hAnsi="Arial"/>
          <w:sz w:val="16"/>
          <w:szCs w:val="16"/>
          <w:color w:val="auto"/>
        </w:rPr>
        <w:t xml:space="preserve"> of the Company Disclosure Schedule, there is no: (i)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or (iii)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64" w:lineRule="exact"/>
        <w:rPr>
          <w:rFonts w:ascii="Arial" w:cs="Arial" w:eastAsia="Arial" w:hAnsi="Arial"/>
          <w:sz w:val="16"/>
          <w:szCs w:val="16"/>
          <w:color w:val="auto"/>
        </w:rPr>
      </w:pPr>
    </w:p>
    <w:p>
      <w:pPr>
        <w:ind w:left="4" w:right="160" w:firstLine="1428"/>
        <w:spacing w:after="0" w:line="286" w:lineRule="auto"/>
        <w:tabs>
          <w:tab w:leader="none" w:pos="168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outstanding shares of Company Common Stock, Company Preferred Stock, Company Options, and other securities of the Company have been issued and granted in material compliance with (i) the Organizational Documents of the Company in effect as of the relevant time and all applicable securities Laws and other applicable Law, and (ii) all requirements set forth in applicable Contracts.</w:t>
      </w:r>
    </w:p>
    <w:p>
      <w:pPr>
        <w:spacing w:after="0" w:line="165" w:lineRule="exact"/>
        <w:rPr>
          <w:rFonts w:ascii="Arial" w:cs="Arial" w:eastAsia="Arial" w:hAnsi="Arial"/>
          <w:sz w:val="17"/>
          <w:szCs w:val="17"/>
          <w:color w:val="auto"/>
        </w:rPr>
      </w:pPr>
    </w:p>
    <w:p>
      <w:pPr>
        <w:ind w:left="4" w:right="20" w:firstLine="1428"/>
        <w:spacing w:after="0" w:line="263" w:lineRule="auto"/>
        <w:tabs>
          <w:tab w:leader="none" w:pos="166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distributions, dividends, repurchases and redemptions of the Company Capital Stock or other equity interests of the Company were undertaken in material compliance with (i) the Organizational Documents of the Company in effect as of the relevant time and all applicable securities Laws and other applicable Laws, and (ii) all requirements set forth in applicable Contract.</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9" w:lineRule="exact"/>
        <w:rPr>
          <w:sz w:val="20"/>
          <w:szCs w:val="20"/>
          <w:color w:val="auto"/>
        </w:rPr>
      </w:pPr>
    </w:p>
    <w:p>
      <w:pPr>
        <w:ind w:left="4" w:firstLine="1428"/>
        <w:spacing w:after="0" w:line="273" w:lineRule="auto"/>
        <w:tabs>
          <w:tab w:leader="none" w:pos="16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Concurrently with the execution hereof, the Company has provided to Parent true and complete copies of the Company Unaudited Interim Balance Sheet, together with the unaudited statements of operations and cash flows of the Company for the period reflected in the Company Unaudited Interim Balance Sheet (collectively, the “</w:t>
      </w:r>
      <w:r>
        <w:rPr>
          <w:rFonts w:ascii="Arial" w:cs="Arial" w:eastAsia="Arial" w:hAnsi="Arial"/>
          <w:sz w:val="17"/>
          <w:szCs w:val="17"/>
          <w:b w:val="1"/>
          <w:bCs w:val="1"/>
          <w:i w:val="1"/>
          <w:iCs w:val="1"/>
          <w:color w:val="auto"/>
        </w:rPr>
        <w:t>Company Financials</w:t>
      </w:r>
      <w:r>
        <w:rPr>
          <w:rFonts w:ascii="Arial" w:cs="Arial" w:eastAsia="Arial" w:hAnsi="Arial"/>
          <w:sz w:val="17"/>
          <w:szCs w:val="17"/>
          <w:color w:val="auto"/>
        </w:rPr>
        <w:t>”).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is material) and fairly present, in all material respects, the financial position and operating results of the Company as of the dates and for the periods indicated therein.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26" w:name="page227"/>
    <w:bookmarkEnd w:id="226"/>
    <w:p>
      <w:pPr>
        <w:ind w:left="4" w:right="80" w:firstLine="1428"/>
        <w:spacing w:after="0" w:line="289" w:lineRule="auto"/>
        <w:tabs>
          <w:tab w:leader="none" w:pos="1691"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maintains accurate books and records reflecting its assets and liabilities and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accordance with GAAP and to maintain accountability of the Company’s assets; (iii) access to the Company’s assets is permitted only in accordance with management’s general or specific authorization; (iv) the recorded accountability for the Company’s assets is compared with the existing assets at regular intervals and appropriate action is taken with respect to any differences; and (v) accounts, notes and other receivables and inventory are recorded accurately, and proper and adequate procedures are implemented which are designed to effect the collection thereof on a current and timely basis. The Company maintains internal controls consistent with the practices of similarly situated private companies over financial reporting that provide reasonable assurance regarding the reliability of financial reporting and the preparation of financial statements for external purposes in accordance with GAAP.</w:t>
      </w:r>
    </w:p>
    <w:p>
      <w:pPr>
        <w:spacing w:after="0" w:line="166" w:lineRule="exact"/>
        <w:rPr>
          <w:rFonts w:ascii="Arial" w:cs="Arial" w:eastAsia="Arial" w:hAnsi="Arial"/>
          <w:sz w:val="16"/>
          <w:szCs w:val="16"/>
          <w:color w:val="auto"/>
        </w:rPr>
      </w:pPr>
    </w:p>
    <w:p>
      <w:pPr>
        <w:jc w:val="both"/>
        <w:ind w:left="4" w:right="20" w:firstLine="1428"/>
        <w:spacing w:after="0" w:line="263" w:lineRule="auto"/>
        <w:tabs>
          <w:tab w:leader="none" w:pos="168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of the Company Disclosure Schedule lists, and the Company has delivered to Parent accurate and complete copies of the documentation creating or governing, all securitization transactions and “off-balance sheet arrangements” (as defined in Item 303(c) of Regulation S-K under the Exchange Act) effected by the Company since the Company’s inception.</w:t>
      </w:r>
    </w:p>
    <w:p>
      <w:pPr>
        <w:spacing w:after="0" w:line="183" w:lineRule="exact"/>
        <w:rPr>
          <w:rFonts w:ascii="Arial" w:cs="Arial" w:eastAsia="Arial" w:hAnsi="Arial"/>
          <w:sz w:val="18"/>
          <w:szCs w:val="18"/>
          <w:color w:val="auto"/>
        </w:rPr>
      </w:pPr>
    </w:p>
    <w:p>
      <w:pPr>
        <w:ind w:left="4" w:right="140" w:firstLine="1428"/>
        <w:spacing w:after="0" w:line="254" w:lineRule="auto"/>
        <w:tabs>
          <w:tab w:leader="none" w:pos="169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Since the Company’s inception,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the Company’s inception,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191"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u w:val="single" w:color="auto"/>
          <w:color w:val="auto"/>
        </w:rPr>
        <w:t>Absence of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of the Company Disclosure Schedule, after the date of the Company Unaudited Interim Balance Sheet, the Company has conducted its business only in the Ordinary Course of Business (except for the execution and performance of this Agreement and the discussions, negotiations and transactions related thereto) and there has not been any (a) Company Material Adverse Effect and</w:t>
      </w:r>
    </w:p>
    <w:p>
      <w:pPr>
        <w:spacing w:after="0" w:line="2" w:lineRule="exact"/>
        <w:rPr>
          <w:sz w:val="20"/>
          <w:szCs w:val="20"/>
          <w:color w:val="auto"/>
        </w:rPr>
      </w:pPr>
    </w:p>
    <w:p>
      <w:pPr>
        <w:ind w:left="264" w:hanging="264"/>
        <w:spacing w:after="0"/>
        <w:tabs>
          <w:tab w:leader="none" w:pos="2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has not done any of the following:</w:t>
      </w:r>
    </w:p>
    <w:p>
      <w:pPr>
        <w:spacing w:after="0" w:line="102" w:lineRule="exact"/>
        <w:rPr>
          <w:rFonts w:ascii="Arial" w:cs="Arial" w:eastAsia="Arial" w:hAnsi="Arial"/>
          <w:sz w:val="18"/>
          <w:szCs w:val="18"/>
          <w:color w:val="auto"/>
        </w:rPr>
      </w:pPr>
    </w:p>
    <w:p>
      <w:pPr>
        <w:jc w:val="both"/>
        <w:ind w:left="4" w:right="300" w:firstLine="1428"/>
        <w:spacing w:after="0" w:line="279" w:lineRule="auto"/>
        <w:tabs>
          <w:tab w:leader="none" w:pos="1681" w:val="left"/>
        </w:tabs>
        <w:numPr>
          <w:ilvl w:val="1"/>
          <w:numId w:val="104"/>
        </w:numPr>
        <w:rPr>
          <w:rFonts w:ascii="Arial" w:cs="Arial" w:eastAsia="Arial" w:hAnsi="Arial"/>
          <w:sz w:val="17"/>
          <w:szCs w:val="17"/>
          <w:color w:val="auto"/>
        </w:rPr>
      </w:pPr>
      <w:r>
        <w:rPr>
          <w:rFonts w:ascii="Arial" w:cs="Arial" w:eastAsia="Arial" w:hAnsi="Arial"/>
          <w:sz w:val="17"/>
          <w:szCs w:val="17"/>
          <w:color w:val="auto"/>
        </w:rPr>
        <w:t>declared, accrued, set aside or paid any dividend or made any other distribution in respect of any shares of its capital stock; or repurchased, redeemed or otherwise reacquired any shares of its capital stock or other securities (except for shares of Company Common Stock from terminated employees, directors or consultants of the Company or in connection with the payment of the exercise price and/or withholding Taxes incurred upon the exercise, settlement or vesting of any award granted under the Company Plan);</w:t>
      </w:r>
    </w:p>
    <w:p>
      <w:pPr>
        <w:spacing w:after="0" w:line="171" w:lineRule="exact"/>
        <w:rPr>
          <w:rFonts w:ascii="Arial" w:cs="Arial" w:eastAsia="Arial" w:hAnsi="Arial"/>
          <w:sz w:val="17"/>
          <w:szCs w:val="17"/>
          <w:color w:val="auto"/>
        </w:rPr>
      </w:pPr>
    </w:p>
    <w:p>
      <w:pPr>
        <w:ind w:left="4" w:right="20" w:firstLine="1428"/>
        <w:spacing w:after="0" w:line="259" w:lineRule="auto"/>
        <w:tabs>
          <w:tab w:leader="none" w:pos="169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sold, issued, granted, pledged or otherwise disposed of or encumbered or authorized any of the foregoing with respect to: (A) any capital stock or other security of the Company; (B) any option, warrant or right to acquire any capital stock or any other security, other than option grants to employees and service providers in the Ordinary Course of Business; or (C) any instrument convertible into or exchangeable for any capital stock or other security of the Company;</w:t>
      </w:r>
    </w:p>
    <w:p>
      <w:pPr>
        <w:spacing w:after="0" w:line="186" w:lineRule="exact"/>
        <w:rPr>
          <w:rFonts w:ascii="Arial" w:cs="Arial" w:eastAsia="Arial" w:hAnsi="Arial"/>
          <w:sz w:val="18"/>
          <w:szCs w:val="18"/>
          <w:color w:val="auto"/>
        </w:rPr>
      </w:pPr>
    </w:p>
    <w:p>
      <w:pPr>
        <w:ind w:left="4" w:right="200" w:firstLine="1428"/>
        <w:spacing w:after="0" w:line="286" w:lineRule="auto"/>
        <w:tabs>
          <w:tab w:leader="none" w:pos="1681"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227" w:name="page228"/>
    <w:bookmarkEnd w:id="227"/>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formed any Subsidiary or acquired any equity interest or other interest in any other Entity or entered into a joint venture with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Entity;</w:t>
      </w:r>
    </w:p>
    <w:p>
      <w:pPr>
        <w:spacing w:after="0" w:line="211" w:lineRule="exact"/>
        <w:rPr>
          <w:sz w:val="20"/>
          <w:szCs w:val="20"/>
          <w:color w:val="auto"/>
        </w:rPr>
      </w:pPr>
    </w:p>
    <w:p>
      <w:pPr>
        <w:ind w:right="140" w:firstLine="1428"/>
        <w:spacing w:after="0" w:line="342" w:lineRule="auto"/>
        <w:tabs>
          <w:tab w:leader="none" w:pos="167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lent money to any Person (except for the advance of reasonable business expenses to employees, directors and consultants in the Ordinary Course of Business), (ii) incurred or guaranteed any indebtedness for borrowed money, or (iii) guaranteed any debt securities of others;</w:t>
      </w:r>
    </w:p>
    <w:p>
      <w:pPr>
        <w:spacing w:after="0" w:line="123" w:lineRule="exact"/>
        <w:rPr>
          <w:rFonts w:ascii="Arial" w:cs="Arial" w:eastAsia="Arial" w:hAnsi="Arial"/>
          <w:sz w:val="16"/>
          <w:szCs w:val="16"/>
          <w:color w:val="auto"/>
        </w:rPr>
      </w:pPr>
    </w:p>
    <w:p>
      <w:pPr>
        <w:ind w:firstLine="1428"/>
        <w:spacing w:after="0" w:line="291" w:lineRule="auto"/>
        <w:tabs>
          <w:tab w:leader="none" w:pos="165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other than as required by applicable Law or the terms of any Company Benefit Plan as in effect on the date of this Agreement and other than the Company Plan or any Company Option: (A) adopted, terminated, established or entered into any Company Benefit Plan; (B) caused or permitted any Company Benefit Plan to be amended in any material respect; (C) paid any material bonus or distributed any profit-sharing account balances or similar payment to, or, other than in the Ordinary Course of Business, increased the amount of the wages, salary, commissions, benefits or other compensation or remuneration payable to, any of its directors, officers or employees; (D) increased the severance or change-of-control benefits offered to any current, former or new employees, directors or consultants or (E) hired, terminated or gave notice of termination (other than for cause) to, any (x) officer or (y) employee whose annual base salary is or is expected to be more than $125,000 per year;</w:t>
      </w:r>
    </w:p>
    <w:p>
      <w:pPr>
        <w:spacing w:after="0" w:line="166" w:lineRule="exact"/>
        <w:rPr>
          <w:rFonts w:ascii="Arial" w:cs="Arial" w:eastAsia="Arial" w:hAnsi="Arial"/>
          <w:sz w:val="16"/>
          <w:szCs w:val="16"/>
          <w:color w:val="auto"/>
        </w:rPr>
      </w:pPr>
    </w:p>
    <w:p>
      <w:pPr>
        <w:ind w:left="1680" w:hanging="252"/>
        <w:spacing w:after="0"/>
        <w:tabs>
          <w:tab w:leader="none" w:pos="1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entered into any collective bargaining agreement or similar agreement with any labor union or similar labor organization;</w:t>
      </w:r>
    </w:p>
    <w:p>
      <w:pPr>
        <w:spacing w:after="0" w:line="236" w:lineRule="exact"/>
        <w:rPr>
          <w:rFonts w:ascii="Arial" w:cs="Arial" w:eastAsia="Arial" w:hAnsi="Arial"/>
          <w:sz w:val="17"/>
          <w:szCs w:val="17"/>
          <w:color w:val="auto"/>
        </w:rPr>
      </w:pPr>
    </w:p>
    <w:p>
      <w:pPr>
        <w:ind w:right="920" w:firstLine="1428"/>
        <w:spacing w:after="0" w:line="277" w:lineRule="auto"/>
        <w:tabs>
          <w:tab w:leader="none" w:pos="168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entered into any material transaction other than (A) in the Ordinary Course of Business or (B) in connection with the Contemplated Transactions;</w:t>
      </w:r>
    </w:p>
    <w:p>
      <w:pPr>
        <w:spacing w:after="0" w:line="170" w:lineRule="exact"/>
        <w:rPr>
          <w:rFonts w:ascii="Arial" w:cs="Arial" w:eastAsia="Arial" w:hAnsi="Arial"/>
          <w:sz w:val="18"/>
          <w:szCs w:val="18"/>
          <w:color w:val="auto"/>
        </w:rPr>
      </w:pPr>
    </w:p>
    <w:p>
      <w:pPr>
        <w:ind w:right="380" w:firstLine="1428"/>
        <w:spacing w:after="0" w:line="342" w:lineRule="auto"/>
        <w:tabs>
          <w:tab w:leader="none" w:pos="16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acquired any material asset or sold, leased or otherwise irrevocably disposed of any of its assets or properties, or granted any Encumbrance (other than Permitted Encumbrances) with respect to such assets or properties, except in the Ordinary Course of Business;</w:t>
      </w:r>
    </w:p>
    <w:p>
      <w:pPr>
        <w:spacing w:after="0" w:line="123" w:lineRule="exact"/>
        <w:rPr>
          <w:rFonts w:ascii="Arial" w:cs="Arial" w:eastAsia="Arial" w:hAnsi="Arial"/>
          <w:sz w:val="16"/>
          <w:szCs w:val="16"/>
          <w:color w:val="auto"/>
        </w:rPr>
      </w:pPr>
    </w:p>
    <w:p>
      <w:pPr>
        <w:ind w:left="1640" w:hanging="212"/>
        <w:spacing w:after="0"/>
        <w:tabs>
          <w:tab w:leader="none" w:pos="1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sold, assigned, transferred, licensed, sublicensed or otherwise disposed of any material Company IP (other than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non-exclusive licenses in the Ordinary Course of Business);</w:t>
      </w:r>
    </w:p>
    <w:p>
      <w:pPr>
        <w:spacing w:after="0" w:line="211" w:lineRule="exact"/>
        <w:rPr>
          <w:sz w:val="20"/>
          <w:szCs w:val="20"/>
          <w:color w:val="auto"/>
        </w:rPr>
      </w:pPr>
    </w:p>
    <w:p>
      <w:pPr>
        <w:ind w:firstLine="1428"/>
        <w:spacing w:after="0" w:line="291" w:lineRule="auto"/>
        <w:tabs>
          <w:tab w:leader="none" w:pos="168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made, changed or revoked any material Tax election, failed to pay any income or other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accounting method in respect of Taxes;</w:t>
      </w:r>
    </w:p>
    <w:p>
      <w:pPr>
        <w:spacing w:after="0" w:line="166" w:lineRule="exact"/>
        <w:rPr>
          <w:rFonts w:ascii="Arial" w:cs="Arial" w:eastAsia="Arial" w:hAnsi="Arial"/>
          <w:sz w:val="16"/>
          <w:szCs w:val="16"/>
          <w:color w:val="auto"/>
        </w:rPr>
      </w:pPr>
    </w:p>
    <w:p>
      <w:pPr>
        <w:ind w:left="1640" w:hanging="212"/>
        <w:spacing w:after="0"/>
        <w:tabs>
          <w:tab w:leader="none" w:pos="1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made any expenditures, incurred any Liabilities or discharged or satisfied any Liabilities, in each case, in amounts that exceed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$300,000;</w:t>
      </w:r>
    </w:p>
    <w:p>
      <w:pPr>
        <w:spacing w:after="0" w:line="211" w:lineRule="exact"/>
        <w:rPr>
          <w:sz w:val="20"/>
          <w:szCs w:val="20"/>
          <w:color w:val="auto"/>
        </w:rPr>
      </w:pPr>
    </w:p>
    <w:p>
      <w:pPr>
        <w:ind w:left="1740" w:hanging="312"/>
        <w:spacing w:after="0"/>
        <w:tabs>
          <w:tab w:leader="none" w:pos="1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than as required by Law or GAAP, taken any action to change accounting policies or procedures;</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initiated or settled any Legal Proceeding;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28" w:name="page229"/>
    <w:bookmarkEnd w:id="228"/>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 agreed, resolved or committed to do any of the foregoing.</w:t>
      </w:r>
    </w:p>
    <w:p>
      <w:pPr>
        <w:spacing w:after="0" w:line="221"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u w:val="single" w:color="auto"/>
          <w:color w:val="auto"/>
        </w:rPr>
        <w:t>Absence of Undisclosed Liabilities</w:t>
      </w:r>
      <w:r>
        <w:rPr>
          <w:rFonts w:ascii="Arial" w:cs="Arial" w:eastAsia="Arial" w:hAnsi="Arial"/>
          <w:sz w:val="16"/>
          <w:szCs w:val="16"/>
          <w:color w:val="auto"/>
        </w:rPr>
        <w:t>. As of the date hereof, the Company has no any liability, indebtedness, obligation or expense of any kind, whether accrued, absolute, contingent, matured or unmatured (whether or not required to be reflected in the financial statements in accordance with GAAP) (each a “</w:t>
      </w:r>
      <w:r>
        <w:rPr>
          <w:rFonts w:ascii="Arial" w:cs="Arial" w:eastAsia="Arial" w:hAnsi="Arial"/>
          <w:sz w:val="16"/>
          <w:szCs w:val="16"/>
          <w:b w:val="1"/>
          <w:bCs w:val="1"/>
          <w:i w:val="1"/>
          <w:iCs w:val="1"/>
          <w:color w:val="auto"/>
        </w:rPr>
        <w:t>Liability</w:t>
      </w:r>
      <w:r>
        <w:rPr>
          <w:rFonts w:ascii="Arial" w:cs="Arial" w:eastAsia="Arial" w:hAnsi="Arial"/>
          <w:sz w:val="16"/>
          <w:szCs w:val="16"/>
          <w:color w:val="auto"/>
        </w:rPr>
        <w:t>”), individually or in the aggregate, of a type required to be recorded or reflected on a balance sheet or disclosed in the footnotes thereto under GAAP, except for: (a) Liabilities disclosed, reflected or reserved against in the Company Unaudited Interim Balance Sheet;</w:t>
      </w:r>
    </w:p>
    <w:p>
      <w:pPr>
        <w:spacing w:after="0" w:line="2" w:lineRule="exact"/>
        <w:rPr>
          <w:sz w:val="20"/>
          <w:szCs w:val="20"/>
          <w:color w:val="auto"/>
        </w:rPr>
      </w:pPr>
    </w:p>
    <w:p>
      <w:pPr>
        <w:ind w:left="4" w:right="80" w:hanging="4"/>
        <w:spacing w:after="0" w:line="253" w:lineRule="auto"/>
        <w:tabs>
          <w:tab w:leader="none" w:pos="25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Liabilities that have been incurred by the Company since the date of the Company Unaudited Interim Balance Sheet in the Ordinary Course of Business; (c) Liabilities for performance of obligations under Company Contracts in the Ordinary Course of Business; (d) Liabilities incurred in connection with the Contemplated Transactions; (e) Liabilities which would not, individually or in the aggregate, reasonably be expected to be material to the Company; and (f) Liabilities described in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the Company Disclosure Schedule.</w:t>
      </w:r>
    </w:p>
    <w:p>
      <w:pPr>
        <w:spacing w:after="0" w:line="189" w:lineRule="exact"/>
        <w:rPr>
          <w:sz w:val="20"/>
          <w:szCs w:val="20"/>
          <w:color w:val="auto"/>
        </w:rPr>
      </w:pPr>
    </w:p>
    <w:p>
      <w:pPr>
        <w:ind w:left="4" w:right="80" w:firstLine="991"/>
        <w:spacing w:after="0" w:line="29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u w:val="single" w:color="auto"/>
          <w:color w:val="auto"/>
        </w:rPr>
        <w:t>Title to Assets</w:t>
      </w:r>
      <w:r>
        <w:rPr>
          <w:rFonts w:ascii="Arial" w:cs="Arial" w:eastAsia="Arial" w:hAnsi="Arial"/>
          <w:sz w:val="16"/>
          <w:szCs w:val="16"/>
          <w:color w:val="auto"/>
        </w:rPr>
        <w:t>. The Company owns, and has good and valid title to, or, in the case of leased properties and assets, valid leasehold interests in, all tangible properties or tangible assets and equipment used or held for use in its business or operations or purported to be owned by it that are material to the Company or its business, including: (a) all tangible assets reflected on the Company Unaudited Interim Balance Sheet; and (b) all other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154"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u w:val="single" w:color="auto"/>
          <w:color w:val="auto"/>
        </w:rPr>
        <w:t>Real Property; Leasehold</w:t>
      </w:r>
      <w:r>
        <w:rPr>
          <w:rFonts w:ascii="Arial" w:cs="Arial" w:eastAsia="Arial" w:hAnsi="Arial"/>
          <w:sz w:val="17"/>
          <w:szCs w:val="17"/>
          <w:color w:val="auto"/>
        </w:rPr>
        <w:t>. The Company does not own, nor has ever owned, any real property. The Company has made available to Parent (a) an accurate and complete list of all real properties with respect to which the Company directly or indirectly holds a valid leasehold interest as well as any other real estate that is in the possession of, or occupied or leased by, the Company and (b) copies of all leases under which any such real property is possessed, occupied or leased (the “</w:t>
      </w:r>
      <w:r>
        <w:rPr>
          <w:rFonts w:ascii="Arial" w:cs="Arial" w:eastAsia="Arial" w:hAnsi="Arial"/>
          <w:sz w:val="17"/>
          <w:szCs w:val="17"/>
          <w:b w:val="1"/>
          <w:bCs w:val="1"/>
          <w:i w:val="1"/>
          <w:iCs w:val="1"/>
          <w:color w:val="auto"/>
        </w:rPr>
        <w:t>Company Real Estate Leases</w:t>
      </w:r>
      <w:r>
        <w:rPr>
          <w:rFonts w:ascii="Arial" w:cs="Arial" w:eastAsia="Arial" w:hAnsi="Arial"/>
          <w:sz w:val="17"/>
          <w:szCs w:val="17"/>
          <w:color w:val="auto"/>
        </w:rPr>
        <w:t>”), each of which is in full force and effect, with no existing material default thereunder by the Company, or to the Knowledge of the Company, any other party thereto. The Company’s possession, occupancy, lease, use and/or operation of each such leased property conforms to all applicable Laws in all material respects, and the Company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The Company has not received any written notice from its landlords or any Governmental Body that: (i) relates to violations of building, zoning, safety or fire ordinances or regulations; (ii) claims any defect or deficiency with respect to any of such properties; or (iii) requests the performance of any repairs, alterations or other work to such properties.</w:t>
      </w:r>
    </w:p>
    <w:p>
      <w:pPr>
        <w:spacing w:after="0" w:line="18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Intellectual Property; Privacy</w:t>
      </w:r>
      <w:r>
        <w:rPr>
          <w:rFonts w:ascii="Arial" w:cs="Arial" w:eastAsia="Arial" w:hAnsi="Arial"/>
          <w:sz w:val="18"/>
          <w:szCs w:val="18"/>
          <w:color w:val="auto"/>
        </w:rPr>
        <w:t>.</w:t>
      </w:r>
    </w:p>
    <w:p>
      <w:pPr>
        <w:spacing w:after="0" w:line="229" w:lineRule="exact"/>
        <w:rPr>
          <w:sz w:val="20"/>
          <w:szCs w:val="20"/>
          <w:color w:val="auto"/>
        </w:rPr>
      </w:pPr>
    </w:p>
    <w:p>
      <w:pPr>
        <w:ind w:left="4" w:right="60" w:firstLine="1428"/>
        <w:spacing w:after="0" w:line="291" w:lineRule="auto"/>
        <w:tabs>
          <w:tab w:leader="none" w:pos="1681"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of the Company Disclosure Schedule identifies each item of material Registered IP owned in whole or in part by the Company, including, with respect to each application and registration: (i) the name of the applicant or registrant and any other co-owner, (ii) the jurisdiction of application or registration, and (iii) the application or registration number. To the Knowledge of the Company, each of the patents and patent applications included in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of the Company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229" w:name="page230"/>
    <w:bookmarkEnd w:id="22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threatened in writing, in which the scope, validity, enforceability or ownership of any Company IP is being or has been contested or challenged. To the Knowledge of the Company, each item of Company IP is valid and enforceable, and with respect to the Company’s Registered IP, subsisting. There are no actions that must be taken within ninety (90) days of the Closing, the failure of which will result in the abandonment, lapse or cancellation of any material Registered IP owned in whole or in part by the Company.</w:t>
      </w:r>
    </w:p>
    <w:p>
      <w:pPr>
        <w:spacing w:after="0" w:line="187" w:lineRule="exact"/>
        <w:rPr>
          <w:sz w:val="20"/>
          <w:szCs w:val="20"/>
          <w:color w:val="auto"/>
        </w:rPr>
      </w:pPr>
    </w:p>
    <w:p>
      <w:pPr>
        <w:ind w:right="20" w:firstLine="1428"/>
        <w:spacing w:after="0" w:line="288" w:lineRule="auto"/>
        <w:tabs>
          <w:tab w:leader="none" w:pos="168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Except as has not had and would not reasonably be expected to have, individually or in the aggregate, a Company Material Adverse Effect, the Company exclusively own, are the sole assignee of, or have exclusively licensed all material Company IP (other than as disclosed in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of the Company Disclosure Schedule), free and clear of all Encumbrances other than Permitted Encumbrances. The Company IP and the Intellectual Property Rights licensed to the Company pursuant to a valid, enforceable written agreement constitute all Intellectual Property Rights used in, material to or otherwise necessary for the operation of the Company’s business as currently conducted. Each Company Associate involved in the creation or development of any material Company IP, pursuant to such Company Associate’s activities on behalf of the Company, has signed a valid and enforceable written agreement containing an assignment of such Company Associate’s rights in such Company IP to the Company. Each Company Associate who has or has had access to the Company’s trade secrets or confidential information has signed a valid and enforceable written agreement containing confidentiality provisions protecting the Company IP, trade secrets and confidential information. The Company has taken commercially reasonable steps to protect and preserve the confidentiality of its trade secrets and confidential information.</w:t>
      </w:r>
    </w:p>
    <w:p>
      <w:pPr>
        <w:spacing w:after="0" w:line="168" w:lineRule="exact"/>
        <w:rPr>
          <w:rFonts w:ascii="Arial" w:cs="Arial" w:eastAsia="Arial" w:hAnsi="Arial"/>
          <w:sz w:val="16"/>
          <w:szCs w:val="16"/>
          <w:color w:val="auto"/>
        </w:rPr>
      </w:pPr>
    </w:p>
    <w:p>
      <w:pPr>
        <w:ind w:right="200" w:firstLine="1428"/>
        <w:spacing w:after="0" w:line="286" w:lineRule="auto"/>
        <w:tabs>
          <w:tab w:leader="none" w:pos="167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the Knowledge of the Company, no funding, facilities or personnel of any Governmental Body or any university, college, research institute or other educational institution has been used to create Company IP, except for any such funding or use of facilities or personnel that does not result in such Governmental Body or institution owning such Company IP as of the date of this Agreement.</w:t>
      </w:r>
    </w:p>
    <w:p>
      <w:pPr>
        <w:spacing w:after="0" w:line="165" w:lineRule="exact"/>
        <w:rPr>
          <w:rFonts w:ascii="Arial" w:cs="Arial" w:eastAsia="Arial" w:hAnsi="Arial"/>
          <w:sz w:val="17"/>
          <w:szCs w:val="17"/>
          <w:color w:val="auto"/>
        </w:rPr>
      </w:pPr>
    </w:p>
    <w:p>
      <w:pPr>
        <w:ind w:firstLine="1428"/>
        <w:spacing w:after="0" w:line="269" w:lineRule="auto"/>
        <w:tabs>
          <w:tab w:leader="none" w:pos="1687"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Section 2.12(d)</w:t>
      </w:r>
      <w:r>
        <w:rPr>
          <w:rFonts w:ascii="Arial" w:cs="Arial" w:eastAsia="Arial" w:hAnsi="Arial"/>
          <w:sz w:val="17"/>
          <w:szCs w:val="17"/>
          <w:color w:val="auto"/>
        </w:rPr>
        <w:t xml:space="preserve"> of the Company Disclosure Schedule sets forth each license agreement pursuant to which the Company (i) is granted a license under any material Intellectual Property Right owned by any third party that is used by the Company in its business as currently conducted (each a “</w:t>
      </w:r>
      <w:r>
        <w:rPr>
          <w:rFonts w:ascii="Arial" w:cs="Arial" w:eastAsia="Arial" w:hAnsi="Arial"/>
          <w:sz w:val="17"/>
          <w:szCs w:val="17"/>
          <w:b w:val="1"/>
          <w:bCs w:val="1"/>
          <w:i w:val="1"/>
          <w:iCs w:val="1"/>
          <w:color w:val="auto"/>
        </w:rPr>
        <w:t>Company In-bound License</w:t>
      </w:r>
      <w:r>
        <w:rPr>
          <w:rFonts w:ascii="Arial" w:cs="Arial" w:eastAsia="Arial" w:hAnsi="Arial"/>
          <w:sz w:val="17"/>
          <w:szCs w:val="17"/>
          <w:color w:val="auto"/>
        </w:rPr>
        <w:t>”) or (ii) grants to any third party a license under any material Company IP or material Intellectual Property Right licensed to the Company under a Company In-bound License (each a “</w:t>
      </w:r>
      <w:r>
        <w:rPr>
          <w:rFonts w:ascii="Arial" w:cs="Arial" w:eastAsia="Arial" w:hAnsi="Arial"/>
          <w:sz w:val="17"/>
          <w:szCs w:val="17"/>
          <w:b w:val="1"/>
          <w:bCs w:val="1"/>
          <w:i w:val="1"/>
          <w:iCs w:val="1"/>
          <w:color w:val="auto"/>
        </w:rPr>
        <w:t>Company Out-bound License</w:t>
      </w:r>
      <w:r>
        <w:rPr>
          <w:rFonts w:ascii="Arial" w:cs="Arial" w:eastAsia="Arial" w:hAnsi="Arial"/>
          <w:sz w:val="17"/>
          <w:szCs w:val="17"/>
          <w:color w:val="auto"/>
        </w:rPr>
        <w:t>”) (</w:t>
      </w:r>
      <w:r>
        <w:rPr>
          <w:rFonts w:ascii="Arial" w:cs="Arial" w:eastAsia="Arial" w:hAnsi="Arial"/>
          <w:sz w:val="17"/>
          <w:szCs w:val="17"/>
          <w:i w:val="1"/>
          <w:iCs w:val="1"/>
          <w:color w:val="auto"/>
        </w:rPr>
        <w:t>provided</w:t>
      </w:r>
      <w:r>
        <w:rPr>
          <w:rFonts w:ascii="Arial" w:cs="Arial" w:eastAsia="Arial" w:hAnsi="Arial"/>
          <w:sz w:val="17"/>
          <w:szCs w:val="17"/>
          <w:color w:val="auto"/>
        </w:rPr>
        <w:t>, that, Company In-bound Licenses shall not include, when entered into in the Ordinary Course of Business, material transfer agreements, clinical trial agreements, agreements with Company Associates, services agreements, non-disclosure agreements, commercially available Software-as-a-Service offerings, or off-the-shelf software licenses; and Company Out-bound Licenses shall not include, when entered into in the Ordinary Course of Business, material transfer agreements, clinical trial agreements, services agreements, non-disclosure agreements, or non-exclusive outbound licenses). All Company In-bound Licenses and Company Out-bound Licenses are in full force and effect and are valid, enforceable and binding obligations of the Company and, to the Knowledge of Company, each other party to such Company In-bound Licenses or Company Out-bound Licenses. Neither the Company, nor to the Knowledge of the Company, any other party to such Company In-bound Licenses or Company Out-bound Licenses, is in material breach under any Company In-bound Licenses or Company Out-bound Licenses.</w:t>
      </w:r>
    </w:p>
    <w:p>
      <w:pPr>
        <w:spacing w:after="0" w:line="178" w:lineRule="exact"/>
        <w:rPr>
          <w:rFonts w:ascii="Arial" w:cs="Arial" w:eastAsia="Arial" w:hAnsi="Arial"/>
          <w:sz w:val="17"/>
          <w:szCs w:val="17"/>
          <w:color w:val="auto"/>
        </w:rPr>
      </w:pPr>
    </w:p>
    <w:p>
      <w:pPr>
        <w:ind w:right="240" w:firstLine="1428"/>
        <w:spacing w:after="0" w:line="259" w:lineRule="auto"/>
        <w:tabs>
          <w:tab w:leader="none" w:pos="16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Knowledge of the Company: (i) the operation of the business of the Company as currently conducted does not infringe, misappropriate or otherwise violate any Intellectual Property Rights of any other Person and (ii) no other Person is infringing, misappropriating or otherwise violating any Company IP. No Legal Proceeding is pending (or, to the Knowledge of the Company, is threatened in writing) (A) against the Company alleging that the operation of the business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0" w:name="page231"/>
    <w:bookmarkEnd w:id="2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infringes or constitutes the misappropriation or other violation of any Intellectual Property Rights of another Person or (B) by the Company alleging that another Person has infringed, misappropriated or otherwise violated any of the Company IP. Since the Company’s inception, the Company has not received any written notice or other written communication alleging that the operation of the business of the Company infringes or constitutes the misappropriation or other violation of any Intellectual Property Right of another Person.</w:t>
      </w:r>
    </w:p>
    <w:p>
      <w:pPr>
        <w:spacing w:after="0" w:line="187" w:lineRule="exact"/>
        <w:rPr>
          <w:sz w:val="20"/>
          <w:szCs w:val="20"/>
          <w:color w:val="auto"/>
        </w:rPr>
      </w:pPr>
    </w:p>
    <w:p>
      <w:pPr>
        <w:ind w:right="80" w:firstLine="1428"/>
        <w:spacing w:after="0" w:line="286" w:lineRule="auto"/>
        <w:tabs>
          <w:tab w:leader="none" w:pos="165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None of the Company IP owned by the Company or, to the Knowledge of the Company, none of the material Intellectual Property Rights exclusively licensed to the Company is subject to any pending or outstanding injunction, directive, order, judgment or other disposition of dispute that adversely and materially restricts the use, transfer, registration or licensing by the Company of any such Company IP.</w:t>
      </w:r>
    </w:p>
    <w:p>
      <w:pPr>
        <w:spacing w:after="0" w:line="165" w:lineRule="exact"/>
        <w:rPr>
          <w:rFonts w:ascii="Arial" w:cs="Arial" w:eastAsia="Arial" w:hAnsi="Arial"/>
          <w:sz w:val="17"/>
          <w:szCs w:val="17"/>
          <w:color w:val="auto"/>
        </w:rPr>
      </w:pPr>
    </w:p>
    <w:p>
      <w:pPr>
        <w:ind w:right="20" w:firstLine="1428"/>
        <w:spacing w:after="0" w:line="288" w:lineRule="auto"/>
        <w:tabs>
          <w:tab w:leader="none" w:pos="168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the Knowledge of the Company, the Company and the operation of the Company’s business are and since December 31, 2020 has been, in material compliance with Privacy and Data Processing Requirements. To the knowledge of the Company, the Company has at all applicable times provided all notices, and obtained and maintained all rights, consents, and authorizations, to Process Company Data as Processed by or for the Company. Since the Company’s inception, there have been (i) no loss or theft or security breach relating to Company Data, (ii) no violation of any security policy of the Company regarding any such Company Data, and (iii) no unauthorized access to, or unauthorized, unintended, or improper use disclosure, or other Processing of any Company Data. The Company has taken commercially reasonable steps and implemented reasonable disaster recovery and security plans and procedures to protect the information technology systems used in, material to or necessary for operation of the Company’s business as currently conducted and Company Data from unauthorized use access, or other Processing. To the Knowledge of the Company, there have been no (i) material malfunctions or unauthorized intrusions or breaches of the information technology systems used in, material to or necessary for the operation of the Company’s business or (ii) material unauthorized access to, or other processing of, Company Data.</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u w:val="single" w:color="auto"/>
          <w:color w:val="auto"/>
        </w:rPr>
        <w:t>Agreements, Contracts and Commitments</w:t>
      </w:r>
      <w:r>
        <w:rPr>
          <w:rFonts w:ascii="Arial" w:cs="Arial" w:eastAsia="Arial" w:hAnsi="Arial"/>
          <w:sz w:val="18"/>
          <w:szCs w:val="18"/>
          <w:color w:val="auto"/>
        </w:rPr>
        <w:t>.</w:t>
      </w:r>
    </w:p>
    <w:p>
      <w:pPr>
        <w:spacing w:after="0" w:line="229" w:lineRule="exact"/>
        <w:rPr>
          <w:sz w:val="20"/>
          <w:szCs w:val="20"/>
          <w:color w:val="auto"/>
        </w:rPr>
      </w:pPr>
    </w:p>
    <w:p>
      <w:pPr>
        <w:jc w:val="both"/>
        <w:ind w:right="500" w:firstLine="1428"/>
        <w:spacing w:after="0" w:line="342" w:lineRule="auto"/>
        <w:tabs>
          <w:tab w:leader="none" w:pos="167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of the Company Disclosure Schedule lists the following Company Contracts in effect as of the date of this Agreement other than any Company Benefit Plans (each, a “</w:t>
      </w:r>
      <w:r>
        <w:rPr>
          <w:rFonts w:ascii="Arial" w:cs="Arial" w:eastAsia="Arial" w:hAnsi="Arial"/>
          <w:sz w:val="16"/>
          <w:szCs w:val="16"/>
          <w:b w:val="1"/>
          <w:bCs w:val="1"/>
          <w:i w:val="1"/>
          <w:iCs w:val="1"/>
          <w:color w:val="auto"/>
        </w:rPr>
        <w:t>Company Material Contract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Company Material Contracts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2200" w:hanging="221"/>
        <w:spacing w:after="0"/>
        <w:tabs>
          <w:tab w:leader="none" w:pos="22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each Company Contract relating to any agreement of indemnification or guaranty not entered into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10" w:lineRule="exact"/>
        <w:rPr>
          <w:rFonts w:ascii="Arial" w:cs="Arial" w:eastAsia="Arial" w:hAnsi="Arial"/>
          <w:sz w:val="16"/>
          <w:szCs w:val="16"/>
          <w:color w:val="auto"/>
        </w:rPr>
      </w:pPr>
    </w:p>
    <w:p>
      <w:pPr>
        <w:ind w:right="200" w:firstLine="1979"/>
        <w:spacing w:after="0" w:line="296" w:lineRule="auto"/>
        <w:tabs>
          <w:tab w:leader="none" w:pos="224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each Company Contract containing (A) any covenant limiting the freedom of the Company or the Surviving Entity to engage in any line of business or compete with any Person, (B) any most-favored nation or other preferred pricing arrangement in favor of a Person other than the Company or any similar term by which any Person is or could become entitled to any benefit, right or privilege that must be at least as favorable to such Person as those offered to any other Person, (C) any exclusivity provision, right of first refusal or right of first negotiation or similar covenant in favor of a Person other than the Company, or (D) any non-solicitation provision not entered into the Ordinary Course of Business;</w:t>
      </w:r>
    </w:p>
    <w:p>
      <w:pPr>
        <w:spacing w:after="0" w:line="161" w:lineRule="exact"/>
        <w:rPr>
          <w:rFonts w:ascii="Arial" w:cs="Arial" w:eastAsia="Arial" w:hAnsi="Arial"/>
          <w:sz w:val="16"/>
          <w:szCs w:val="16"/>
          <w:color w:val="auto"/>
        </w:rPr>
      </w:pPr>
    </w:p>
    <w:p>
      <w:pPr>
        <w:ind w:right="420" w:firstLine="1979"/>
        <w:spacing w:after="0" w:line="277" w:lineRule="auto"/>
        <w:tabs>
          <w:tab w:leader="none" w:pos="229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each Company Contract relating to capital expenditures and requiring payments after the date of this Agreement in excess of $100,000 pursuant to its express terms and not cancelable without penalty;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31" w:name="page232"/>
    <w:bookmarkEnd w:id="231"/>
    <w:p>
      <w:pPr>
        <w:ind w:right="360" w:firstLine="1979"/>
        <w:spacing w:after="0" w:line="277" w:lineRule="auto"/>
        <w:tabs>
          <w:tab w:leader="none" w:pos="22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Company Contract relating to the disposition or acquisition of material assets or any ownership interest in any Entity, except as contemplated hereby;</w:t>
      </w:r>
    </w:p>
    <w:p>
      <w:pPr>
        <w:spacing w:after="0" w:line="170" w:lineRule="exact"/>
        <w:rPr>
          <w:rFonts w:ascii="Arial" w:cs="Arial" w:eastAsia="Arial" w:hAnsi="Arial"/>
          <w:sz w:val="18"/>
          <w:szCs w:val="18"/>
          <w:color w:val="auto"/>
        </w:rPr>
      </w:pPr>
    </w:p>
    <w:p>
      <w:pPr>
        <w:ind w:right="80" w:firstLine="1979"/>
        <w:spacing w:after="0" w:line="263" w:lineRule="auto"/>
        <w:tabs>
          <w:tab w:leader="none" w:pos="22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Company Contract relating to any mortgages, indentures, loans, notes or credit agreements, security agreements or other agreements or instruments relating to the borrowing of money or extension of credit or creating any material Encumbrances with respect to any assets of the Company or any loans or debt obligations with officers or directors of the Company;</w:t>
      </w:r>
    </w:p>
    <w:p>
      <w:pPr>
        <w:spacing w:after="0" w:line="183" w:lineRule="exact"/>
        <w:rPr>
          <w:rFonts w:ascii="Arial" w:cs="Arial" w:eastAsia="Arial" w:hAnsi="Arial"/>
          <w:sz w:val="18"/>
          <w:szCs w:val="18"/>
          <w:color w:val="auto"/>
        </w:rPr>
      </w:pPr>
    </w:p>
    <w:p>
      <w:pPr>
        <w:ind w:firstLine="1979"/>
        <w:spacing w:after="0" w:line="290" w:lineRule="auto"/>
        <w:tabs>
          <w:tab w:leader="none" w:pos="228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Company Contract requiring payment by or to the Company after the date of this Agreement in excess of $100,000 in the aggregate in the current calendar year or any future calendar year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Rights that will not be owned, in whole or in part, by the Company; or (D) any Contract with any third party providing any services relating to the manufacture or production of any product, service or technology of the Company or any Contract to sell, distribute or commercialize any products or service of the Company;</w:t>
      </w:r>
    </w:p>
    <w:p>
      <w:pPr>
        <w:spacing w:after="0" w:line="165" w:lineRule="exact"/>
        <w:rPr>
          <w:rFonts w:ascii="Arial" w:cs="Arial" w:eastAsia="Arial" w:hAnsi="Arial"/>
          <w:sz w:val="16"/>
          <w:szCs w:val="16"/>
          <w:color w:val="auto"/>
        </w:rPr>
      </w:pPr>
    </w:p>
    <w:p>
      <w:pPr>
        <w:ind w:right="40" w:firstLine="1979"/>
        <w:spacing w:after="0" w:line="277" w:lineRule="auto"/>
        <w:tabs>
          <w:tab w:leader="none" w:pos="23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Company Contract with any financial advisor, broker, finder, investment banker or other similar Person providing financial advisory services to the Company in connection with the Contemplated Transactions;</w:t>
      </w:r>
    </w:p>
    <w:p>
      <w:pPr>
        <w:spacing w:after="0" w:line="170" w:lineRule="exact"/>
        <w:rPr>
          <w:rFonts w:ascii="Arial" w:cs="Arial" w:eastAsia="Arial" w:hAnsi="Arial"/>
          <w:sz w:val="18"/>
          <w:szCs w:val="18"/>
          <w:color w:val="auto"/>
        </w:rPr>
      </w:pPr>
    </w:p>
    <w:p>
      <w:pPr>
        <w:ind w:left="2380" w:hanging="401"/>
        <w:spacing w:after="0"/>
        <w:tabs>
          <w:tab w:leader="none" w:pos="2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Company Real Estate Lease;</w:t>
      </w:r>
    </w:p>
    <w:p>
      <w:pPr>
        <w:spacing w:after="0" w:line="225" w:lineRule="exact"/>
        <w:rPr>
          <w:rFonts w:ascii="Arial" w:cs="Arial" w:eastAsia="Arial" w:hAnsi="Arial"/>
          <w:sz w:val="18"/>
          <w:szCs w:val="18"/>
          <w:color w:val="auto"/>
        </w:rPr>
      </w:pPr>
    </w:p>
    <w:p>
      <w:pPr>
        <w:ind w:left="2280" w:hanging="301"/>
        <w:spacing w:after="0"/>
        <w:tabs>
          <w:tab w:leader="none" w:pos="2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Company Contract with any Governmental Body;</w:t>
      </w:r>
    </w:p>
    <w:p>
      <w:pPr>
        <w:spacing w:after="0" w:line="225" w:lineRule="exact"/>
        <w:rPr>
          <w:rFonts w:ascii="Arial" w:cs="Arial" w:eastAsia="Arial" w:hAnsi="Arial"/>
          <w:sz w:val="18"/>
          <w:szCs w:val="18"/>
          <w:color w:val="auto"/>
        </w:rPr>
      </w:pPr>
    </w:p>
    <w:p>
      <w:pPr>
        <w:ind w:right="80" w:firstLine="1979"/>
        <w:spacing w:after="0" w:line="277" w:lineRule="auto"/>
        <w:tabs>
          <w:tab w:leader="none" w:pos="22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Company Out-bound License and Company In-bound License, and each Company Contract containing a covenant not to sue or otherwise enforce any Intellectual Property Rights;</w:t>
      </w:r>
    </w:p>
    <w:p>
      <w:pPr>
        <w:spacing w:after="0" w:line="170" w:lineRule="exact"/>
        <w:rPr>
          <w:rFonts w:ascii="Arial" w:cs="Arial" w:eastAsia="Arial" w:hAnsi="Arial"/>
          <w:sz w:val="18"/>
          <w:szCs w:val="18"/>
          <w:color w:val="auto"/>
        </w:rPr>
      </w:pPr>
    </w:p>
    <w:p>
      <w:pPr>
        <w:ind w:left="2280" w:hanging="301"/>
        <w:spacing w:after="0"/>
        <w:tabs>
          <w:tab w:leader="none" w:pos="22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each Company Contract requiring the payment of any royalty, dividend or similar arrangement based on the revenues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profits of the Company;</w:t>
      </w:r>
    </w:p>
    <w:p>
      <w:pPr>
        <w:spacing w:after="0" w:line="210" w:lineRule="exact"/>
        <w:rPr>
          <w:rFonts w:ascii="Arial" w:cs="Arial" w:eastAsia="Arial" w:hAnsi="Arial"/>
          <w:sz w:val="16"/>
          <w:szCs w:val="16"/>
          <w:color w:val="auto"/>
        </w:rPr>
      </w:pPr>
    </w:p>
    <w:p>
      <w:pPr>
        <w:ind w:right="40" w:firstLine="1979"/>
        <w:spacing w:after="0" w:line="257" w:lineRule="auto"/>
        <w:tabs>
          <w:tab w:leader="none" w:pos="23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Company Contract, offer letter, employment agreement, or independent contractor agreement with any employee, independent contractor or other natural person service provider whose annual compensation equals or exceeds $125,000 that (A) is not immediately terminable at will by the Company without notice, severance or other cost or payment, except as required under applicable Law, or (B) provides for retention payments, change of control payments, severance, accelerated vesting, or any similar payment or benefit that may or will become due as a result of the Merger;</w:t>
      </w:r>
    </w:p>
    <w:p>
      <w:pPr>
        <w:spacing w:after="0" w:line="187" w:lineRule="exact"/>
        <w:rPr>
          <w:rFonts w:ascii="Arial" w:cs="Arial" w:eastAsia="Arial" w:hAnsi="Arial"/>
          <w:sz w:val="18"/>
          <w:szCs w:val="18"/>
          <w:color w:val="auto"/>
        </w:rPr>
      </w:pPr>
    </w:p>
    <w:p>
      <w:pPr>
        <w:ind w:firstLine="1979"/>
        <w:spacing w:after="0" w:line="263" w:lineRule="auto"/>
        <w:tabs>
          <w:tab w:leader="none" w:pos="23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Company Contract providing any option to receive a license or other right, any right of first negotiation, any right of first refusal or any similar right to any Person related to any material Company IP or material Intellectual Property Right licensed to the Company under a Company In-bound License;</w:t>
      </w:r>
    </w:p>
    <w:p>
      <w:pPr>
        <w:spacing w:after="0" w:line="183" w:lineRule="exact"/>
        <w:rPr>
          <w:rFonts w:ascii="Arial" w:cs="Arial" w:eastAsia="Arial" w:hAnsi="Arial"/>
          <w:sz w:val="18"/>
          <w:szCs w:val="18"/>
          <w:color w:val="auto"/>
        </w:rPr>
      </w:pPr>
    </w:p>
    <w:p>
      <w:pPr>
        <w:ind w:left="2380" w:hanging="401"/>
        <w:spacing w:after="0"/>
        <w:tabs>
          <w:tab w:leader="none" w:pos="2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Company Contract entered into in settlement of any Legal Proceeding or other dispute;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232" w:name="page233"/>
    <w:bookmarkEnd w:id="232"/>
    <w:p>
      <w:pPr>
        <w:ind w:right="40" w:firstLine="1979"/>
        <w:spacing w:after="0" w:line="279" w:lineRule="auto"/>
        <w:tabs>
          <w:tab w:leader="none" w:pos="2328" w:val="left"/>
        </w:tabs>
        <w:numPr>
          <w:ilvl w:val="1"/>
          <w:numId w:val="1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Company Contract that is not terminable at will (with no penalty or payment or requirement for prior notice, except as required by applicable law) by the Company and (A) which involves payment or receipt by the Company after the date of this Agreement under any such agreement, Contract or commitment of more than $100,000 in the aggregate, or obligations after the date of this Agreement in excess of $100,000 in the aggregate, or (B) that is material to the business or operations of the Company taken as a whole.</w:t>
      </w:r>
    </w:p>
    <w:p>
      <w:pPr>
        <w:spacing w:after="0" w:line="171" w:lineRule="exact"/>
        <w:rPr>
          <w:rFonts w:ascii="Arial" w:cs="Arial" w:eastAsia="Arial" w:hAnsi="Arial"/>
          <w:sz w:val="17"/>
          <w:szCs w:val="17"/>
          <w:color w:val="auto"/>
        </w:rPr>
      </w:pPr>
    </w:p>
    <w:p>
      <w:pPr>
        <w:ind w:firstLine="1428"/>
        <w:spacing w:after="0" w:line="269" w:lineRule="auto"/>
        <w:tabs>
          <w:tab w:leader="none" w:pos="168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The Company has delivered or made available to Parent accurate and complete copies of all Company Material Contracts, including all amendments thereto. Except as set forth in </w:t>
      </w:r>
      <w:r>
        <w:rPr>
          <w:rFonts w:ascii="Arial" w:cs="Arial" w:eastAsia="Arial" w:hAnsi="Arial"/>
          <w:sz w:val="17"/>
          <w:szCs w:val="17"/>
          <w:u w:val="single" w:color="auto"/>
          <w:color w:val="auto"/>
        </w:rPr>
        <w:t>Section 2.13(b)</w:t>
      </w:r>
      <w:r>
        <w:rPr>
          <w:rFonts w:ascii="Arial" w:cs="Arial" w:eastAsia="Arial" w:hAnsi="Arial"/>
          <w:sz w:val="17"/>
          <w:szCs w:val="17"/>
          <w:color w:val="auto"/>
        </w:rPr>
        <w:t xml:space="preserve"> of the Company Disclosure Schedule, there are no Company Material Contracts that are not in written form. Neither the Company nor, to the Company’s Knowledge, as of the date of this Agreement any other party to a Company Material Contract, has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or its business.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and no Person has indicated in writing to the Company that it desires to renegotiate, modify, not renew or cancel any Company Material Contract.</w:t>
      </w:r>
    </w:p>
    <w:p>
      <w:pPr>
        <w:spacing w:after="0" w:line="178" w:lineRule="exact"/>
        <w:rPr>
          <w:sz w:val="20"/>
          <w:szCs w:val="20"/>
          <w:color w:val="auto"/>
        </w:rPr>
      </w:pPr>
    </w:p>
    <w:p>
      <w:pPr>
        <w:ind w:right="180" w:firstLine="991"/>
        <w:spacing w:after="0" w:line="25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u w:val="single" w:color="auto"/>
          <w:color w:val="auto"/>
        </w:rPr>
        <w:t>Compliance; Permits; Restrictions</w:t>
      </w:r>
      <w:r>
        <w:rPr>
          <w:rFonts w:ascii="Arial" w:cs="Arial" w:eastAsia="Arial" w:hAnsi="Arial"/>
          <w:sz w:val="18"/>
          <w:szCs w:val="18"/>
          <w:color w:val="auto"/>
        </w:rPr>
        <w:t>. The Company holds all required Governmental Authorizations which are material to the operation of the business of the Company as currently conducted (the “</w:t>
      </w:r>
      <w:r>
        <w:rPr>
          <w:rFonts w:ascii="Arial" w:cs="Arial" w:eastAsia="Arial" w:hAnsi="Arial"/>
          <w:sz w:val="18"/>
          <w:szCs w:val="18"/>
          <w:b w:val="1"/>
          <w:bCs w:val="1"/>
          <w:i w:val="1"/>
          <w:iCs w:val="1"/>
          <w:color w:val="auto"/>
        </w:rPr>
        <w:t>Company Permits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of the Company Disclosure Schedule identifies each Company Permit. Each such Company Permit is valid and in full force and effect, and the Company is in material compliance with the terms of the Company Permits. No Legal Proceeding is pending or, to the Knowledge of the Company, threatened, which seeks to revoke, limit, suspend, or materially modify any Company Permit.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u w:val="single" w:color="auto"/>
          <w:color w:val="auto"/>
        </w:rPr>
        <w:t>Legal Proceedings; Orders</w:t>
      </w:r>
      <w:r>
        <w:rPr>
          <w:rFonts w:ascii="Arial" w:cs="Arial" w:eastAsia="Arial" w:hAnsi="Arial"/>
          <w:sz w:val="18"/>
          <w:szCs w:val="18"/>
          <w:color w:val="auto"/>
        </w:rPr>
        <w:t>.</w:t>
      </w:r>
    </w:p>
    <w:p>
      <w:pPr>
        <w:spacing w:after="0" w:line="229" w:lineRule="exact"/>
        <w:rPr>
          <w:sz w:val="20"/>
          <w:szCs w:val="20"/>
          <w:color w:val="auto"/>
        </w:rPr>
      </w:pPr>
    </w:p>
    <w:p>
      <w:pPr>
        <w:jc w:val="both"/>
        <w:ind w:right="220" w:firstLine="1428"/>
        <w:spacing w:after="0" w:line="279" w:lineRule="auto"/>
        <w:tabs>
          <w:tab w:leader="none" w:pos="167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of the date of this Agreement, there is no material pending Legal Proceeding and, to the Knowledge of the Company, no Person has threatened in writing to commence any Legal Proceeding: (i) that involves (A) the Company, (B) any Company Associate (in his or her capacity as such) or (C) any of the material assets owned or used by the Company; or (ii) that challenges, or that would have the effect of preventing, delaying, making illegal or otherwise interfering with, the Contemplated Transactions.</w:t>
      </w:r>
    </w:p>
    <w:p>
      <w:pPr>
        <w:spacing w:after="0" w:line="171" w:lineRule="exact"/>
        <w:rPr>
          <w:rFonts w:ascii="Arial" w:cs="Arial" w:eastAsia="Arial" w:hAnsi="Arial"/>
          <w:sz w:val="17"/>
          <w:szCs w:val="17"/>
          <w:color w:val="auto"/>
        </w:rPr>
      </w:pPr>
    </w:p>
    <w:p>
      <w:pPr>
        <w:ind w:right="160" w:firstLine="1428"/>
        <w:spacing w:after="0" w:line="308" w:lineRule="auto"/>
        <w:tabs>
          <w:tab w:leader="none" w:pos="168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Except as set forth in Section 2.15(b) of the Company Disclosure Schedule, since the Company’s inception through the date of this Agreement, no Legal Proceeding has been pending against the Company that resulted in material liability to the Company.</w:t>
      </w:r>
    </w:p>
    <w:p>
      <w:pPr>
        <w:spacing w:after="0" w:line="146" w:lineRule="exact"/>
        <w:rPr>
          <w:rFonts w:ascii="Arial" w:cs="Arial" w:eastAsia="Arial" w:hAnsi="Arial"/>
          <w:sz w:val="17"/>
          <w:szCs w:val="17"/>
          <w:color w:val="auto"/>
        </w:rPr>
      </w:pPr>
    </w:p>
    <w:p>
      <w:pPr>
        <w:ind w:right="20" w:firstLine="1428"/>
        <w:spacing w:after="0" w:line="259" w:lineRule="auto"/>
        <w:tabs>
          <w:tab w:leader="none" w:pos="167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 is no order, writ, injunction, judgment or decree to which the Company, or any of the material assets owned or used by the Company, is subject. To the Knowledge of the Company, no officer or employees of the Company is subject to any order, writ, injunction, judgment or decree that prohibits such officer or employee from engaging in or continuing any conduct, activity or practice relating to the business of the Company or to any material assets owned or used by the Company.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33" w:name="page234"/>
    <w:bookmarkEnd w:id="23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2.16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9" w:lineRule="exact"/>
        <w:rPr>
          <w:sz w:val="20"/>
          <w:szCs w:val="20"/>
          <w:color w:val="auto"/>
        </w:rPr>
      </w:pPr>
    </w:p>
    <w:p>
      <w:pPr>
        <w:ind w:right="180" w:firstLine="1428"/>
        <w:spacing w:after="0" w:line="279" w:lineRule="auto"/>
        <w:tabs>
          <w:tab w:leader="none" w:pos="167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has timely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the Company does not file a particular Tax Return or pay a particular Tax that the Company or such Subsidiary is subject to taxation by that jurisdiction.</w:t>
      </w:r>
    </w:p>
    <w:p>
      <w:pPr>
        <w:spacing w:after="0" w:line="171" w:lineRule="exact"/>
        <w:rPr>
          <w:rFonts w:ascii="Arial" w:cs="Arial" w:eastAsia="Arial" w:hAnsi="Arial"/>
          <w:sz w:val="17"/>
          <w:szCs w:val="17"/>
          <w:color w:val="auto"/>
        </w:rPr>
      </w:pPr>
    </w:p>
    <w:p>
      <w:pPr>
        <w:ind w:right="40" w:firstLine="1428"/>
        <w:spacing w:after="0" w:line="275" w:lineRule="auto"/>
        <w:tabs>
          <w:tab w:leader="none" w:pos="168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All income and other material Taxes due and owing by the Company on or before the date hereof (whether or not shown on any Tax Return) have been fully and timely paid. The unpaid Taxes of the Company did not, as of the date of the Company Unaudited Interim Balance Sheet, materially exceed the reserve for Tax liability (excluding any reserve for deferred Taxes established to reflect timing differences between book and Tax items) set forth on the face of the Company Unaudited Interim Balance Sheet. Since the date of the Company Unaudited Interim Balance Sheet, the Company has not incurred any material Liability for Taxes outside the Ordinary Course of Business.</w:t>
      </w:r>
    </w:p>
    <w:p>
      <w:pPr>
        <w:spacing w:after="0" w:line="176" w:lineRule="exact"/>
        <w:rPr>
          <w:rFonts w:ascii="Arial" w:cs="Arial" w:eastAsia="Arial" w:hAnsi="Arial"/>
          <w:sz w:val="17"/>
          <w:szCs w:val="17"/>
          <w:color w:val="auto"/>
        </w:rPr>
      </w:pPr>
    </w:p>
    <w:p>
      <w:pPr>
        <w:ind w:right="20" w:firstLine="1428"/>
        <w:spacing w:after="0" w:line="286" w:lineRule="auto"/>
        <w:tabs>
          <w:tab w:leader="none" w:pos="167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All Taxes that the Company is or was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spacing w:after="0" w:line="165" w:lineRule="exact"/>
        <w:rPr>
          <w:rFonts w:ascii="Arial" w:cs="Arial" w:eastAsia="Arial" w:hAnsi="Arial"/>
          <w:sz w:val="17"/>
          <w:szCs w:val="17"/>
          <w:color w:val="auto"/>
        </w:rPr>
      </w:pPr>
    </w:p>
    <w:p>
      <w:pPr>
        <w:ind w:left="1680" w:hanging="252"/>
        <w:spacing w:after="0"/>
        <w:tabs>
          <w:tab w:leader="none" w:pos="1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There are no Encumbrances for material Taxes (other than Taxes not yet due and payable) upon any of the assets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jc w:val="both"/>
        <w:ind w:firstLine="1428"/>
        <w:spacing w:after="0" w:line="301" w:lineRule="auto"/>
        <w:tabs>
          <w:tab w:leader="none" w:pos="167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 deficiencies for a material amount of Taxes with respect to the Company have been claimed, proposed or assessed by any Governmental Body in writing. There are no pending or ongoing and, to the Knowledge of the Company, no threatened audits, assessments or other actions for or relating to any liability in respect of a material amount of Taxes of the Company. The Company nor any of its predecessors has waived any statute of limitations or agreed to any extension of time with respect to any income or other material Tax assessment or deficiency.</w:t>
      </w:r>
    </w:p>
    <w:p>
      <w:pPr>
        <w:spacing w:after="0" w:line="157" w:lineRule="exact"/>
        <w:rPr>
          <w:rFonts w:ascii="Arial" w:cs="Arial" w:eastAsia="Arial" w:hAnsi="Arial"/>
          <w:sz w:val="16"/>
          <w:szCs w:val="16"/>
          <w:color w:val="auto"/>
        </w:rPr>
      </w:pPr>
    </w:p>
    <w:p>
      <w:pPr>
        <w:ind w:right="400" w:firstLine="1428"/>
        <w:spacing w:after="0" w:line="277" w:lineRule="auto"/>
        <w:tabs>
          <w:tab w:leader="none" w:pos="165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color w:val="auto"/>
        </w:rPr>
      </w:pPr>
    </w:p>
    <w:p>
      <w:pPr>
        <w:ind w:right="200" w:firstLine="1428"/>
        <w:spacing w:after="0" w:line="263" w:lineRule="auto"/>
        <w:tabs>
          <w:tab w:leader="none" w:pos="168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is not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83" w:lineRule="exact"/>
        <w:rPr>
          <w:rFonts w:ascii="Arial" w:cs="Arial" w:eastAsia="Arial" w:hAnsi="Arial"/>
          <w:sz w:val="18"/>
          <w:szCs w:val="18"/>
          <w:color w:val="auto"/>
        </w:rPr>
      </w:pPr>
    </w:p>
    <w:p>
      <w:pPr>
        <w:ind w:right="160" w:firstLine="1428"/>
        <w:spacing w:after="0" w:line="291" w:lineRule="auto"/>
        <w:tabs>
          <w:tab w:leader="none" w:pos="168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(nor Parent as a result of the Mergers) will not be required to include any item of income in, or exclude any item of deduction from, taxable income for any Tax period (or portion thereof) ending after the Closing Date as a result of any: (i)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(v) installment sale or open transaction disposition made on or prior to the Closing Date; or (vi) prepaid amount, advance payment or deferred revenue received or accrued on or prior to the Closing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34" w:name="page235"/>
    <w:bookmarkEnd w:id="234"/>
    <w:p>
      <w:pPr>
        <w:ind w:left="4" w:right="20" w:firstLine="1428"/>
        <w:spacing w:after="0" w:line="296" w:lineRule="auto"/>
        <w:tabs>
          <w:tab w:leader="none" w:pos="1651"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ever been (i) a member of a consolidated, combined or unitary Tax group (other than such a group the common parent of which is the Company) or (ii) a party to any joint venture, partnership, or other arrangement that is treated as a partnership for U.S. federal income Tax purposes. The Company has no Liability for any material Taxes of any Person (other than the Company) under Treasury Regulations Section 1.1502-6 (or any similar provision of state, local, or foreign Law), as a transferee or successor, by Contract (other than a Contract entered into in the Ordinary Course of Business the principal subject matter of which is not Taxes) or otherwise by operation of law.</w:t>
      </w:r>
    </w:p>
    <w:p>
      <w:pPr>
        <w:spacing w:after="0" w:line="161" w:lineRule="exact"/>
        <w:rPr>
          <w:rFonts w:ascii="Arial" w:cs="Arial" w:eastAsia="Arial" w:hAnsi="Arial"/>
          <w:sz w:val="16"/>
          <w:szCs w:val="16"/>
          <w:color w:val="auto"/>
        </w:rPr>
      </w:pPr>
    </w:p>
    <w:p>
      <w:pPr>
        <w:ind w:left="4" w:right="20" w:firstLine="1428"/>
        <w:spacing w:after="0" w:line="263" w:lineRule="auto"/>
        <w:tabs>
          <w:tab w:leader="none" w:pos="165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has not ever distributed stock of another Person, or had its stock distributed by another Person, in a transaction that was purported or intended to be governed in whole or in part by Section 355 of the Code or Section 361 of the Code (or any similar provisions of state, local or foreign Law).</w:t>
      </w:r>
    </w:p>
    <w:p>
      <w:pPr>
        <w:spacing w:after="0" w:line="183" w:lineRule="exact"/>
        <w:rPr>
          <w:rFonts w:ascii="Arial" w:cs="Arial" w:eastAsia="Arial" w:hAnsi="Arial"/>
          <w:sz w:val="18"/>
          <w:szCs w:val="18"/>
          <w:color w:val="auto"/>
        </w:rPr>
      </w:pPr>
    </w:p>
    <w:p>
      <w:pPr>
        <w:ind w:left="4" w:right="20" w:firstLine="1428"/>
        <w:spacing w:after="0" w:line="277" w:lineRule="auto"/>
        <w:tabs>
          <w:tab w:leader="none" w:pos="169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has not had a permanent establishment (within the meaning of an applicable Tax treaty) or otherwise had an office or fixed place of business in a country other than the country in which it is organized.</w:t>
      </w:r>
    </w:p>
    <w:p>
      <w:pPr>
        <w:spacing w:after="0" w:line="170" w:lineRule="exact"/>
        <w:rPr>
          <w:rFonts w:ascii="Arial" w:cs="Arial" w:eastAsia="Arial" w:hAnsi="Arial"/>
          <w:sz w:val="18"/>
          <w:szCs w:val="18"/>
          <w:color w:val="auto"/>
        </w:rPr>
      </w:pPr>
    </w:p>
    <w:p>
      <w:pPr>
        <w:ind w:left="4" w:right="220" w:firstLine="1428"/>
        <w:spacing w:after="0" w:line="308" w:lineRule="auto"/>
        <w:tabs>
          <w:tab w:leader="none" w:pos="165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has not participated in or been a party to a transaction that, as of the date of this Agreement, constitutes a “listed transaction” within the meaning of Section 6707A(c)(2) of the Code and Treasury Regulations Section 1.6011-4(b)(2).</w:t>
      </w:r>
    </w:p>
    <w:p>
      <w:pPr>
        <w:spacing w:after="0" w:line="146" w:lineRule="exact"/>
        <w:rPr>
          <w:rFonts w:ascii="Arial" w:cs="Arial" w:eastAsia="Arial" w:hAnsi="Arial"/>
          <w:sz w:val="17"/>
          <w:szCs w:val="17"/>
          <w:color w:val="auto"/>
        </w:rPr>
      </w:pPr>
    </w:p>
    <w:p>
      <w:pPr>
        <w:ind w:left="4" w:right="60" w:firstLine="1428"/>
        <w:spacing w:after="0" w:line="263" w:lineRule="auto"/>
        <w:tabs>
          <w:tab w:leader="none" w:pos="174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Section 2.16(n) of the Company Disclosure Schedule sets forth the entity classification of the Company for U.S. federal income tax purposes. The Company has not made an election or taken any other action to change its federal and state income tax classification from such classification.</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each reference to the Company shall be deemed to include any Person that was liquidated into, merged with, or is otherwise a predecessor to, the Company.</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u w:val="single" w:color="auto"/>
          <w:color w:val="auto"/>
        </w:rPr>
        <w:t>Employee and Labor Matters; Benefit Plans</w:t>
      </w:r>
      <w:r>
        <w:rPr>
          <w:rFonts w:ascii="Arial" w:cs="Arial" w:eastAsia="Arial" w:hAnsi="Arial"/>
          <w:sz w:val="18"/>
          <w:szCs w:val="18"/>
          <w:color w:val="auto"/>
        </w:rPr>
        <w:t>.</w:t>
      </w:r>
    </w:p>
    <w:p>
      <w:pPr>
        <w:spacing w:after="0" w:line="229" w:lineRule="exact"/>
        <w:rPr>
          <w:sz w:val="20"/>
          <w:szCs w:val="20"/>
          <w:color w:val="auto"/>
        </w:rPr>
      </w:pPr>
    </w:p>
    <w:p>
      <w:pPr>
        <w:ind w:left="4" w:right="20" w:firstLine="1428"/>
        <w:spacing w:after="0" w:line="269" w:lineRule="auto"/>
        <w:tabs>
          <w:tab w:leader="none" w:pos="1681" w:val="left"/>
        </w:tabs>
        <w:numPr>
          <w:ilvl w:val="1"/>
          <w:numId w:val="119"/>
        </w:numPr>
        <w:rPr>
          <w:rFonts w:ascii="Arial" w:cs="Arial" w:eastAsia="Arial" w:hAnsi="Arial"/>
          <w:sz w:val="17"/>
          <w:szCs w:val="17"/>
          <w:color w:val="auto"/>
        </w:rPr>
      </w:pPr>
      <w:r>
        <w:rPr>
          <w:rFonts w:ascii="Arial" w:cs="Arial" w:eastAsia="Arial" w:hAnsi="Arial"/>
          <w:sz w:val="17"/>
          <w:szCs w:val="17"/>
          <w:color w:val="auto"/>
        </w:rPr>
        <w:t>Section 2.17(a) of the Company Disclosure Schedule is a list of all material Company Benefit Plans, other than at-will employment offer letters on the Company’s standard form and other than individual compensatory equity award agreements made pursuant to the Company’s standard forms, in which case only representative standard forms of such agreements shall be scheduled. “</w:t>
      </w:r>
      <w:r>
        <w:rPr>
          <w:rFonts w:ascii="Arial" w:cs="Arial" w:eastAsia="Arial" w:hAnsi="Arial"/>
          <w:sz w:val="17"/>
          <w:szCs w:val="17"/>
          <w:b w:val="1"/>
          <w:bCs w:val="1"/>
          <w:i w:val="1"/>
          <w:iCs w:val="1"/>
          <w:color w:val="auto"/>
        </w:rPr>
        <w:t>Company Benefit Plan</w:t>
      </w:r>
      <w:r>
        <w:rPr>
          <w:rFonts w:ascii="Arial" w:cs="Arial" w:eastAsia="Arial" w:hAnsi="Arial"/>
          <w:sz w:val="17"/>
          <w:szCs w:val="17"/>
          <w:color w:val="auto"/>
        </w:rPr>
        <w:t>” means each (i) “employee benefit plan” as defined in Section 3(3) of ERISA and (ii) other pension, retirement, deferred compensation, excess benefit, profit-sharing, bonus, incentive, equity or equity-based,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subject or not subject to ERISA and including any that have been frozen), in each case, sponsored, maintained, administered, contributed to, or required to be contributed to, by the Company for the benefit of any current or former employee, director, officer or independent contractor of the Company (or beneficiary thereof) or under which the Company has any actual or contingent liability (including, without limitation, by reason of having a Company ERISA Affiliate).</w:t>
      </w:r>
    </w:p>
    <w:p>
      <w:pPr>
        <w:spacing w:after="0" w:line="185" w:lineRule="exact"/>
        <w:rPr>
          <w:rFonts w:ascii="Arial" w:cs="Arial" w:eastAsia="Arial" w:hAnsi="Arial"/>
          <w:sz w:val="17"/>
          <w:szCs w:val="17"/>
          <w:color w:val="auto"/>
        </w:rPr>
      </w:pPr>
    </w:p>
    <w:p>
      <w:pPr>
        <w:ind w:left="4" w:firstLine="1428"/>
        <w:spacing w:after="0" w:line="286" w:lineRule="auto"/>
        <w:tabs>
          <w:tab w:leader="none" w:pos="1691"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As applicable with respect to each material Company Benefit Plan, the Company has made available to Parent, true and complete copies of (i) each material Company Benefit Plan, including all amendments thereto, and in the case of an unwritten material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most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35" w:name="page236"/>
    <w:bookmarkEnd w:id="23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recently filed annual reports with any Governmental Body (</w:t>
      </w:r>
      <w:r>
        <w:rPr>
          <w:rFonts w:ascii="Arial" w:cs="Arial" w:eastAsia="Arial" w:hAnsi="Arial"/>
          <w:sz w:val="18"/>
          <w:szCs w:val="18"/>
          <w:i w:val="1"/>
          <w:iCs w:val="1"/>
          <w:color w:val="auto"/>
        </w:rPr>
        <w:t>e.g.</w:t>
      </w:r>
      <w:r>
        <w:rPr>
          <w:rFonts w:ascii="Arial" w:cs="Arial" w:eastAsia="Arial" w:hAnsi="Arial"/>
          <w:sz w:val="18"/>
          <w:szCs w:val="18"/>
          <w:color w:val="auto"/>
        </w:rPr>
        <w:t>, Form 5500 and all schedules thereto), (v) the most recent IRS determination, opinion or advisory letter, (vi) the most recent summary annual reports, nondiscrimination testing reports, actuarial reports, financial statements and trustee reports, and (vii) all notices and filings from the IRS or Department of Labor or other Governmental Body concerning audits or investigations, or “prohibited transactions” within the meaning of Section 406 of ERISA or Section 4975 of the Code.</w:t>
      </w:r>
    </w:p>
    <w:p>
      <w:pPr>
        <w:spacing w:after="0" w:line="187" w:lineRule="exact"/>
        <w:rPr>
          <w:sz w:val="20"/>
          <w:szCs w:val="20"/>
          <w:color w:val="auto"/>
        </w:rPr>
      </w:pPr>
    </w:p>
    <w:p>
      <w:pPr>
        <w:ind w:firstLine="1428"/>
        <w:spacing w:after="0" w:line="277" w:lineRule="auto"/>
        <w:tabs>
          <w:tab w:leader="none" w:pos="16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Company Benefit Plan has been maintained, operated and administered in compliance in all material respects with its terms and the applicable provisions of ERISA, the Code and all other Laws.</w:t>
      </w:r>
    </w:p>
    <w:p>
      <w:pPr>
        <w:spacing w:after="0" w:line="170" w:lineRule="exact"/>
        <w:rPr>
          <w:rFonts w:ascii="Arial" w:cs="Arial" w:eastAsia="Arial" w:hAnsi="Arial"/>
          <w:sz w:val="18"/>
          <w:szCs w:val="18"/>
          <w:color w:val="auto"/>
        </w:rPr>
      </w:pPr>
    </w:p>
    <w:p>
      <w:pPr>
        <w:ind w:right="20" w:firstLine="1428"/>
        <w:spacing w:after="0" w:line="275" w:lineRule="auto"/>
        <w:tabs>
          <w:tab w:leader="none" w:pos="168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nothing has occurred that would reasonably be expected to materially adversely affect the qualification of such Company Benefit Plan or the tax exempt status of the related trust.</w:t>
      </w:r>
    </w:p>
    <w:p>
      <w:pPr>
        <w:spacing w:after="0" w:line="176" w:lineRule="exact"/>
        <w:rPr>
          <w:rFonts w:ascii="Arial" w:cs="Arial" w:eastAsia="Arial" w:hAnsi="Arial"/>
          <w:sz w:val="17"/>
          <w:szCs w:val="17"/>
          <w:color w:val="auto"/>
        </w:rPr>
      </w:pPr>
    </w:p>
    <w:p>
      <w:pPr>
        <w:ind w:right="40" w:firstLine="1428"/>
        <w:spacing w:after="0" w:line="257" w:lineRule="auto"/>
        <w:tabs>
          <w:tab w:leader="none" w:pos="16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Neither the Company nor any Company ERISA Affiliate maintains, contributes to, is required to contribute to, or has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spacing w:after="0" w:line="187" w:lineRule="exact"/>
        <w:rPr>
          <w:rFonts w:ascii="Arial" w:cs="Arial" w:eastAsia="Arial" w:hAnsi="Arial"/>
          <w:sz w:val="18"/>
          <w:szCs w:val="18"/>
          <w:color w:val="auto"/>
        </w:rPr>
      </w:pPr>
    </w:p>
    <w:p>
      <w:pPr>
        <w:ind w:right="120" w:firstLine="1428"/>
        <w:spacing w:after="0" w:line="254" w:lineRule="auto"/>
        <w:tabs>
          <w:tab w:leader="none" w:pos="165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Body involving any Company Benefit Plan, and no pending or, to the Knowledge of the Company, threatened claims (except for routine individual claims for benefits payable in the normal operation of the Company Benefit Plans), suits or proceedings involving any Company Benefit Plan, or, to the Knowledge of the Company, any fiduciary thereof or service provider thereto, in any case except as would not be reasonably expected to result in material liability to the Company. All contributions and premium payments required to have been made under any of the Company Benefit Plans or by applicable Law (without regard to any waivers granted under Section 412 of the Code), have been timely made and the Company has no material liability for any unpaid contributions with respect to any Company Benefit Plan.</w:t>
      </w:r>
    </w:p>
    <w:p>
      <w:pPr>
        <w:spacing w:after="0" w:line="194" w:lineRule="exact"/>
        <w:rPr>
          <w:rFonts w:ascii="Arial" w:cs="Arial" w:eastAsia="Arial" w:hAnsi="Arial"/>
          <w:sz w:val="18"/>
          <w:szCs w:val="18"/>
          <w:color w:val="auto"/>
        </w:rPr>
      </w:pPr>
    </w:p>
    <w:p>
      <w:pPr>
        <w:ind w:right="100" w:firstLine="1428"/>
        <w:spacing w:after="0" w:line="279" w:lineRule="auto"/>
        <w:tabs>
          <w:tab w:leader="none" w:pos="168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None of the Company, any Company ERISA Affiliate or, to the Knowledge of the Company, any fiduciary, trustee or administrator of any Company Benefit Plan, has engaged in, or in connection with the Contemplated Transactions will engage in, any transaction with respect to any Company Benefit Plan which would subject any such Company Benefit Plan, the Company, or Parent to a material Tax, material penalty or material liability for a “prohibited transaction” under Section 406 of ERISA or Section 4975 of the Code.</w:t>
      </w:r>
    </w:p>
    <w:p>
      <w:pPr>
        <w:spacing w:after="0" w:line="171" w:lineRule="exact"/>
        <w:rPr>
          <w:rFonts w:ascii="Arial" w:cs="Arial" w:eastAsia="Arial" w:hAnsi="Arial"/>
          <w:sz w:val="17"/>
          <w:szCs w:val="17"/>
          <w:color w:val="auto"/>
        </w:rPr>
      </w:pPr>
    </w:p>
    <w:p>
      <w:pPr>
        <w:jc w:val="both"/>
        <w:ind w:right="40" w:firstLine="1428"/>
        <w:spacing w:after="0" w:line="263" w:lineRule="auto"/>
        <w:tabs>
          <w:tab w:leader="none" w:pos="16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Company Benefit Plan provides death, medical, dental, vision, life insurance or other welfare benefits beyond termination of service or retirement other than coverage mandated by Law and, to the Knowledge of the Company, the Company has not made a written representation promising the same.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36" w:name="page237"/>
    <w:bookmarkEnd w:id="236"/>
    <w:p>
      <w:pPr>
        <w:ind w:left="4" w:firstLine="1428"/>
        <w:spacing w:after="0" w:line="273" w:lineRule="auto"/>
        <w:tabs>
          <w:tab w:leader="none" w:pos="1651" w:val="left"/>
        </w:tabs>
        <w:numPr>
          <w:ilvl w:val="1"/>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execution of this Agreement, nor the performance of the Contemplated Transactions (either alone or when combined with the occurrence of any other event, including without limitation, a termination of employment), will: (i) result in any payment becoming due to any current or former employee, director, officer, or independent contractor of the Company thereof, pursuant to any Company Benefit Plan (ii) increase any amount of compensation or benefits otherwise payable under any Company Benefit Plan, (iii) result in the acceleration of the time of payment, funding or vesting of any benefits under any Company Benefit Plan, (iv) require any contribution or payment to fund any obligation under any Company Benefit Plan or (v) limit the right to merge, amend or terminate any Company Benefit Plan.</w:t>
      </w:r>
    </w:p>
    <w:p>
      <w:pPr>
        <w:spacing w:after="0" w:line="177" w:lineRule="exact"/>
        <w:rPr>
          <w:rFonts w:ascii="Arial" w:cs="Arial" w:eastAsia="Arial" w:hAnsi="Arial"/>
          <w:sz w:val="17"/>
          <w:szCs w:val="17"/>
          <w:color w:val="auto"/>
        </w:rPr>
      </w:pPr>
    </w:p>
    <w:p>
      <w:pPr>
        <w:ind w:left="4" w:firstLine="1428"/>
        <w:spacing w:after="0" w:line="275" w:lineRule="auto"/>
        <w:tabs>
          <w:tab w:leader="none" w:pos="1651"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Except as set forth in Section 2.17(a) of the Company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Code Section 280G) with respect to the Company of any payment or benefit that is or could be characterized as a “parachute payment” (within the meaning of Code Section 280G), determined without regard to the application of Code Section 280G(b)(5).</w:t>
      </w:r>
    </w:p>
    <w:p>
      <w:pPr>
        <w:spacing w:after="0" w:line="176" w:lineRule="exact"/>
        <w:rPr>
          <w:rFonts w:ascii="Arial" w:cs="Arial" w:eastAsia="Arial" w:hAnsi="Arial"/>
          <w:sz w:val="17"/>
          <w:szCs w:val="17"/>
          <w:color w:val="auto"/>
        </w:rPr>
      </w:pPr>
    </w:p>
    <w:p>
      <w:pPr>
        <w:ind w:left="4" w:right="120" w:firstLine="1428"/>
        <w:spacing w:after="0" w:line="342" w:lineRule="auto"/>
        <w:tabs>
          <w:tab w:leader="none" w:pos="169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No current or former employee, officer, director or independent contractor of the Company has any “gross up” agreements with the Company or other assurance of reimbursement by the Company for any Taxes imposed under Code Section 409A or Code Section 4999.</w:t>
      </w:r>
    </w:p>
    <w:p>
      <w:pPr>
        <w:spacing w:after="0" w:line="123" w:lineRule="exact"/>
        <w:rPr>
          <w:rFonts w:ascii="Arial" w:cs="Arial" w:eastAsia="Arial" w:hAnsi="Arial"/>
          <w:sz w:val="16"/>
          <w:szCs w:val="16"/>
          <w:color w:val="auto"/>
        </w:rPr>
      </w:pPr>
    </w:p>
    <w:p>
      <w:pPr>
        <w:ind w:left="1644" w:hanging="212"/>
        <w:spacing w:after="0"/>
        <w:tabs>
          <w:tab w:leader="none" w:pos="164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Company does not maintain any Company Benefit Plan for the benefit of any service providers located outside of the United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States.</w:t>
      </w:r>
    </w:p>
    <w:p>
      <w:pPr>
        <w:spacing w:after="0" w:line="210" w:lineRule="exact"/>
        <w:rPr>
          <w:rFonts w:ascii="Arial" w:cs="Arial" w:eastAsia="Arial" w:hAnsi="Arial"/>
          <w:sz w:val="16"/>
          <w:szCs w:val="16"/>
          <w:color w:val="auto"/>
        </w:rPr>
      </w:pPr>
    </w:p>
    <w:p>
      <w:pPr>
        <w:ind w:left="4" w:right="20" w:firstLine="1428"/>
        <w:spacing w:after="0" w:line="287" w:lineRule="auto"/>
        <w:tabs>
          <w:tab w:leader="none" w:pos="174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Company has provided to Parent a true and correct list, as of the date of this Agreement, containing the names of all current full-time, part-time or temporary employees and independent contractors (and indication as such), and, as applicable: (i) the annual dollar amount of all cash compensation in the form of wages, salary, fees, commissions, or director’s fees payable to each person; (ii) dates of employment or service;</w:t>
      </w:r>
    </w:p>
    <w:p>
      <w:pPr>
        <w:spacing w:after="0" w:line="2" w:lineRule="exact"/>
        <w:rPr>
          <w:rFonts w:ascii="Arial" w:cs="Arial" w:eastAsia="Arial" w:hAnsi="Arial"/>
          <w:sz w:val="16"/>
          <w:szCs w:val="16"/>
          <w:color w:val="auto"/>
        </w:rPr>
      </w:pPr>
    </w:p>
    <w:p>
      <w:pPr>
        <w:jc w:val="both"/>
        <w:ind w:left="4" w:right="180" w:hanging="4"/>
        <w:spacing w:after="0" w:line="302" w:lineRule="auto"/>
        <w:tabs>
          <w:tab w:leader="none" w:pos="3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title and, with respect to independent contractors, a current written description of such person’s contracting services; (iv) visa status, if applicable; and (v) with respect to employees, (A) a designation of whether they are classified as exempt or non-exempt for purposes of the Fair Labor Standards Act, as amended (“</w:t>
      </w:r>
      <w:r>
        <w:rPr>
          <w:rFonts w:ascii="Arial" w:cs="Arial" w:eastAsia="Arial" w:hAnsi="Arial"/>
          <w:sz w:val="16"/>
          <w:szCs w:val="16"/>
          <w:b w:val="1"/>
          <w:bCs w:val="1"/>
          <w:i w:val="1"/>
          <w:iCs w:val="1"/>
          <w:color w:val="auto"/>
        </w:rPr>
        <w:t>FLSA</w:t>
      </w:r>
      <w:r>
        <w:rPr>
          <w:rFonts w:ascii="Arial" w:cs="Arial" w:eastAsia="Arial" w:hAnsi="Arial"/>
          <w:sz w:val="16"/>
          <w:szCs w:val="16"/>
          <w:color w:val="auto"/>
        </w:rPr>
        <w:t>”) and any similar state law and (B) whether such an employee is on leave and, if so, the expected return date.</w:t>
      </w:r>
    </w:p>
    <w:p>
      <w:pPr>
        <w:spacing w:after="0" w:line="155" w:lineRule="exact"/>
        <w:rPr>
          <w:rFonts w:ascii="Arial" w:cs="Arial" w:eastAsia="Arial" w:hAnsi="Arial"/>
          <w:sz w:val="16"/>
          <w:szCs w:val="16"/>
          <w:color w:val="auto"/>
        </w:rPr>
      </w:pPr>
    </w:p>
    <w:p>
      <w:pPr>
        <w:ind w:left="4" w:firstLine="1428"/>
        <w:spacing w:after="0" w:line="273" w:lineRule="auto"/>
        <w:tabs>
          <w:tab w:leader="none" w:pos="1691"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Company is not and has never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the Company, purporting to represent or seeking to represent any employees of the Company, including through the filing of a petition for representation election. There is not and has not been in the past five years, nor, to the Knowledge of the Company, is there or has there been since the Company’s inception any threat of, any strike, slowdown, work stoppage, lockout, union election petition, demand for recognition, or any similar activity or dispute or any union organizing activity, affecting the Company.</w:t>
      </w:r>
    </w:p>
    <w:p>
      <w:pPr>
        <w:spacing w:after="0" w:line="177" w:lineRule="exact"/>
        <w:rPr>
          <w:rFonts w:ascii="Arial" w:cs="Arial" w:eastAsia="Arial" w:hAnsi="Arial"/>
          <w:sz w:val="17"/>
          <w:szCs w:val="17"/>
          <w:color w:val="auto"/>
        </w:rPr>
      </w:pPr>
    </w:p>
    <w:p>
      <w:pPr>
        <w:ind w:left="4" w:right="40" w:firstLine="1428"/>
        <w:spacing w:after="0" w:line="273" w:lineRule="auto"/>
        <w:tabs>
          <w:tab w:leader="none" w:pos="1691"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Company is, and since the Company’s inception has been, in material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the Company, with respect to employees of the Company, the Company, since the Company’s inception, has withheld and reported all amounts required by Law to be withheld and reported</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237" w:name="page238"/>
    <w:bookmarkEnd w:id="237"/>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wages, salaries and other payments, benefits, or compensation to employees. There is no material Legal Proceeding pending or, to the Knowledge of the Company, threatened or reasonably anticipated against the Company relating to any current or former employee, applicant for employment, or consultant of the Company.</w:t>
      </w:r>
    </w:p>
    <w:p>
      <w:pPr>
        <w:spacing w:after="0" w:line="184" w:lineRule="exact"/>
        <w:rPr>
          <w:sz w:val="20"/>
          <w:szCs w:val="20"/>
          <w:color w:val="auto"/>
        </w:rPr>
      </w:pPr>
    </w:p>
    <w:p>
      <w:pPr>
        <w:ind w:firstLine="1428"/>
        <w:spacing w:after="0" w:line="308" w:lineRule="auto"/>
        <w:tabs>
          <w:tab w:leader="none" w:pos="168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Within the preceding two years, the Company has complied in all material respects with the WARN Act, and no action that could trigger the WARN Act will be implemented before the Closing Date without advance notification to and approval of Parent.</w:t>
      </w:r>
    </w:p>
    <w:p>
      <w:pPr>
        <w:spacing w:after="0" w:line="142"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u w:val="single" w:color="auto"/>
          <w:color w:val="auto"/>
        </w:rPr>
        <w:t>Environmental Matters</w:t>
      </w:r>
      <w:r>
        <w:rPr>
          <w:rFonts w:ascii="Arial" w:cs="Arial" w:eastAsia="Arial" w:hAnsi="Arial"/>
          <w:sz w:val="16"/>
          <w:szCs w:val="16"/>
          <w:color w:val="auto"/>
        </w:rPr>
        <w:t>. The Company is and since inception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The Company has not received since inception any written notice or other communication (in writing or otherwise), whether from a Governmental Body or other Person, that alleges that the Company is not in compliance with or has liability pursuant to any Environmental Law and, to the Knowledge of the Company, there are no circumstances that would reasonably be expected to prevent or interfere with the Company’s compliance in any material respects with any Environmental Law, except where such failure to comply would not reasonably be expected to be material to the Company or its business. No current or (during the time a prior property was leased or controlled by the Company) prior property leased or controlled by the Company has had a release of or exposure to Hazardous Materials in material violation of or as would reasonably be expected to result in any material liability of the Company pursuant to Environmental Law. No consent, approval or Governmental Authorization of or registration or filing with any Governmental Body is required by Environmental Laws in connection with the execution and delivery of this Agreement or consummation of the Contemplated Transactions by the Company. Prior to the date hereof, the Company has provided or otherwise made available to Parent true and correct copies of all material environmental reports, assessments, studies and audits in the possession or control of the Company with respect to any property leased or controlled by the Company or any business operated by it.</w:t>
      </w:r>
    </w:p>
    <w:p>
      <w:pPr>
        <w:spacing w:after="0" w:line="171"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The Company has delivered or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(a) cancellation or invalidation of any insurance policy; or (b) 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159" w:lineRule="exact"/>
        <w:rPr>
          <w:sz w:val="20"/>
          <w:szCs w:val="20"/>
          <w:color w:val="auto"/>
        </w:rPr>
      </w:pPr>
    </w:p>
    <w:p>
      <w:pPr>
        <w:ind w:right="320" w:firstLine="991"/>
        <w:spacing w:after="0" w:line="266"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b w:val="1"/>
          <w:bCs w:val="1"/>
          <w:u w:val="single" w:color="auto"/>
          <w:color w:val="auto"/>
        </w:rPr>
        <w:t>No Financial Advisors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38" w:name="page239"/>
    <w:bookmarkEnd w:id="23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2.21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w:t>
      </w:r>
    </w:p>
    <w:p>
      <w:pPr>
        <w:spacing w:after="0" w:line="229" w:lineRule="exact"/>
        <w:rPr>
          <w:sz w:val="20"/>
          <w:szCs w:val="20"/>
          <w:color w:val="auto"/>
        </w:rPr>
      </w:pPr>
    </w:p>
    <w:p>
      <w:pPr>
        <w:ind w:right="80" w:firstLine="1428"/>
        <w:spacing w:after="0" w:line="255" w:lineRule="auto"/>
        <w:tabs>
          <w:tab w:leader="none" w:pos="167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Section 2.21(a)</w:t>
      </w:r>
      <w:r>
        <w:rPr>
          <w:rFonts w:ascii="Arial" w:cs="Arial" w:eastAsia="Arial" w:hAnsi="Arial"/>
          <w:sz w:val="18"/>
          <w:szCs w:val="18"/>
          <w:color w:val="auto"/>
        </w:rPr>
        <w:t xml:space="preserve"> of the Company Disclosure Schedule describes any material transactions or relationships, since the Company’s inception, between, on one hand, the Company and, on the other hand, any (i) officer or director of the Company or, to the Knowledge of the Company, any of such officer’s or director’s immediate family members, (ii) owner of more than 5% of the voting power of the outstanding Company Capital Stock or (iii) to the Knowledge of the Company, any “related person” (within the meaning of Item 404 of Regulation S-K under the Securities Act) of any such officer, director or owner (other than the Company) in the case of each of (i), (ii) or (iii) that is of the type that would be required to be disclosed under Item 404 of Regulation S-K under the Securities Act.</w:t>
      </w:r>
    </w:p>
    <w:p>
      <w:pPr>
        <w:spacing w:after="0" w:line="192" w:lineRule="exact"/>
        <w:rPr>
          <w:rFonts w:ascii="Arial" w:cs="Arial" w:eastAsia="Arial" w:hAnsi="Arial"/>
          <w:sz w:val="18"/>
          <w:szCs w:val="18"/>
          <w:color w:val="auto"/>
        </w:rPr>
      </w:pPr>
    </w:p>
    <w:p>
      <w:pPr>
        <w:ind w:firstLine="1428"/>
        <w:spacing w:after="0" w:line="259" w:lineRule="auto"/>
        <w:tabs>
          <w:tab w:leader="none" w:pos="168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Section 2.21(b)</w:t>
      </w:r>
      <w:r>
        <w:rPr>
          <w:rFonts w:ascii="Arial" w:cs="Arial" w:eastAsia="Arial" w:hAnsi="Arial"/>
          <w:sz w:val="18"/>
          <w:szCs w:val="18"/>
          <w:color w:val="auto"/>
        </w:rPr>
        <w:t xml:space="preserve"> of the Company Disclosure Schedule lists each stockholders agreement, voting agreement, registration rights agreement, co-sale agreement or other similar Contract between the Company and any holders of Company Capital Stock, including any such Contract granting any Person investor rights, rights of first refusal, rights of first offer, registration rights, director designation rights or similar rights (collectively, the “</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w:t>
      </w:r>
    </w:p>
    <w:p>
      <w:pPr>
        <w:spacing w:after="0" w:line="183" w:lineRule="exact"/>
        <w:rPr>
          <w:sz w:val="20"/>
          <w:szCs w:val="20"/>
          <w:color w:val="auto"/>
        </w:rPr>
      </w:pPr>
    </w:p>
    <w:p>
      <w:pPr>
        <w:ind w:right="120" w:firstLine="991"/>
        <w:spacing w:after="0" w:line="25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u w:val="single" w:color="auto"/>
          <w:color w:val="auto"/>
        </w:rPr>
        <w:t>Anti-Bribery</w:t>
      </w:r>
      <w:r>
        <w:rPr>
          <w:rFonts w:ascii="Arial" w:cs="Arial" w:eastAsia="Arial" w:hAnsi="Arial"/>
          <w:sz w:val="18"/>
          <w:szCs w:val="18"/>
          <w:color w:val="auto"/>
        </w:rPr>
        <w:t>. None of the Company nor any of its directors, officers, employees or, to the Company’s Knowledge, agents or any other Person acting on their behalf (in each in their respective capacities as such)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Arial" w:cs="Arial" w:eastAsia="Arial" w:hAnsi="Arial"/>
          <w:sz w:val="18"/>
          <w:szCs w:val="18"/>
          <w:b w:val="1"/>
          <w:bCs w:val="1"/>
          <w:i w:val="1"/>
          <w:iCs w:val="1"/>
          <w:color w:val="auto"/>
        </w:rPr>
        <w:t>Anti-Bribery Laws</w:t>
      </w:r>
      <w:r>
        <w:rPr>
          <w:rFonts w:ascii="Arial" w:cs="Arial" w:eastAsia="Arial" w:hAnsi="Arial"/>
          <w:sz w:val="18"/>
          <w:szCs w:val="18"/>
          <w:color w:val="auto"/>
        </w:rPr>
        <w:t>”). The Company is not, nor has ever been, the subject of any investigation or inquiry by any Governmental Body with respect to potential violations of Anti-Bribery Laws.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u w:val="single" w:color="auto"/>
          <w:color w:val="auto"/>
        </w:rPr>
        <w:t>Disclaimer of Other Representations or Warranties</w:t>
      </w:r>
      <w:r>
        <w:rPr>
          <w:rFonts w:ascii="Arial" w:cs="Arial" w:eastAsia="Arial" w:hAnsi="Arial"/>
          <w:sz w:val="18"/>
          <w:szCs w:val="18"/>
          <w:color w:val="auto"/>
        </w:rPr>
        <w:t>.</w:t>
      </w:r>
    </w:p>
    <w:p>
      <w:pPr>
        <w:spacing w:after="0" w:line="229" w:lineRule="exact"/>
        <w:rPr>
          <w:sz w:val="20"/>
          <w:szCs w:val="20"/>
          <w:color w:val="auto"/>
        </w:rPr>
      </w:pPr>
    </w:p>
    <w:p>
      <w:pPr>
        <w:ind w:right="320" w:firstLine="1428"/>
        <w:spacing w:after="0" w:line="286" w:lineRule="auto"/>
        <w:tabs>
          <w:tab w:leader="none" w:pos="167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Except as previously set forth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in any certificate delivered by the Company to Parent and/or Merger Subs pursuant to this Agreement, the Company makes no representation or warranty, express or implied, at law or in equity, with respect to it or any of its assets, liabilities or operations, and any such other representations or warranties are hereby expressly disclaimed.</w:t>
      </w:r>
    </w:p>
    <w:p>
      <w:pPr>
        <w:spacing w:after="0" w:line="165" w:lineRule="exact"/>
        <w:rPr>
          <w:rFonts w:ascii="Arial" w:cs="Arial" w:eastAsia="Arial" w:hAnsi="Arial"/>
          <w:sz w:val="17"/>
          <w:szCs w:val="17"/>
          <w:color w:val="auto"/>
        </w:rPr>
      </w:pPr>
    </w:p>
    <w:p>
      <w:pPr>
        <w:ind w:firstLine="1428"/>
        <w:spacing w:after="0" w:line="275" w:lineRule="auto"/>
        <w:tabs>
          <w:tab w:leader="none" w:pos="168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Company acknowledges and agrees that, except for the representations and warranties of Parent and Merger Subs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in any certificate delivered by Parent and/or Merger Subs to the Company pursuant to this Agreement, none of Parent, Merger Subs or any of their respective Representatives is relying on any other representation or warranty of Parent or any other Person made outside of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such certificate, including regarding the accuracy or completeness of any such other representations or warranties or the omission of any material information, whether express or implied, in each case, with respect to the Contemplated Transactions.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REPRESENTATIONS AND WARRANTIES OF PARENT AND MERGER SUBS</w:t>
      </w:r>
    </w:p>
    <w:p>
      <w:pPr>
        <w:spacing w:after="0" w:line="229" w:lineRule="exact"/>
        <w:rPr>
          <w:sz w:val="20"/>
          <w:szCs w:val="20"/>
          <w:color w:val="auto"/>
        </w:rPr>
      </w:pPr>
    </w:p>
    <w:p>
      <w:pPr>
        <w:ind w:right="160" w:firstLine="991"/>
        <w:spacing w:after="0" w:line="25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8.13(h)</w:t>
      </w:r>
      <w:r>
        <w:rPr>
          <w:rFonts w:ascii="Arial" w:cs="Arial" w:eastAsia="Arial" w:hAnsi="Arial"/>
          <w:sz w:val="18"/>
          <w:szCs w:val="18"/>
          <w:color w:val="auto"/>
        </w:rPr>
        <w:t>, except (a) as set forth in the disclosure schedule delivered by Parent to the Company (the “</w:t>
      </w:r>
      <w:r>
        <w:rPr>
          <w:rFonts w:ascii="Arial" w:cs="Arial" w:eastAsia="Arial" w:hAnsi="Arial"/>
          <w:sz w:val="18"/>
          <w:szCs w:val="18"/>
          <w:b w:val="1"/>
          <w:bCs w:val="1"/>
          <w:i w:val="1"/>
          <w:iCs w:val="1"/>
          <w:color w:val="auto"/>
        </w:rPr>
        <w:t>Parent 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or (b) as disclosed in the Parent SEC Documents filed with the SEC after December 31, 2020 and prior to the date hereof and publicly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available on the SEC’s Electronic Data Gathering Analysis and Retrieval system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(x) shall not be deemed disclosed for purposes of </w:t>
      </w:r>
      <w:r>
        <w:rPr>
          <w:rFonts w:ascii="Arial" w:cs="Arial" w:eastAsia="Arial" w:hAnsi="Arial"/>
          <w:sz w:val="18"/>
          <w:szCs w:val="18"/>
          <w:u w:val="single" w:color="auto"/>
          <w:color w:val="auto"/>
        </w:rPr>
        <w:t>Section 3.1,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239" w:name="page240"/>
    <w:bookmarkEnd w:id="239"/>
    <w:p>
      <w:pPr>
        <w:ind w:right="1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and (y) shall be deemed to be disclosed in a section of the Parent Disclosure Schedule only to the extent that it is readily apparent from a reading of such Parent SEC Documents that is applicable to such section of the Parent Disclosure Schedule, Parent and Merger Sub represent and warrant to the Company as follows:</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Due Organization; Subsidiaries</w:t>
      </w:r>
      <w:r>
        <w:rPr>
          <w:rFonts w:ascii="Arial" w:cs="Arial" w:eastAsia="Arial" w:hAnsi="Arial"/>
          <w:sz w:val="18"/>
          <w:szCs w:val="18"/>
          <w:color w:val="auto"/>
        </w:rPr>
        <w:t>.</w:t>
      </w:r>
    </w:p>
    <w:p>
      <w:pPr>
        <w:spacing w:after="0" w:line="229" w:lineRule="exact"/>
        <w:rPr>
          <w:sz w:val="20"/>
          <w:szCs w:val="20"/>
          <w:color w:val="auto"/>
        </w:rPr>
      </w:pPr>
    </w:p>
    <w:p>
      <w:pPr>
        <w:ind w:firstLine="1428"/>
        <w:spacing w:after="0" w:line="255" w:lineRule="auto"/>
        <w:tabs>
          <w:tab w:leader="none" w:pos="16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Parent, First Merger Sub and Second Merger Sub is a corporation duly incorporated, validly existing and in good standing under the Laws of the jurisdiction of its incorporation,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their respective date of incorporation, no Merger Sub has engaged in any activities other than activities incident to its formation or in connection with or as contemplated by this Agreement.</w:t>
      </w:r>
    </w:p>
    <w:p>
      <w:pPr>
        <w:spacing w:after="0" w:line="192" w:lineRule="exact"/>
        <w:rPr>
          <w:rFonts w:ascii="Arial" w:cs="Arial" w:eastAsia="Arial" w:hAnsi="Arial"/>
          <w:sz w:val="18"/>
          <w:szCs w:val="18"/>
          <w:color w:val="auto"/>
        </w:rPr>
      </w:pPr>
    </w:p>
    <w:p>
      <w:pPr>
        <w:jc w:val="both"/>
        <w:ind w:right="80" w:firstLine="1428"/>
        <w:spacing w:after="0" w:line="286" w:lineRule="auto"/>
        <w:tabs>
          <w:tab w:leader="none" w:pos="168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w:t>
      </w:r>
    </w:p>
    <w:p>
      <w:pPr>
        <w:spacing w:after="0" w:line="165" w:lineRule="exact"/>
        <w:rPr>
          <w:rFonts w:ascii="Arial" w:cs="Arial" w:eastAsia="Arial" w:hAnsi="Arial"/>
          <w:sz w:val="17"/>
          <w:szCs w:val="17"/>
          <w:color w:val="auto"/>
        </w:rPr>
      </w:pPr>
    </w:p>
    <w:p>
      <w:pPr>
        <w:ind w:right="120" w:firstLine="1428"/>
        <w:spacing w:after="0" w:line="291" w:lineRule="auto"/>
        <w:tabs>
          <w:tab w:leader="none" w:pos="167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Parent has no Subsidiaries, except for the Entities identified in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of the Parent Disclosure Schedule; and neither Parent nor any of the Entities identified in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of the Company Disclosure Schedule owns any capital stock of, or any equity, ownership or profit-sharing interest of any nature in, or controls directly or indirectly, any other Entity other than the Entities identified in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of the Company Disclosure Schedule. Each of Parent’s Subsidiaries is a corporation or other legal entity duly organized, validly existing and, if applicable, in good standing under the Laws of the jurisdiction of its organization and has all necessary corporate or other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66" w:lineRule="exact"/>
        <w:rPr>
          <w:rFonts w:ascii="Arial" w:cs="Arial" w:eastAsia="Arial" w:hAnsi="Arial"/>
          <w:sz w:val="16"/>
          <w:szCs w:val="16"/>
          <w:color w:val="auto"/>
        </w:rPr>
      </w:pPr>
    </w:p>
    <w:p>
      <w:pPr>
        <w:ind w:right="100" w:firstLine="1428"/>
        <w:spacing w:after="0" w:line="257" w:lineRule="auto"/>
        <w:tabs>
          <w:tab w:leader="none" w:pos="168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Neither the Parent nor any of its Subsidiaries is or has otherwise been, directly or indirectly, a party to, member of or participant in any partnership, joint venture or similar business Entity. Neither the Parent nor any of its Subsidiaries has agreed or is obligated to make, or is bound by any Contract under which it may become obligated to make, any future investment in or capital contribution to any other Entity. Neither the Parent nor any of its Subsidiaries has, at any time, been a general partner of, or has otherwise been liable for, any of the debts or other obligations of, any general partnership, limited partnership or other Entity.</w:t>
      </w:r>
    </w:p>
    <w:p>
      <w:pPr>
        <w:spacing w:after="0" w:line="184" w:lineRule="exact"/>
        <w:rPr>
          <w:sz w:val="20"/>
          <w:szCs w:val="20"/>
          <w:color w:val="auto"/>
        </w:rPr>
      </w:pPr>
    </w:p>
    <w:p>
      <w:pPr>
        <w:ind w:right="360" w:firstLine="991"/>
        <w:spacing w:after="0" w:line="26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Organizational Documents</w:t>
      </w:r>
      <w:r>
        <w:rPr>
          <w:rFonts w:ascii="Arial" w:cs="Arial" w:eastAsia="Arial" w:hAnsi="Arial"/>
          <w:sz w:val="18"/>
          <w:szCs w:val="18"/>
          <w:color w:val="auto"/>
        </w:rPr>
        <w:t>. Parent has made available to the Company accurate and complete copies of the Organizational Documents or Parent and each of its Subsidiaries in effect as of the date of this Agreement. Neither Parent nor any of its Subsidiaries is in breach or violation of its respective Organizational Documents.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40" w:name="page241"/>
    <w:bookmarkEnd w:id="24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Arial" w:cs="Arial" w:eastAsia="Arial" w:hAnsi="Arial"/>
          <w:sz w:val="18"/>
          <w:szCs w:val="18"/>
          <w:b w:val="1"/>
          <w:bCs w:val="1"/>
          <w:u w:val="single" w:color="auto"/>
          <w:color w:val="auto"/>
        </w:rPr>
        <w:t>Authority; Binding Nature of Agreement</w:t>
      </w:r>
      <w:r>
        <w:rPr>
          <w:rFonts w:ascii="Arial" w:cs="Arial" w:eastAsia="Arial" w:hAnsi="Arial"/>
          <w:sz w:val="18"/>
          <w:szCs w:val="18"/>
          <w:color w:val="auto"/>
        </w:rPr>
        <w:t>.</w:t>
      </w:r>
    </w:p>
    <w:p>
      <w:pPr>
        <w:spacing w:after="0" w:line="229" w:lineRule="exact"/>
        <w:rPr>
          <w:sz w:val="20"/>
          <w:szCs w:val="20"/>
          <w:color w:val="auto"/>
        </w:rPr>
      </w:pPr>
    </w:p>
    <w:p>
      <w:pPr>
        <w:ind w:firstLine="1428"/>
        <w:spacing w:after="0" w:line="285" w:lineRule="auto"/>
        <w:tabs>
          <w:tab w:leader="none" w:pos="167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Parent and each of its Subsidiaries (including the Merger Subs) have all necessary corporate power and authority to enter into and to perform its obligations under this Agreement and, subject, with respect to Parent, to receipt of the Required Parent Stockholder Vote and, with respect to Merger Subs, the adoption of this Agreement by Parent in its capacity as sole stockholder of Merger Subs, to perform its obligations hereunder and to consummate the Contemplated Transactions. The Parent Board (at meetings duly called and held) has: (i) determined that the Contemplated Transactions are fair to, advisable and in the best interests of Parent and its stockholders; (ii) authorized, approved and declared advisable this Agreement and the Contemplated Transactions, including the issuance of Parent Common Stock Payment Shares and Parent Preferred Stock Payment Shares to the stockholders of the Company pursuant to the terms of this Agreement and the treatment of the Company Options pursuant to this Agreement; and (iii) determined to recommend, upon the terms and subject to the conditions set forth in this Agreement, that the stockholders of Parent vote to approve the Parent Stockholder Matters. The First Merger Sub Board (by unanimous written consent) has: (A) determined that the Contemplated Transactions are fair to, advisable, and in the best interests of First Merger Sub and its sole stockholder; (B) authorized, approved and declared advisable this Agreement and the Contemplated Transactions; and (C) determined to recommend, upon the terms and subject to the conditions set forth in this Agreement, that the stockholder of First Merger Sub vote to adopt this Agreement and thereby approve the Contemplated Transactions. The Second Merger Sub Board (by unanimous written consent) has: (A) determined that the Contemplated Transactions are fair to, advisable, and in the best interests of Second Merger Sub and its sole member; (B) authorized, approved and declared advisable this Agreement and the Contemplated Transactions; and (C) determined to recommend, upon the terms and subject to the conditions set forth in this Agreement, that the member of Second Merger Sub vote to adopt this Agreement and thereby approve the Contemplated Transactions.</w:t>
      </w:r>
    </w:p>
    <w:p>
      <w:pPr>
        <w:spacing w:after="0" w:line="176" w:lineRule="exact"/>
        <w:rPr>
          <w:rFonts w:ascii="Arial" w:cs="Arial" w:eastAsia="Arial" w:hAnsi="Arial"/>
          <w:sz w:val="16"/>
          <w:szCs w:val="16"/>
          <w:color w:val="auto"/>
        </w:rPr>
      </w:pPr>
    </w:p>
    <w:p>
      <w:pPr>
        <w:jc w:val="both"/>
        <w:ind w:right="400" w:firstLine="1428"/>
        <w:spacing w:after="0" w:line="263" w:lineRule="auto"/>
        <w:tabs>
          <w:tab w:leader="none" w:pos="16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Parent and each Merger Sub and, assuming the due authorization, execution and delivery by the Company, constitutes the legal, valid and binding obligation of Parent and Merger Subs, enforceable against each of Parent and Merger Subs in accordance with its terms, subject to the Enforceability Exceptions.</w:t>
      </w:r>
    </w:p>
    <w:p>
      <w:pPr>
        <w:spacing w:after="0" w:line="180" w:lineRule="exact"/>
        <w:rPr>
          <w:sz w:val="20"/>
          <w:szCs w:val="20"/>
          <w:color w:val="auto"/>
        </w:rPr>
      </w:pPr>
    </w:p>
    <w:p>
      <w:pPr>
        <w:ind w:right="100" w:firstLine="991"/>
        <w:spacing w:after="0" w:line="25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Vote Required</w:t>
      </w:r>
      <w:r>
        <w:rPr>
          <w:rFonts w:ascii="Arial" w:cs="Arial" w:eastAsia="Arial" w:hAnsi="Arial"/>
          <w:sz w:val="18"/>
          <w:szCs w:val="18"/>
          <w:color w:val="auto"/>
        </w:rPr>
        <w:t xml:space="preserve">. The approval of holders of Parent Common Stock is not required in order to approve this Agreement or, except with respect to Parent Stockholder Matters, the transactions contemplated hereby. The affirmative vote of a majority of the votes cast at the Parent Stockholders’ Meeting by the holders of Parent Common Stock (other than the Parent Common Stock Payment Shares to be issued at Closing pursuant to this Agreement) are the only vote of the holders of any class or series of Parent’s capital stock necessary to approve the proposal described in </w:t>
      </w:r>
      <w:r>
        <w:rPr>
          <w:rFonts w:ascii="Arial" w:cs="Arial" w:eastAsia="Arial" w:hAnsi="Arial"/>
          <w:sz w:val="18"/>
          <w:szCs w:val="18"/>
          <w:u w:val="single" w:color="auto"/>
          <w:color w:val="auto"/>
        </w:rPr>
        <w:t>Section 4.2(a)(i)</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Required Parent Stockholder Vote</w:t>
      </w:r>
      <w:r>
        <w:rPr>
          <w:rFonts w:ascii="Arial" w:cs="Arial" w:eastAsia="Arial" w:hAnsi="Arial"/>
          <w:sz w:val="18"/>
          <w:szCs w:val="18"/>
          <w:color w:val="auto"/>
        </w:rPr>
        <w:t>”).</w:t>
      </w:r>
    </w:p>
    <w:p>
      <w:pPr>
        <w:spacing w:after="0" w:line="183" w:lineRule="exact"/>
        <w:rPr>
          <w:sz w:val="20"/>
          <w:szCs w:val="20"/>
          <w:color w:val="auto"/>
        </w:rPr>
      </w:pPr>
    </w:p>
    <w:p>
      <w:pPr>
        <w:ind w:right="40" w:firstLine="991"/>
        <w:spacing w:after="0" w:line="31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u w:val="single" w:color="auto"/>
          <w:color w:val="auto"/>
        </w:rPr>
        <w:t>Non-Contravention; Consents</w:t>
      </w:r>
      <w:r>
        <w:rPr>
          <w:rFonts w:ascii="Arial" w:cs="Arial" w:eastAsia="Arial" w:hAnsi="Arial"/>
          <w:sz w:val="16"/>
          <w:szCs w:val="16"/>
          <w:color w:val="auto"/>
        </w:rPr>
        <w:t>. Subject to obtaining the Required Parent Stockholder Vote, the filing of the Certificates of Merger required by the DGCL and the filing of the Certificate of Designation, neither (x) the execution, delivery or performance of this Agreement by Parent or Merger Subs, nor (y) the consummation of the Contemplated Transactions, will directly or indirectly (with or without notice or lapse of time):</w:t>
      </w:r>
    </w:p>
    <w:p>
      <w:pPr>
        <w:spacing w:after="0" w:line="3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 contravene, conflict with or result in a violation of any of the provisions of the Organizational Documents of Parent or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w:t>
      </w:r>
    </w:p>
    <w:p>
      <w:pPr>
        <w:spacing w:after="0" w:line="211" w:lineRule="exact"/>
        <w:rPr>
          <w:sz w:val="20"/>
          <w:szCs w:val="20"/>
          <w:color w:val="auto"/>
        </w:rPr>
      </w:pPr>
    </w:p>
    <w:p>
      <w:pPr>
        <w:ind w:right="160" w:firstLine="1428"/>
        <w:spacing w:after="0" w:line="259" w:lineRule="auto"/>
        <w:tabs>
          <w:tab w:leader="none" w:pos="168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give any Governmental Body or other Person the right to challenge the Contemplated Transactions or to exercise any remedy or obtain any relief under, any Law or any order, writ, injunction, judgment or decree to which Parent or its Subsidiaries, or any of the assets owned or used by Parent or its Subsidiaries, is subject, except as would not reasonably be expected to be material to Parent or its business;</w:t>
      </w:r>
    </w:p>
    <w:p>
      <w:pPr>
        <w:spacing w:after="0" w:line="186" w:lineRule="exact"/>
        <w:rPr>
          <w:rFonts w:ascii="Arial" w:cs="Arial" w:eastAsia="Arial" w:hAnsi="Arial"/>
          <w:sz w:val="18"/>
          <w:szCs w:val="18"/>
          <w:color w:val="auto"/>
        </w:rPr>
      </w:pPr>
    </w:p>
    <w:p>
      <w:pPr>
        <w:ind w:right="40" w:firstLine="1428"/>
        <w:spacing w:after="0" w:line="263" w:lineRule="auto"/>
        <w:tabs>
          <w:tab w:leader="none" w:pos="167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terms or requirements of, or give any Governmental Body the right to revoke, withdraw, suspend, cancel, terminate or modify, any Governmental Authorization that is held by Parent, except as would not reasonably be expected to be material to Parent or its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241" w:name="page242"/>
    <w:bookmarkEnd w:id="241"/>
    <w:p>
      <w:pPr>
        <w:ind w:left="4" w:firstLine="1428"/>
        <w:spacing w:after="0" w:line="257" w:lineRule="auto"/>
        <w:tabs>
          <w:tab w:leader="none" w:pos="1691"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contravene, conflict with or result in a violation or breach of, or result in a default under, any provision of any Parent Material Contract, or give any Person the right to: (i) declare a default or exercise any remedy under any Parent Material Contract; (ii) any material payment, rebate, chargeback, penalty or change in delivery schedule under any Parent Material Contract; (iii) accelerate the maturity or performance of any Parent Material Contract; or (iv) cancel, terminate or modify any term of any Parent Material Contract, except in the case of any non-material breach, default, penalty or modification; or</w:t>
      </w:r>
    </w:p>
    <w:p>
      <w:pPr>
        <w:spacing w:after="0" w:line="187" w:lineRule="exact"/>
        <w:rPr>
          <w:rFonts w:ascii="Arial" w:cs="Arial" w:eastAsia="Arial" w:hAnsi="Arial"/>
          <w:sz w:val="18"/>
          <w:szCs w:val="18"/>
          <w:color w:val="auto"/>
        </w:rPr>
      </w:pPr>
    </w:p>
    <w:p>
      <w:pPr>
        <w:ind w:left="4" w:right="240" w:firstLine="1428"/>
        <w:spacing w:after="0" w:line="277" w:lineRule="auto"/>
        <w:tabs>
          <w:tab w:leader="none" w:pos="168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Parent (except for Permitted Encumbrances).</w:t>
      </w:r>
    </w:p>
    <w:p>
      <w:pPr>
        <w:spacing w:after="0" w:line="170"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 xml:space="preserve">Except for (i) any Consent set forth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Parent Disclosure Schedule under any Parent Contract, (ii) the Required Parent Stockholder Vote, (iii) the filing of the Certificates of Merger with the Secretary of State of the State of Delaware pursuant to the DGCL, (iv) the filing of the Certificate of Designation with the Secretary of State of the State of Delaware pursuant to the DGCL and (v)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Person in connection with</w:t>
      </w:r>
    </w:p>
    <w:p>
      <w:pPr>
        <w:spacing w:after="0" w:line="2" w:lineRule="exact"/>
        <w:rPr>
          <w:sz w:val="20"/>
          <w:szCs w:val="20"/>
          <w:color w:val="auto"/>
        </w:rPr>
      </w:pPr>
    </w:p>
    <w:p>
      <w:pPr>
        <w:ind w:left="4" w:hanging="4"/>
        <w:spacing w:after="0" w:line="292" w:lineRule="auto"/>
        <w:tabs>
          <w:tab w:leader="none" w:pos="29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execution, delivery or performance of this Agreement, or (B) the consummation of the Contemplated Transactions. The Parent Board and the First Merger Sub Board and the Second Merger Sub Board have taken and will take all actions necessary to ensure that the restrictions applicable to business combinations contained in Section 203 of the DGCL (or analogous provisions) are, and will be, inapplicable to the execution, delivery and performance of this Agreement, the Lock-Up Agreements and to the consummation of the Contemplated Transactions. No other state takeover statute or similar Law applies or purports to apply to the Merger, this Agreement or any of the other Contemplated Transactions.</w:t>
      </w:r>
    </w:p>
    <w:p>
      <w:pPr>
        <w:spacing w:after="0" w:line="1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w:t>
      </w:r>
    </w:p>
    <w:p>
      <w:pPr>
        <w:spacing w:after="0" w:line="229" w:lineRule="exact"/>
        <w:rPr>
          <w:sz w:val="20"/>
          <w:szCs w:val="20"/>
          <w:color w:val="auto"/>
        </w:rPr>
      </w:pPr>
    </w:p>
    <w:p>
      <w:pPr>
        <w:ind w:left="4" w:right="60" w:firstLine="1428"/>
        <w:spacing w:after="0" w:line="279" w:lineRule="auto"/>
        <w:tabs>
          <w:tab w:leader="none" w:pos="168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authorized capital stock of Parent as of the date of this Agreement consists of 500,000,000 shares of Parent Common Stock, par value $0.0001 per share, of which 65,395,159 shares have been issued and are outstanding as of the close of business on the Reference Date and 10,000,000 shares of preferred stock of Parent, par value $0.0001 per share, of which no shares have been issued and are outstanding as of the date of this Agreement. Parent does not hold any shares of its capital stock in its treasury.</w:t>
      </w:r>
    </w:p>
    <w:p>
      <w:pPr>
        <w:spacing w:after="0" w:line="171" w:lineRule="exact"/>
        <w:rPr>
          <w:rFonts w:ascii="Arial" w:cs="Arial" w:eastAsia="Arial" w:hAnsi="Arial"/>
          <w:sz w:val="17"/>
          <w:szCs w:val="17"/>
          <w:color w:val="auto"/>
        </w:rPr>
      </w:pPr>
    </w:p>
    <w:p>
      <w:pPr>
        <w:ind w:left="4" w:right="20" w:firstLine="1428"/>
        <w:spacing w:after="0" w:line="288" w:lineRule="auto"/>
        <w:tabs>
          <w:tab w:leader="none" w:pos="169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All of the outstanding shares of Parent Common Stock have been duly authorized and validly issued, and are fully paid and nonassessable. None of the outstanding shares of Parent Common Stock are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it bound by any Contract pursuant to which it may become obligated, to repurchase, redeem or otherwise acquire any outstanding shares of Parent Common Stock or other securities.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of the Parent Disclosure Schedule accurately and completely lists all repurchase rights held by Parent with respect to shares of Parent Common Stock (including shares issued pursuant to the exercise of stock options) and specifies which of those repurchase rights are currently exercisable and whether the holder of such shares of Parent Common Stock timely filed an election with the relevant Governmental Bodies under Section 83(b) of the Code with respect to such shares.</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242" w:name="page243"/>
    <w:bookmarkEnd w:id="242"/>
    <w:p>
      <w:pPr>
        <w:ind w:right="40" w:firstLine="1428"/>
        <w:spacing w:after="0" w:line="282" w:lineRule="auto"/>
        <w:tabs>
          <w:tab w:leader="none" w:pos="1677"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for the Parent Stock Plans, and except as set forth in Section 3.6(c) of the Parent Disclosure Schedule, Parent does not have any stock option plan or any other plan, program, agreement or arrangement providing for any equity-based compensation for any Person. As of the close of business on the Reference Date, (i) Parent has reserved 15,700,776 shares of Parent Common Stock for issuance under the Parent Stock Plans, of which Parent RSUs and Parent Options to purchase a total of 10,162,453 shares, in the aggregate, have been issued and are currently outstanding of, which no shares are subject to Parent’s right of repurchase, of which (1) 10,160,786 shares have been reserved for issuance upon exercise of Parent Options previously granted and currently outstanding under the Parent Stock Plans, (2) 1,667 shares have been reserved for issuance upon the settlement of Parent RSUs granted under the Parent Stock Plans that are outstanding as of the close of business on the Reference Date, and (3) 5,538,323 shares remain available for future issuance pursuant to the Parent Stock Plans; and (ii) 2,323,888 shares have been reserved and available for purchase under the Parent ESPP, of which 498,554 shares have been issued under the Parent ESPP and 1,825,334 shares remain available for future purchase under the Parent ESPP. Section 3.6(c) of the Parent Disclosure Schedule sets forth the following information with respect to each Parent Option and Parent RSU outstanding as of the Reference Date: (i) the name of the holder; (ii) the number of shares of Parent Common Stock subject to such Parent Option or Parent RSU at the time of grant; (iii) the number of shares of Parent Common Stock subject to such Parent Option or Parent RSU as of the close of business on the Reference Date; (iv) the exercise price of such Parent Option; (v) the date on which such Parent Option or Parent RSU was granted; (vi) the applicable vesting schedule, including the number of vested and unvested shares as of the close of business on the Reference Date and any acceleration provisions; (vii) the date on which such Parent Option or Parent RSU expires; (viii) whether such Parent Option is intended to constitute an “incentive stock option” (as defined in the Code) or a non-qualified stock option and (ix) whether such Parent Option is “early exercisable”. Parent has made available to the Company accurate and complete copies of the Parent Stock Plans and the form of the stock option agreements and restricted stock unit agreements evidencing outstanding Parent Options and Parent RSUs granted thereunder. No vesting of Parent Options or Parent RSUs will be accelerated in connection with the closing of the Contemplated Transactions other than as set forth on such</w:t>
      </w:r>
    </w:p>
    <w:p>
      <w:pPr>
        <w:spacing w:after="0" w:line="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3.6(c) of the Parent Disclosure Schedule.</w:t>
      </w:r>
    </w:p>
    <w:p>
      <w:pPr>
        <w:spacing w:after="0" w:line="210" w:lineRule="exact"/>
        <w:rPr>
          <w:rFonts w:ascii="Arial" w:cs="Arial" w:eastAsia="Arial" w:hAnsi="Arial"/>
          <w:sz w:val="16"/>
          <w:szCs w:val="16"/>
          <w:color w:val="auto"/>
        </w:rPr>
      </w:pPr>
    </w:p>
    <w:p>
      <w:pPr>
        <w:ind w:firstLine="1428"/>
        <w:spacing w:after="0" w:line="269" w:lineRule="auto"/>
        <w:tabs>
          <w:tab w:leader="none" w:pos="168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Except for the Parent Options and the Parent RSUs granted pursuant to the Parent Stock Plans, and as otherwise set forth in </w:t>
      </w:r>
      <w:r>
        <w:rPr>
          <w:rFonts w:ascii="Arial" w:cs="Arial" w:eastAsia="Arial" w:hAnsi="Arial"/>
          <w:sz w:val="17"/>
          <w:szCs w:val="17"/>
          <w:u w:val="single" w:color="auto"/>
          <w:color w:val="auto"/>
        </w:rPr>
        <w:t>Section 3.6(d)</w:t>
      </w:r>
      <w:r>
        <w:rPr>
          <w:rFonts w:ascii="Arial" w:cs="Arial" w:eastAsia="Arial" w:hAnsi="Arial"/>
          <w:sz w:val="17"/>
          <w:szCs w:val="17"/>
          <w:color w:val="auto"/>
        </w:rPr>
        <w:t xml:space="preserve"> of the Parent Disclosure Schedule,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could be reasonably likely to give rise to or provide a basis for the assertion of a claim by any Person to the effect that such Person is entitled to acquire or receive any shares of capital stock or other securities of Parent or any of its Subsidiaries (it being understood that Parent intends to issue prior to (but contingent upon) the Closing restricted stock units to certain employees of the Company identified in the Company Disclosure Schedule). There are no outstanding or authorized stock appreciation, phantom stock, profit participation or other similar rights with respect to Parent or any of its Subsidiaries. In addition, there are no stockholder rights plans (or similar plan commonly referred to as a “poison pill”) or bonds, debentures, notes or other indebtedness of Parent having the right to vote (or convertible into, or exchangeable for, securities having the right to vote) on any matters on which stockholders of Parent may vote.</w:t>
      </w:r>
    </w:p>
    <w:p>
      <w:pPr>
        <w:spacing w:after="0" w:line="181" w:lineRule="exact"/>
        <w:rPr>
          <w:rFonts w:ascii="Arial" w:cs="Arial" w:eastAsia="Arial" w:hAnsi="Arial"/>
          <w:sz w:val="17"/>
          <w:szCs w:val="17"/>
          <w:color w:val="auto"/>
        </w:rPr>
      </w:pPr>
    </w:p>
    <w:p>
      <w:pPr>
        <w:ind w:right="180" w:firstLine="1428"/>
        <w:spacing w:after="0" w:line="263" w:lineRule="auto"/>
        <w:tabs>
          <w:tab w:leader="none" w:pos="167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outstanding shares of Parent Common Stock, Parent Options, Parent RSUs and other securities of Parent have been issued and granted in material compliance with (i) the Organizational Documents of Parent in effect as of the relevant time and all applicable securities Laws and other applicable Law, and (ii) all requirements set forth in applicable Contracts.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243" w:name="page244"/>
    <w:bookmarkEnd w:id="243"/>
    <w:p>
      <w:pPr>
        <w:ind w:left="-20" w:right="220" w:firstLine="1428"/>
        <w:spacing w:after="0" w:line="263" w:lineRule="auto"/>
        <w:tabs>
          <w:tab w:leader="none" w:pos="1637"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distributions, dividends, repurchases and redemptions of Parent Common Stock or other equity interests of Parent were undertaken in material compliance with (i) the Organizational Documents of Parent in effect as of the relevant time and all applicable securities Laws and other applicable Laws, and (ii) all requirements set forth in applicable Contracts.</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u w:val="single" w:color="auto"/>
          <w:color w:val="auto"/>
        </w:rPr>
        <w:t>SEC Filings; Financial Statements</w:t>
      </w:r>
      <w:r>
        <w:rPr>
          <w:rFonts w:ascii="Arial" w:cs="Arial" w:eastAsia="Arial" w:hAnsi="Arial"/>
          <w:sz w:val="18"/>
          <w:szCs w:val="18"/>
          <w:color w:val="auto"/>
        </w:rPr>
        <w:t>.</w:t>
      </w:r>
    </w:p>
    <w:p>
      <w:pPr>
        <w:spacing w:after="0" w:line="229" w:lineRule="exact"/>
        <w:rPr>
          <w:sz w:val="20"/>
          <w:szCs w:val="20"/>
          <w:color w:val="auto"/>
        </w:rPr>
      </w:pPr>
    </w:p>
    <w:p>
      <w:pPr>
        <w:ind w:left="-20" w:firstLine="1428"/>
        <w:spacing w:after="0" w:line="284" w:lineRule="auto"/>
        <w:tabs>
          <w:tab w:leader="none" w:pos="165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Parent has delivered or made available to the Company accurate and complete copies of all registration statements, proxy statements, Certifications (as defined below) and other statements, reports, schedules, forms and other documents filed by Parent with the SEC since December 31, 2020 (the “</w:t>
      </w:r>
      <w:r>
        <w:rPr>
          <w:rFonts w:ascii="Arial" w:cs="Arial" w:eastAsia="Arial" w:hAnsi="Arial"/>
          <w:sz w:val="16"/>
          <w:szCs w:val="16"/>
          <w:b w:val="1"/>
          <w:bCs w:val="1"/>
          <w:i w:val="1"/>
          <w:iCs w:val="1"/>
          <w:color w:val="auto"/>
        </w:rPr>
        <w:t>Parent SEC Documents</w:t>
      </w:r>
      <w:r>
        <w:rPr>
          <w:rFonts w:ascii="Arial" w:cs="Arial" w:eastAsia="Arial" w:hAnsi="Arial"/>
          <w:sz w:val="16"/>
          <w:szCs w:val="16"/>
          <w:color w:val="auto"/>
        </w:rPr>
        <w:t xml:space="preserve">”), other than such documents that can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Since December 31, 2020, all material statements, reports, 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or if amended or superseded by a filing prior to the date of this Agreement, on the date of the last such amendment or superseding filing prior to the date of this Agreement, none of the Parent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Arial" w:cs="Arial" w:eastAsia="Arial" w:hAnsi="Arial"/>
          <w:sz w:val="16"/>
          <w:szCs w:val="16"/>
          <w:b w:val="1"/>
          <w:bCs w:val="1"/>
          <w:i w:val="1"/>
          <w:iCs w:val="1"/>
          <w:color w:val="auto"/>
        </w:rPr>
        <w:t>Certifications</w:t>
      </w:r>
      <w:r>
        <w:rPr>
          <w:rFonts w:ascii="Arial" w:cs="Arial" w:eastAsia="Arial" w:hAnsi="Arial"/>
          <w:sz w:val="16"/>
          <w:szCs w:val="16"/>
          <w:color w:val="auto"/>
        </w:rPr>
        <w:t xml:space="preserve">”) are accurate and complete and comply as to form and content with all applicable Laws, and no current or former executive officer of Parent has failed to make the Certifications required of him or her. Parent has made available to the Company true and complete copies of all correspondence, other than transmittal correspondence or general communications by the SEC not specifically addressed to Parent, between the SEC, on the one hand, and Parent, on the other, since December 31, 2020, including all SEC comment letters and responses to such comment letters and responses to such comment letters by or on behalf of Parent except for such comment letters and responses to such comment letters that are publicly accessible through EDGAR. As of the date of this Agreement, there are no outstanding unresolved comments in comment letters received from the SEC or Nasdaq with respect to Parent SEC Documents. To the Knowledge of Parent, none of the Parent SEC Documents is the subject of ongoing SEC review and there are no inquiries or investigations by the SEC or any internal investigations pending or threatened, including with regards to any accounting practices of Parent. As used in this </w:t>
      </w:r>
      <w:r>
        <w:rPr>
          <w:rFonts w:ascii="Arial" w:cs="Arial" w:eastAsia="Arial" w:hAnsi="Arial"/>
          <w:sz w:val="16"/>
          <w:szCs w:val="16"/>
          <w:u w:val="single" w:color="auto"/>
          <w:color w:val="auto"/>
        </w:rPr>
        <w:t>Section 3.7</w:t>
      </w:r>
      <w:r>
        <w:rPr>
          <w:rFonts w:ascii="Arial" w:cs="Arial" w:eastAsia="Arial" w:hAnsi="Arial"/>
          <w:sz w:val="16"/>
          <w:szCs w:val="16"/>
          <w:color w:val="auto"/>
        </w:rPr>
        <w:t>, the term “file” and variations thereof shall be broadly construed to include any manner in which a document or information is filed, furnished, supplied or otherwise made available to the SEC.</w:t>
      </w:r>
    </w:p>
    <w:p>
      <w:pPr>
        <w:spacing w:after="0" w:line="179" w:lineRule="exact"/>
        <w:rPr>
          <w:rFonts w:ascii="Arial" w:cs="Arial" w:eastAsia="Arial" w:hAnsi="Arial"/>
          <w:sz w:val="16"/>
          <w:szCs w:val="16"/>
          <w:color w:val="auto"/>
        </w:rPr>
      </w:pPr>
    </w:p>
    <w:p>
      <w:pPr>
        <w:ind w:left="-20" w:firstLine="1428"/>
        <w:spacing w:after="0" w:line="270" w:lineRule="auto"/>
        <w:tabs>
          <w:tab w:leader="none" w:pos="166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Form 10-Q of the SEC,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60" w:top="274" w:right="479" w:bottom="1440" w:gutter="0" w:footer="0" w:header="0"/>
        </w:sectPr>
      </w:pPr>
    </w:p>
    <w:bookmarkStart w:id="244" w:name="page245"/>
    <w:bookmarkEnd w:id="244"/>
    <w:p>
      <w:pPr>
        <w:ind w:left="-20" w:right="80" w:firstLine="1428"/>
        <w:spacing w:after="0" w:line="257" w:lineRule="auto"/>
        <w:tabs>
          <w:tab w:leader="none" w:pos="1657"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Parent’s independent registered public accounting firm has at all times since the date of enactment of the Sarbanes-Oxley Act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87" w:lineRule="exact"/>
        <w:rPr>
          <w:rFonts w:ascii="Arial" w:cs="Arial" w:eastAsia="Arial" w:hAnsi="Arial"/>
          <w:sz w:val="18"/>
          <w:szCs w:val="18"/>
          <w:color w:val="auto"/>
        </w:rPr>
      </w:pPr>
    </w:p>
    <w:p>
      <w:pPr>
        <w:ind w:left="-20" w:firstLine="1428"/>
        <w:spacing w:after="0" w:line="290" w:lineRule="auto"/>
        <w:tabs>
          <w:tab w:leader="none" w:pos="166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Since December 31, 2020, through the date of this Agreement, Parent has not received any comment letter from the SEC or the staff thereof or any correspondence from officials of Nasdaq or the staff thereof relating to the delisting or maintenance of listing of the Parent Common Stock on Nasdaq. As of the date of this Agreement, Parent has timely responded to all comment letters of the staff of the SEC relating to the Parent SEC Documents, and the SEC has not advised Parent that any final responses are inadequate, insufficient or otherwise non-responsive. Parent has made available to the Company true, correct and complete copies or all comment letters, written inquiries and enforcement correspondences between the SEC, on the one hand, and Parent, on the other hand, occurring since December 31, 2020 and will, reasonably promptly following the receipt thereof, make available to the Company any such correspondence sent or received after the date of this Agreement. To the Knowledge of Parent, as of the date of this Agreement, none of the Parent SEC Documents is the subject of an ongoing SEC report or outstanding SEC comment.</w:t>
      </w:r>
    </w:p>
    <w:p>
      <w:pPr>
        <w:spacing w:after="0" w:line="165" w:lineRule="exact"/>
        <w:rPr>
          <w:rFonts w:ascii="Arial" w:cs="Arial" w:eastAsia="Arial" w:hAnsi="Arial"/>
          <w:sz w:val="16"/>
          <w:szCs w:val="16"/>
          <w:color w:val="auto"/>
        </w:rPr>
      </w:pPr>
    </w:p>
    <w:p>
      <w:pPr>
        <w:ind w:left="-20" w:right="120" w:firstLine="1428"/>
        <w:spacing w:after="0" w:line="259" w:lineRule="auto"/>
        <w:tabs>
          <w:tab w:leader="none" w:pos="165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Since December 31, 2020, there have been no formal investigations regarding financial reporting or accounting policies and practices discussed with, reviewed by or initiated at the direction of the chief executive officer, chief financial officer, principal accounting officer or general counsel of Parent, the Parent Board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color w:val="auto"/>
        </w:rPr>
      </w:pPr>
    </w:p>
    <w:p>
      <w:pPr>
        <w:ind w:left="-20" w:right="140" w:firstLine="1428"/>
        <w:spacing w:after="0" w:line="277" w:lineRule="auto"/>
        <w:tabs>
          <w:tab w:leader="none" w:pos="163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Parent is and since its first date of listing on Nasdaq, has been, in compliance in all material respects with the applicable current listing and governance rules and regulations of Nasdaq.</w:t>
      </w:r>
    </w:p>
    <w:p>
      <w:pPr>
        <w:spacing w:after="0" w:line="170" w:lineRule="exact"/>
        <w:rPr>
          <w:rFonts w:ascii="Arial" w:cs="Arial" w:eastAsia="Arial" w:hAnsi="Arial"/>
          <w:sz w:val="18"/>
          <w:szCs w:val="18"/>
          <w:color w:val="auto"/>
        </w:rPr>
      </w:pPr>
    </w:p>
    <w:p>
      <w:pPr>
        <w:ind w:left="-20" w:right="60" w:firstLine="1428"/>
        <w:spacing w:after="0" w:line="287" w:lineRule="auto"/>
        <w:tabs>
          <w:tab w:leader="none" w:pos="166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Parent maintains, and at all times since December 31, 2020,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(iii) regarding prevention or timely detection of the unauthorized acquisition, use or disposition of Parent’s assets that could have a material effect on Parent’s financial statements and (iv) that Parent maintains records in reasonable detail which accurately and fairly reflect the transactions and dispositions of the assets of Parent and any of its Subsidiaries. Parent has evaluated the effectiveness of Parent’s internal control over financial reporting as of December 31, 2020,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has described in </w:t>
      </w:r>
      <w:r>
        <w:rPr>
          <w:rFonts w:ascii="Arial" w:cs="Arial" w:eastAsia="Arial" w:hAnsi="Arial"/>
          <w:sz w:val="16"/>
          <w:szCs w:val="16"/>
          <w:u w:val="single" w:color="auto"/>
          <w:color w:val="auto"/>
        </w:rPr>
        <w:t>Section 3.7(g)</w:t>
      </w:r>
      <w:r>
        <w:rPr>
          <w:rFonts w:ascii="Arial" w:cs="Arial" w:eastAsia="Arial" w:hAnsi="Arial"/>
          <w:sz w:val="16"/>
          <w:szCs w:val="16"/>
          <w:color w:val="auto"/>
        </w:rPr>
        <w:t xml:space="preserve"> of the Parent Disclosure Schedule) (A) all material weaknesses and all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60" w:top="274" w:right="479" w:bottom="1440" w:gutter="0" w:footer="0" w:header="0"/>
        </w:sectPr>
      </w:pPr>
    </w:p>
    <w:bookmarkStart w:id="245" w:name="page246"/>
    <w:bookmarkEnd w:id="245"/>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significant deficiencies, if any, in the design or operation of internal control over financial reporting that are reasonably likely to adversely affect Parent’s ability to record, process, summarize and report financial information and (B) any fraud, whether or not material, that involves Parent, any of its Subsidiaries, Parent’s management or other employees who have a role in the preparation of financial statements or the internal accounting controls utilized by the Parent and its Subsidiaries or (C) any claim or allegation regarding any of the foregoing. Parent has not identified, based on its most recent evaluation of internal control over financial reporting, any significant deficiencies or material weaknesses in the design or operation of Parent’s internal control over financial reporting.</w:t>
      </w:r>
    </w:p>
    <w:p>
      <w:pPr>
        <w:spacing w:after="0" w:line="192" w:lineRule="exact"/>
        <w:rPr>
          <w:sz w:val="20"/>
          <w:szCs w:val="20"/>
          <w:color w:val="auto"/>
        </w:rPr>
      </w:pPr>
    </w:p>
    <w:p>
      <w:pPr>
        <w:ind w:left="4" w:right="140" w:firstLine="1428"/>
        <w:spacing w:after="0" w:line="301" w:lineRule="auto"/>
        <w:tabs>
          <w:tab w:leader="none" w:pos="169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w:t>
      </w:r>
    </w:p>
    <w:p>
      <w:pPr>
        <w:spacing w:after="0" w:line="157" w:lineRule="exact"/>
        <w:rPr>
          <w:rFonts w:ascii="Arial" w:cs="Arial" w:eastAsia="Arial" w:hAnsi="Arial"/>
          <w:sz w:val="16"/>
          <w:szCs w:val="16"/>
          <w:color w:val="auto"/>
        </w:rPr>
      </w:pPr>
    </w:p>
    <w:p>
      <w:pPr>
        <w:ind w:left="4" w:right="220" w:firstLine="1428"/>
        <w:spacing w:after="0" w:line="257" w:lineRule="auto"/>
        <w:tabs>
          <w:tab w:leader="none" w:pos="165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Section 3.7(i)</w:t>
      </w:r>
      <w:r>
        <w:rPr>
          <w:rFonts w:ascii="Arial" w:cs="Arial" w:eastAsia="Arial" w:hAnsi="Arial"/>
          <w:sz w:val="18"/>
          <w:szCs w:val="18"/>
          <w:color w:val="auto"/>
        </w:rPr>
        <w:t xml:space="preserve"> to the Parent Disclosure Schedule sets forth an accurate statement of Parent’s cash and cash equivalents as of the close of business on the Business Day preceding the date of this Agreement, and there has been no material change in the amount thereof from such statement through the date of this Agreement. The cash forecast set forth in </w:t>
      </w:r>
      <w:r>
        <w:rPr>
          <w:rFonts w:ascii="Arial" w:cs="Arial" w:eastAsia="Arial" w:hAnsi="Arial"/>
          <w:sz w:val="18"/>
          <w:szCs w:val="18"/>
          <w:u w:val="single" w:color="auto"/>
          <w:color w:val="auto"/>
        </w:rPr>
        <w:t>Section 3.7(i)</w:t>
      </w:r>
      <w:r>
        <w:rPr>
          <w:rFonts w:ascii="Arial" w:cs="Arial" w:eastAsia="Arial" w:hAnsi="Arial"/>
          <w:sz w:val="18"/>
          <w:szCs w:val="18"/>
          <w:color w:val="auto"/>
        </w:rPr>
        <w:t xml:space="preserve"> to the Parent Disclosure Schedule: (i) has been prepared by Parent in good faith, (ii) is based on assumptions that Parent considers to be reasonable, and (iii) fairly reflects Parent’s reasonably anticipated rate of cash usage for the periods covered therein.</w:t>
      </w:r>
    </w:p>
    <w:p>
      <w:pPr>
        <w:spacing w:after="0" w:line="187" w:lineRule="exact"/>
        <w:rPr>
          <w:rFonts w:ascii="Arial" w:cs="Arial" w:eastAsia="Arial" w:hAnsi="Arial"/>
          <w:sz w:val="18"/>
          <w:szCs w:val="18"/>
          <w:color w:val="auto"/>
        </w:rPr>
      </w:pPr>
    </w:p>
    <w:p>
      <w:pPr>
        <w:ind w:left="1644" w:hanging="212"/>
        <w:spacing w:after="0"/>
        <w:tabs>
          <w:tab w:leader="none" w:pos="164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Parent has not been and is not currently a “shell company” as defined under Section 12b-2 of the Exchange Act.</w:t>
      </w:r>
    </w:p>
    <w:p>
      <w:pPr>
        <w:spacing w:after="0" w:line="221" w:lineRule="exact"/>
        <w:rPr>
          <w:sz w:val="20"/>
          <w:szCs w:val="20"/>
          <w:color w:val="auto"/>
        </w:rPr>
      </w:pPr>
    </w:p>
    <w:p>
      <w:pPr>
        <w:ind w:left="4" w:right="140" w:firstLine="991"/>
        <w:spacing w:after="0" w:line="289"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u w:val="single" w:color="auto"/>
          <w:color w:val="auto"/>
        </w:rPr>
        <w:t>Absence of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of the Parent Disclosure Schedule, after the date of the Parent Balance Sheet, Parent and its Subsidiaries have conducted its business only in the Ordinary Course of Business (except for the execution and performance of this Agreement and the discussions, negotiations and transactions related thereto) and there has not been any (a) Parent Material Adverse Effect and</w:t>
      </w:r>
    </w:p>
    <w:p>
      <w:pPr>
        <w:spacing w:after="0" w:line="2" w:lineRule="exact"/>
        <w:rPr>
          <w:sz w:val="20"/>
          <w:szCs w:val="20"/>
          <w:color w:val="auto"/>
        </w:rPr>
      </w:pPr>
    </w:p>
    <w:p>
      <w:pPr>
        <w:ind w:left="264" w:hanging="264"/>
        <w:spacing w:after="0"/>
        <w:tabs>
          <w:tab w:leader="none" w:pos="2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neither Parent nor any of its Subsidiaries has done any of the following:</w:t>
      </w:r>
    </w:p>
    <w:p>
      <w:pPr>
        <w:spacing w:after="0" w:line="102" w:lineRule="exact"/>
        <w:rPr>
          <w:rFonts w:ascii="Arial" w:cs="Arial" w:eastAsia="Arial" w:hAnsi="Arial"/>
          <w:sz w:val="18"/>
          <w:szCs w:val="18"/>
          <w:color w:val="auto"/>
        </w:rPr>
      </w:pPr>
    </w:p>
    <w:p>
      <w:pPr>
        <w:ind w:left="4" w:right="120" w:firstLine="1428"/>
        <w:spacing w:after="0" w:line="311" w:lineRule="auto"/>
        <w:tabs>
          <w:tab w:leader="none" w:pos="168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declared, accrued, set aside or paid any dividend or made any other distribution in respect of any shares of its capital stock or repurchased, redeemed or otherwise reacquired any shares of its capital stock or other securities (except in connection with the payment of the exercise price and/or withholding Taxes incurred upon the exercise, settlement or vesting of any award granted under the Parent Stock Plans);</w:t>
      </w:r>
    </w:p>
    <w:p>
      <w:pPr>
        <w:spacing w:after="0" w:line="148" w:lineRule="exact"/>
        <w:rPr>
          <w:rFonts w:ascii="Arial" w:cs="Arial" w:eastAsia="Arial" w:hAnsi="Arial"/>
          <w:sz w:val="16"/>
          <w:szCs w:val="16"/>
          <w:color w:val="auto"/>
        </w:rPr>
      </w:pPr>
    </w:p>
    <w:p>
      <w:pPr>
        <w:jc w:val="both"/>
        <w:ind w:left="4" w:firstLine="1428"/>
        <w:spacing w:after="0" w:line="279" w:lineRule="auto"/>
        <w:tabs>
          <w:tab w:leader="none" w:pos="1691" w:val="left"/>
        </w:tabs>
        <w:numPr>
          <w:ilvl w:val="1"/>
          <w:numId w:val="138"/>
        </w:numPr>
        <w:rPr>
          <w:rFonts w:ascii="Arial" w:cs="Arial" w:eastAsia="Arial" w:hAnsi="Arial"/>
          <w:sz w:val="17"/>
          <w:szCs w:val="17"/>
          <w:color w:val="auto"/>
        </w:rPr>
      </w:pPr>
      <w:r>
        <w:rPr>
          <w:rFonts w:ascii="Arial" w:cs="Arial" w:eastAsia="Arial" w:hAnsi="Arial"/>
          <w:sz w:val="17"/>
          <w:szCs w:val="17"/>
          <w:color w:val="auto"/>
        </w:rPr>
        <w:t>sold, issued, granted, pledged or otherwise disposed of or encumbered or authorized any of the foregoing with respect to: (A) any capital stock or other security of Parent (except for Parent Common Stock issued upon the valid exercise of outstanding Parent Options); (B) any option, warrant or right to acquire any capital stock or any other security, other than option grants to employees in the Ordinary Course of Business; or (C) any instrument convertible into or exchangeable for any capital stock or other security of Parent;</w:t>
      </w:r>
    </w:p>
    <w:p>
      <w:pPr>
        <w:spacing w:after="0" w:line="171" w:lineRule="exact"/>
        <w:rPr>
          <w:rFonts w:ascii="Arial" w:cs="Arial" w:eastAsia="Arial" w:hAnsi="Arial"/>
          <w:sz w:val="17"/>
          <w:szCs w:val="17"/>
          <w:color w:val="auto"/>
        </w:rPr>
      </w:pPr>
    </w:p>
    <w:p>
      <w:pPr>
        <w:ind w:left="4" w:right="180" w:firstLine="1428"/>
        <w:spacing w:after="0" w:line="286" w:lineRule="auto"/>
        <w:tabs>
          <w:tab w:leader="none" w:pos="1681" w:val="left"/>
        </w:tabs>
        <w:numPr>
          <w:ilvl w:val="1"/>
          <w:numId w:val="138"/>
        </w:numPr>
        <w:rPr>
          <w:rFonts w:ascii="Arial" w:cs="Arial" w:eastAsia="Arial" w:hAnsi="Arial"/>
          <w:sz w:val="17"/>
          <w:szCs w:val="17"/>
          <w:color w:val="auto"/>
        </w:rPr>
      </w:pPr>
      <w:r>
        <w:rPr>
          <w:rFonts w:ascii="Arial" w:cs="Arial" w:eastAsia="Arial" w:hAnsi="Arial"/>
          <w:sz w:val="17"/>
          <w:szCs w:val="17"/>
          <w:color w:val="auto"/>
        </w:rPr>
        <w:t>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246" w:name="page247"/>
    <w:bookmarkEnd w:id="246"/>
    <w:p>
      <w:pPr>
        <w:ind w:left="14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formed any Subsidiary or acquired any equity interest or other interest in any other Entity or entered into a joint venture with any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Entity;</w:t>
      </w:r>
    </w:p>
    <w:p>
      <w:pPr>
        <w:spacing w:after="0" w:line="211" w:lineRule="exact"/>
        <w:rPr>
          <w:sz w:val="20"/>
          <w:szCs w:val="20"/>
          <w:color w:val="auto"/>
        </w:rPr>
      </w:pPr>
    </w:p>
    <w:p>
      <w:pPr>
        <w:ind w:left="4" w:right="60" w:firstLine="1428"/>
        <w:spacing w:after="0" w:line="342" w:lineRule="auto"/>
        <w:tabs>
          <w:tab w:leader="none" w:pos="1681"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 lent money to any Person (except for the advance of reasonable business expenses to employees, directors and consultants in the Ordinary Course of Business), (B) incurred or guaranteed any indebtedness for borrowed money, or (C) guaranteed any debt securities of others;</w:t>
      </w:r>
    </w:p>
    <w:p>
      <w:pPr>
        <w:spacing w:after="0" w:line="123" w:lineRule="exact"/>
        <w:rPr>
          <w:rFonts w:ascii="Arial" w:cs="Arial" w:eastAsia="Arial" w:hAnsi="Arial"/>
          <w:sz w:val="16"/>
          <w:szCs w:val="16"/>
          <w:color w:val="auto"/>
        </w:rPr>
      </w:pPr>
    </w:p>
    <w:p>
      <w:pPr>
        <w:ind w:left="4" w:right="200" w:firstLine="1428"/>
        <w:spacing w:after="0" w:line="291" w:lineRule="auto"/>
        <w:tabs>
          <w:tab w:leader="none" w:pos="1661" w:val="left"/>
        </w:tabs>
        <w:numPr>
          <w:ilvl w:val="1"/>
          <w:numId w:val="139"/>
        </w:numPr>
        <w:rPr>
          <w:rFonts w:ascii="Arial" w:cs="Arial" w:eastAsia="Arial" w:hAnsi="Arial"/>
          <w:sz w:val="16"/>
          <w:szCs w:val="16"/>
          <w:color w:val="auto"/>
        </w:rPr>
      </w:pPr>
      <w:r>
        <w:rPr>
          <w:rFonts w:ascii="Arial" w:cs="Arial" w:eastAsia="Arial" w:hAnsi="Arial"/>
          <w:sz w:val="16"/>
          <w:szCs w:val="16"/>
          <w:color w:val="auto"/>
        </w:rPr>
        <w:t>other than as required by applicable Law or the terms of any Parent Benefit Plan as in effect on the date of this Agreement: (A) adopted, terminated, established or entered into any Parent Benefit Plan; (B) caused any Parent Benefit Plan to be amended in any material respect;</w:t>
      </w:r>
    </w:p>
    <w:p>
      <w:pPr>
        <w:ind w:left="4" w:right="120" w:hanging="4"/>
        <w:spacing w:after="0" w:line="281" w:lineRule="auto"/>
        <w:tabs>
          <w:tab w:leader="none" w:pos="28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paid any material bonus or distributed any profit-sharing account balances or similar payment to, or, other than in the Ordinary Course of Business, increased the amount of the wages, salary, commissions, benefits or other compensation or remuneration payable to, any of its directors, officers or employees; (D) increased the severance or change-of-control benefits offered to any current, former or new employees, directors or consultants or</w:t>
      </w:r>
    </w:p>
    <w:p>
      <w:pPr>
        <w:spacing w:after="0" w:line="1" w:lineRule="exact"/>
        <w:rPr>
          <w:rFonts w:ascii="Arial" w:cs="Arial" w:eastAsia="Arial" w:hAnsi="Arial"/>
          <w:sz w:val="16"/>
          <w:szCs w:val="16"/>
          <w:color w:val="auto"/>
        </w:rPr>
      </w:pPr>
    </w:p>
    <w:p>
      <w:pPr>
        <w:ind w:left="4" w:right="60" w:hanging="4"/>
        <w:spacing w:after="0" w:line="260" w:lineRule="auto"/>
        <w:tabs>
          <w:tab w:leader="none" w:pos="27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hired, terminated or gave notice of termination (other than for cause) to any (x) officer or (y) employee whose annual base salary is or is expected to be more than $125,000 per year;</w:t>
      </w:r>
    </w:p>
    <w:p>
      <w:pPr>
        <w:spacing w:after="0" w:line="185" w:lineRule="exact"/>
        <w:rPr>
          <w:rFonts w:ascii="Arial" w:cs="Arial" w:eastAsia="Arial" w:hAnsi="Arial"/>
          <w:sz w:val="18"/>
          <w:szCs w:val="18"/>
          <w:color w:val="auto"/>
        </w:rPr>
      </w:pPr>
    </w:p>
    <w:p>
      <w:pPr>
        <w:ind w:left="1684" w:hanging="252"/>
        <w:spacing w:after="0"/>
        <w:tabs>
          <w:tab w:leader="none" w:pos="1684"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entered into any collective bargaining agreement or similar agreement with any labor union, or similar labor organization;</w:t>
      </w:r>
    </w:p>
    <w:p>
      <w:pPr>
        <w:spacing w:after="0" w:line="236" w:lineRule="exact"/>
        <w:rPr>
          <w:rFonts w:ascii="Arial" w:cs="Arial" w:eastAsia="Arial" w:hAnsi="Arial"/>
          <w:sz w:val="17"/>
          <w:szCs w:val="17"/>
          <w:color w:val="auto"/>
        </w:rPr>
      </w:pPr>
    </w:p>
    <w:p>
      <w:pPr>
        <w:ind w:left="4" w:right="920" w:firstLine="1428"/>
        <w:spacing w:after="0" w:line="277" w:lineRule="auto"/>
        <w:tabs>
          <w:tab w:leader="none" w:pos="169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entered into any material transaction other than (A) in the Ordinary Course of Business or (B) in connection with the Contemplated Transactions;</w:t>
      </w:r>
    </w:p>
    <w:p>
      <w:pPr>
        <w:spacing w:after="0" w:line="170" w:lineRule="exact"/>
        <w:rPr>
          <w:rFonts w:ascii="Arial" w:cs="Arial" w:eastAsia="Arial" w:hAnsi="Arial"/>
          <w:sz w:val="18"/>
          <w:szCs w:val="18"/>
          <w:color w:val="auto"/>
        </w:rPr>
      </w:pPr>
    </w:p>
    <w:p>
      <w:pPr>
        <w:ind w:left="4" w:right="380" w:firstLine="1428"/>
        <w:spacing w:after="0" w:line="277" w:lineRule="auto"/>
        <w:tabs>
          <w:tab w:leader="none" w:pos="1651"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acquired any material asset or sold, leased or otherwise irrevocably disposed of any of its assets or properties, or granted any Encumbrance with respect to such assets or properties, except in the Ordinary Course of Business;</w:t>
      </w:r>
    </w:p>
    <w:p>
      <w:pPr>
        <w:spacing w:after="0" w:line="170" w:lineRule="exact"/>
        <w:rPr>
          <w:rFonts w:ascii="Arial" w:cs="Arial" w:eastAsia="Arial" w:hAnsi="Arial"/>
          <w:sz w:val="18"/>
          <w:szCs w:val="18"/>
          <w:color w:val="auto"/>
        </w:rPr>
      </w:pPr>
    </w:p>
    <w:p>
      <w:pPr>
        <w:ind w:left="1644" w:hanging="212"/>
        <w:spacing w:after="0"/>
        <w:tabs>
          <w:tab w:leader="none" w:pos="1644" w:val="left"/>
        </w:tabs>
        <w:numPr>
          <w:ilvl w:val="1"/>
          <w:numId w:val="141"/>
        </w:numPr>
        <w:rPr>
          <w:rFonts w:ascii="Arial" w:cs="Arial" w:eastAsia="Arial" w:hAnsi="Arial"/>
          <w:sz w:val="17"/>
          <w:szCs w:val="17"/>
          <w:color w:val="auto"/>
        </w:rPr>
      </w:pPr>
      <w:r>
        <w:rPr>
          <w:rFonts w:ascii="Arial" w:cs="Arial" w:eastAsia="Arial" w:hAnsi="Arial"/>
          <w:sz w:val="17"/>
          <w:szCs w:val="17"/>
          <w:color w:val="auto"/>
        </w:rPr>
        <w:t>sold, assigned, transferred, licensed, sublicensed or otherwise disposed of any material Parent IP (other than pursuant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non-exclusive licenses in the Ordinary Course of Business);</w:t>
      </w:r>
    </w:p>
    <w:p>
      <w:pPr>
        <w:spacing w:after="0" w:line="211" w:lineRule="exact"/>
        <w:rPr>
          <w:sz w:val="20"/>
          <w:szCs w:val="20"/>
          <w:color w:val="auto"/>
        </w:rPr>
      </w:pPr>
    </w:p>
    <w:p>
      <w:pPr>
        <w:ind w:left="4" w:firstLine="1428"/>
        <w:spacing w:after="0" w:line="291" w:lineRule="auto"/>
        <w:tabs>
          <w:tab w:leader="none" w:pos="169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made, changed or revoked any material Tax election, failed to pay any income or other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accounting method in respect of Taxes;</w:t>
      </w:r>
    </w:p>
    <w:p>
      <w:pPr>
        <w:spacing w:after="0" w:line="166" w:lineRule="exact"/>
        <w:rPr>
          <w:rFonts w:ascii="Arial" w:cs="Arial" w:eastAsia="Arial" w:hAnsi="Arial"/>
          <w:sz w:val="16"/>
          <w:szCs w:val="16"/>
          <w:color w:val="auto"/>
        </w:rPr>
      </w:pPr>
    </w:p>
    <w:p>
      <w:pPr>
        <w:ind w:left="4" w:right="20" w:firstLine="1428"/>
        <w:spacing w:after="0" w:line="277" w:lineRule="auto"/>
        <w:tabs>
          <w:tab w:leader="none" w:pos="165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made any expenditures, incurred any Liabilities or discharged or satisfied any Liabilities, in each case, in amounts that exceed the aggregate amount of $300,000;</w:t>
      </w:r>
    </w:p>
    <w:p>
      <w:pPr>
        <w:spacing w:after="0" w:line="170" w:lineRule="exact"/>
        <w:rPr>
          <w:rFonts w:ascii="Arial" w:cs="Arial" w:eastAsia="Arial" w:hAnsi="Arial"/>
          <w:sz w:val="18"/>
          <w:szCs w:val="18"/>
          <w:color w:val="auto"/>
        </w:rPr>
      </w:pPr>
    </w:p>
    <w:p>
      <w:pPr>
        <w:ind w:left="1744" w:hanging="312"/>
        <w:spacing w:after="0"/>
        <w:tabs>
          <w:tab w:leader="none" w:pos="17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than as required by Law or GAAP, taken any action to change accounting policies or procedures;</w:t>
      </w:r>
    </w:p>
    <w:p>
      <w:pPr>
        <w:spacing w:after="0" w:line="225" w:lineRule="exact"/>
        <w:rPr>
          <w:rFonts w:ascii="Arial" w:cs="Arial" w:eastAsia="Arial" w:hAnsi="Arial"/>
          <w:sz w:val="18"/>
          <w:szCs w:val="18"/>
          <w:color w:val="auto"/>
        </w:rPr>
      </w:pPr>
    </w:p>
    <w:p>
      <w:pPr>
        <w:ind w:left="1684" w:hanging="252"/>
        <w:spacing w:after="0"/>
        <w:tabs>
          <w:tab w:leader="none" w:pos="168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initiated or settled any Legal Proceeding; or</w:t>
      </w:r>
    </w:p>
    <w:p>
      <w:pPr>
        <w:spacing w:after="0" w:line="225" w:lineRule="exact"/>
        <w:rPr>
          <w:rFonts w:ascii="Arial" w:cs="Arial" w:eastAsia="Arial" w:hAnsi="Arial"/>
          <w:sz w:val="18"/>
          <w:szCs w:val="18"/>
          <w:color w:val="auto"/>
        </w:rPr>
      </w:pPr>
    </w:p>
    <w:p>
      <w:pPr>
        <w:ind w:left="1684" w:hanging="252"/>
        <w:spacing w:after="0"/>
        <w:tabs>
          <w:tab w:leader="none" w:pos="168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agreed, resolved or committed to do any of the foregoing.</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247" w:name="page248"/>
    <w:bookmarkEnd w:id="247"/>
    <w:p>
      <w:pPr>
        <w:ind w:left="4" w:right="1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3.9 </w:t>
      </w:r>
      <w:r>
        <w:rPr>
          <w:rFonts w:ascii="Arial" w:cs="Arial" w:eastAsia="Arial" w:hAnsi="Arial"/>
          <w:sz w:val="16"/>
          <w:szCs w:val="16"/>
          <w:b w:val="1"/>
          <w:bCs w:val="1"/>
          <w:u w:val="single" w:color="auto"/>
          <w:color w:val="auto"/>
        </w:rPr>
        <w:t>Absence of Undisclosed Liabilities</w:t>
      </w:r>
      <w:r>
        <w:rPr>
          <w:rFonts w:ascii="Arial" w:cs="Arial" w:eastAsia="Arial" w:hAnsi="Arial"/>
          <w:sz w:val="16"/>
          <w:szCs w:val="16"/>
          <w:color w:val="auto"/>
        </w:rPr>
        <w:t>. As of the date hereof, neither Parent nor any of its Subsidiaries has any Liability, individually or in the aggregate, of a type required to be recorded or reflected on a balance sheet or disclosed in the footnotes thereto under GAAP except for: (a) Liabilities disclosed, reflected or reserved against in the Parent Balance Sheet; (b) Liabilities that have been incurred by Parent or its Subsidiaries since the date of the Parent Balance Sheet in the Ordinary Course of Business; (c) Liabilities for performance of obligations of Parent or any of its Subsidiaries under Parent Contracts in the Ordinary Course of Business; (d) Liabilities incurred in connection with the Contemplated Transactions;</w:t>
      </w:r>
    </w:p>
    <w:p>
      <w:pPr>
        <w:spacing w:after="0" w:line="2" w:lineRule="exact"/>
        <w:rPr>
          <w:sz w:val="20"/>
          <w:szCs w:val="20"/>
          <w:color w:val="auto"/>
        </w:rPr>
      </w:pPr>
    </w:p>
    <w:p>
      <w:pPr>
        <w:ind w:left="4" w:right="400" w:hanging="4"/>
        <w:spacing w:after="0" w:line="260" w:lineRule="auto"/>
        <w:tabs>
          <w:tab w:leader="none" w:pos="2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Liabilities which would not, individually or in the aggregate, reasonably be expected to be material to the Parent; and (f) Liabilities described in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of the Parent Disclosure Schedule.</w:t>
      </w:r>
    </w:p>
    <w:p>
      <w:pPr>
        <w:spacing w:after="0" w:line="181"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b w:val="1"/>
          <w:bCs w:val="1"/>
          <w:u w:val="single" w:color="auto"/>
          <w:color w:val="auto"/>
        </w:rPr>
        <w:t>Title to Assets</w:t>
      </w:r>
      <w:r>
        <w:rPr>
          <w:rFonts w:ascii="Arial" w:cs="Arial" w:eastAsia="Arial" w:hAnsi="Arial"/>
          <w:sz w:val="17"/>
          <w:szCs w:val="17"/>
          <w:color w:val="auto"/>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Subsidiaries free and clear of any Encumbrances, other than Permitted Encumbrances.</w:t>
      </w:r>
    </w:p>
    <w:p>
      <w:pPr>
        <w:spacing w:after="0" w:line="168" w:lineRule="exact"/>
        <w:rPr>
          <w:sz w:val="20"/>
          <w:szCs w:val="20"/>
          <w:color w:val="auto"/>
        </w:rPr>
      </w:pPr>
    </w:p>
    <w:p>
      <w:pPr>
        <w:ind w:left="4" w:right="60" w:firstLine="991"/>
        <w:spacing w:after="0" w:line="26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b w:val="1"/>
          <w:bCs w:val="1"/>
          <w:u w:val="single" w:color="auto"/>
          <w:color w:val="auto"/>
        </w:rPr>
        <w:t>Real Property; Leasehold</w:t>
      </w:r>
      <w:r>
        <w:rPr>
          <w:rFonts w:ascii="Arial" w:cs="Arial" w:eastAsia="Arial" w:hAnsi="Arial"/>
          <w:sz w:val="17"/>
          <w:szCs w:val="17"/>
          <w:color w:val="auto"/>
        </w:rPr>
        <w:t>. Neither Parent nor any of its Subsidiaries own or ever have owned any real property. Parent has made available to the Company (a) an accurate and complete list of all real properties with respect to which Parent directly or indirectly holds a valid leasehold interest as well as any other real estate that is in the possession of, or occupied or leased by, Parent or any of its Subsidiaries, and (b) copies of all leases under which any such real property is possessed, occupied or leased (the “</w:t>
      </w:r>
      <w:r>
        <w:rPr>
          <w:rFonts w:ascii="Arial" w:cs="Arial" w:eastAsia="Arial" w:hAnsi="Arial"/>
          <w:sz w:val="17"/>
          <w:szCs w:val="17"/>
          <w:b w:val="1"/>
          <w:bCs w:val="1"/>
          <w:i w:val="1"/>
          <w:iCs w:val="1"/>
          <w:color w:val="auto"/>
        </w:rPr>
        <w:t>Parent Real Estate Leases</w:t>
      </w:r>
      <w:r>
        <w:rPr>
          <w:rFonts w:ascii="Arial" w:cs="Arial" w:eastAsia="Arial" w:hAnsi="Arial"/>
          <w:sz w:val="17"/>
          <w:szCs w:val="17"/>
          <w:color w:val="auto"/>
        </w:rPr>
        <w:t>”), each of which is in full force and effect, with no existing material default thereunder by Parent or any of its Subsidiaries, or to the Knowledge of Parent, any other party thereto. Parent’s possession, occupancy, lease, use and/or operation of each such leased property conforms to all applicable Laws in all material respects, and Parent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Parent has not received any written notice from its landlords or any Governmental Body that: (i) relates to violations of building, zoning, safety or fire ordinances or regulations; (ii) claims any defect or deficiency with respect to any of such properties; or (iii) requests the performance of any repairs, alterations or other work to such properties.</w:t>
      </w:r>
    </w:p>
    <w:p>
      <w:pPr>
        <w:spacing w:after="0" w:line="18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u w:val="single" w:color="auto"/>
          <w:color w:val="auto"/>
        </w:rPr>
        <w:t>Intellectual Property; Privacy</w:t>
      </w:r>
      <w:r>
        <w:rPr>
          <w:rFonts w:ascii="Arial" w:cs="Arial" w:eastAsia="Arial" w:hAnsi="Arial"/>
          <w:sz w:val="18"/>
          <w:szCs w:val="18"/>
          <w:color w:val="auto"/>
        </w:rPr>
        <w:t>.</w:t>
      </w:r>
    </w:p>
    <w:p>
      <w:pPr>
        <w:spacing w:after="0" w:line="229" w:lineRule="exact"/>
        <w:rPr>
          <w:sz w:val="20"/>
          <w:szCs w:val="20"/>
          <w:color w:val="auto"/>
        </w:rPr>
      </w:pPr>
    </w:p>
    <w:p>
      <w:pPr>
        <w:ind w:left="4" w:right="60" w:firstLine="1428"/>
        <w:spacing w:after="0" w:line="291" w:lineRule="auto"/>
        <w:tabs>
          <w:tab w:leader="none" w:pos="1681"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Section 3.12(a) of the Parent Disclosure Schedule identifies each item of material Registered IP owned in whole or in part by the Parent or its Subsidiaries, including, with respect to each application and registration: (i) the name of the applicant/registrant and any other co-owners,</w:t>
      </w:r>
    </w:p>
    <w:p>
      <w:pPr>
        <w:ind w:left="4" w:hanging="4"/>
        <w:spacing w:after="0" w:line="288" w:lineRule="auto"/>
        <w:tabs>
          <w:tab w:leader="none" w:pos="26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jurisdiction of application or registration, and (iii) the application or registration number. To the Knowledge of Parent, each of the U.S. patents included in Section 3.12(a) of the Parent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Parent, threatened in writing, in which the scope, validity, enforceability or ownership of any Parent IP is being or has been contested or challenged. To the Knowledge of Parent, each item of Parent IP is valid and enforceable, and with respect to the Parent’s material Registered IP, subsisting.</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248" w:name="page249"/>
    <w:bookmarkEnd w:id="248"/>
    <w:p>
      <w:pPr>
        <w:ind w:right="960" w:firstLine="1428"/>
        <w:spacing w:after="0" w:line="277" w:lineRule="auto"/>
        <w:tabs>
          <w:tab w:leader="none" w:pos="1687"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actions that must be taken within ninety (90) days of the Closing, the failure of which will result in the abandonment, lapse or cancellation of any of the Registered IP.</w:t>
      </w:r>
    </w:p>
    <w:p>
      <w:pPr>
        <w:spacing w:after="0" w:line="170" w:lineRule="exact"/>
        <w:rPr>
          <w:rFonts w:ascii="Arial" w:cs="Arial" w:eastAsia="Arial" w:hAnsi="Arial"/>
          <w:sz w:val="18"/>
          <w:szCs w:val="18"/>
          <w:color w:val="auto"/>
        </w:rPr>
      </w:pPr>
    </w:p>
    <w:p>
      <w:pPr>
        <w:ind w:right="20" w:firstLine="1428"/>
        <w:spacing w:after="0" w:line="289" w:lineRule="auto"/>
        <w:tabs>
          <w:tab w:leader="none" w:pos="167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Parent Material Adverse Effect, Parent or its Subsidiaries exclusively own, are the sole assignee of, or have exclusively licensed all of material Parent IP, free and clear of all Encumbrances other than Permitted Encumbrances. The Parent IP constitute all Intellectual Property Rights used in, material to or otherwise necessary for the operation of Parent’s and any of its Subsidiaries’ business as currently conducted. Each Parent Associate involved in the creation or development of any material Parent IP, pursuant to such Parent Associate’s activities on behalf of Parent or any of its Subsidiaries, has signed a valid and enforceable written agreement containing an assignment of such Parent Associate’s rights in such Parent IP to Parent or its Subsidiaries. Each Parent Associate who has or has had access to Parent’s or any of its Subsidiaries’ trade secrets or confidential information has signed a valid and enforceable written agreement containing confidentiality provisions protecting the Parent IP, trade secrets and confidential information. Parent has taken commercially reasonable steps to protect and preserve the confidentiality of its trade secrets and confidential information.</w:t>
      </w:r>
    </w:p>
    <w:p>
      <w:pPr>
        <w:spacing w:after="0" w:line="166" w:lineRule="exact"/>
        <w:rPr>
          <w:rFonts w:ascii="Arial" w:cs="Arial" w:eastAsia="Arial" w:hAnsi="Arial"/>
          <w:sz w:val="16"/>
          <w:szCs w:val="16"/>
          <w:color w:val="auto"/>
        </w:rPr>
      </w:pPr>
    </w:p>
    <w:p>
      <w:pPr>
        <w:ind w:right="40" w:firstLine="1428"/>
        <w:spacing w:after="0" w:line="259" w:lineRule="auto"/>
        <w:tabs>
          <w:tab w:leader="none" w:pos="168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the Knowledge of Parent, no funding, facilities or personnel of any Governmental Body or any university, college, research institute or other educational institution has been used to create Parent IP, except for any such funding or use of facilities or personnel that does not result in such Governmental Body or institution obtaining ownership rights or a license to such Parent IP or the right to receive royalties for the practice of such Parent IP.</w:t>
      </w:r>
    </w:p>
    <w:p>
      <w:pPr>
        <w:spacing w:after="0" w:line="186" w:lineRule="exact"/>
        <w:rPr>
          <w:rFonts w:ascii="Arial" w:cs="Arial" w:eastAsia="Arial" w:hAnsi="Arial"/>
          <w:sz w:val="18"/>
          <w:szCs w:val="18"/>
          <w:color w:val="auto"/>
        </w:rPr>
      </w:pPr>
    </w:p>
    <w:p>
      <w:pPr>
        <w:ind w:right="80" w:firstLine="1428"/>
        <w:spacing w:after="0" w:line="287" w:lineRule="auto"/>
        <w:tabs>
          <w:tab w:leader="none" w:pos="167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Section 3.12(d) of Parent Disclosure Schedule sets forth each license agreement pursuant to which Parent (i) is granted a license under any material Intellectual Property Right owned by any third party that is used by Parent or its Subsidiaries in its business as currently conducted (each a “</w:t>
      </w:r>
      <w:r>
        <w:rPr>
          <w:rFonts w:ascii="Arial" w:cs="Arial" w:eastAsia="Arial" w:hAnsi="Arial"/>
          <w:sz w:val="16"/>
          <w:szCs w:val="16"/>
          <w:b w:val="1"/>
          <w:bCs w:val="1"/>
          <w:i w:val="1"/>
          <w:iCs w:val="1"/>
          <w:color w:val="auto"/>
        </w:rPr>
        <w:t>Parent In-bound License</w:t>
      </w:r>
      <w:r>
        <w:rPr>
          <w:rFonts w:ascii="Arial" w:cs="Arial" w:eastAsia="Arial" w:hAnsi="Arial"/>
          <w:sz w:val="16"/>
          <w:szCs w:val="16"/>
          <w:color w:val="auto"/>
        </w:rPr>
        <w:t>”) or (ii) grants to any third party a license under any material Parent IP (each a “</w:t>
      </w:r>
      <w:r>
        <w:rPr>
          <w:rFonts w:ascii="Arial" w:cs="Arial" w:eastAsia="Arial" w:hAnsi="Arial"/>
          <w:sz w:val="16"/>
          <w:szCs w:val="16"/>
          <w:b w:val="1"/>
          <w:bCs w:val="1"/>
          <w:i w:val="1"/>
          <w:iCs w:val="1"/>
          <w:color w:val="auto"/>
        </w:rPr>
        <w:t>Parent Out-bound License</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i w:val="1"/>
          <w:iCs w:val="1"/>
          <w:color w:val="auto"/>
        </w:rPr>
        <w:t>provided</w:t>
      </w:r>
      <w:r>
        <w:rPr>
          <w:rFonts w:ascii="Arial" w:cs="Arial" w:eastAsia="Arial" w:hAnsi="Arial"/>
          <w:sz w:val="17"/>
          <w:szCs w:val="17"/>
          <w:color w:val="auto"/>
        </w:rPr>
        <w:t>, that, Parent In-bound Licenses shall not include, when entered into in the Ordinary Course of Business, material transfer agreements, services agreements, clinical trial agreements, agreements with Parent Associates, non-disclosure agreements, commercially available Software-as-a-Service offerings, or off-the-shelf software licenses; and Parent Out-bound Licenses shall not include, when entered into in the Ordinary Course of Business, material transfer agreements, clinical trial agreements, services agreements, non-disclosure agreements, or non-exclusive outbound licenses). All Parent In-bound Licenses and Parent Out-bound Licenses are in full force and effect and are valid, enforceable and binding obligations of Parent and, to the Knowledge of Parent, each other party to such Parent In-bound Licenses or Parent Out-bound Licenses. Neither Parent, nor, to the Knowledge of Parent, any other party to such Parent In-bound Licenses or Parent Out-bound Licenses, is in material breach under any Parent In-bound Licenses or Parent Out-bound Licenses. Except as set forth in Section 3.12(d) of the Parent Disclosure Schedule, none of the terms or conditions of any Parent In-Bound License or any Parent Out-bound License requires Parent or any of its Subsidiaries or any of their Affiliates to maintain, develop or prosecute any Intellectual Property Rights.</w:t>
      </w:r>
    </w:p>
    <w:p>
      <w:pPr>
        <w:spacing w:after="0" w:line="178" w:lineRule="exact"/>
        <w:rPr>
          <w:rFonts w:ascii="Arial" w:cs="Arial" w:eastAsia="Arial" w:hAnsi="Arial"/>
          <w:sz w:val="16"/>
          <w:szCs w:val="16"/>
          <w:color w:val="auto"/>
        </w:rPr>
      </w:pPr>
    </w:p>
    <w:p>
      <w:pPr>
        <w:ind w:firstLine="1428"/>
        <w:spacing w:after="0" w:line="271" w:lineRule="auto"/>
        <w:tabs>
          <w:tab w:leader="none" w:pos="165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the Knowledge of Parent: (i) the operation of the business of Parent and its Subsidiaries as currently conducted does not infringe, misappropriate or otherwise violate any Intellectual Property Rights of any other Person and (ii) no other Person is infringing, misappropriating or otherwise violating any Parent IP. No Legal Proceeding is pending (or, to the Knowledge of Parent, is threatened in writing) (A) against Parent or its Subsidiaries alleging that the operation of the business of Parent or its Subsidiaries infringes or constitutes the misappropriation or other violation of any Intellectual Property Rights of another Person or (B) by Parent or its Subsidiaries alleging that another Person has infringed, misappropriated or otherwise violated any of the Parent IP. Since May 18, 2020, neither Parent nor its Subsidiaries have received any written notice or other written communication alleging that the operation of the business of Parent or its Subsidiaries infringes or constitutes the misappropriation or other violation of any Intellectual Property Right of another Person.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249" w:name="page250"/>
    <w:bookmarkEnd w:id="249"/>
    <w:p>
      <w:pPr>
        <w:ind w:right="40" w:firstLine="1428"/>
        <w:spacing w:after="0" w:line="259" w:lineRule="auto"/>
        <w:tabs>
          <w:tab w:leader="none" w:pos="1687"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Parent IP or, to the Knowledge of Parent, any material Intellectual Property Rights exclusively licensed by Parent or its Subsidiaries, is subject to any pending or outstanding injunction, directive, order, judgment or other disposition of dispute, that adversely and materially restricts the use, transfer, registration or licensing by Parent or its Subsidiaries of any such Parent IP or material Intellectual Property Rights exclusively licensed to Parent or its Subsidiaries.</w:t>
      </w:r>
    </w:p>
    <w:p>
      <w:pPr>
        <w:spacing w:after="0" w:line="186" w:lineRule="exact"/>
        <w:rPr>
          <w:rFonts w:ascii="Arial" w:cs="Arial" w:eastAsia="Arial" w:hAnsi="Arial"/>
          <w:sz w:val="18"/>
          <w:szCs w:val="18"/>
          <w:color w:val="auto"/>
        </w:rPr>
      </w:pPr>
    </w:p>
    <w:p>
      <w:pPr>
        <w:ind w:firstLine="1428"/>
        <w:spacing w:after="0" w:line="269" w:lineRule="auto"/>
        <w:tabs>
          <w:tab w:leader="none" w:pos="168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the Knowledge of Parent, Parent and the operation of Parent’s and its Subsidiaries’ business are, and have at all times been, in material compliance with all Privacy and Data Processing Requirements. To the knowledge of Parent, Parent and its Subsidiaries have at all applicable times provided all notices, and obtained and maintained all rights, consents, and authorizations, to Process Parent Data as Processed by or for Parent or its Subsidiaries. Since Parent’s inception, there have been (i) no loss or theft of, or security breach relating to. Parent Data, (ii) no violation of any security policy of Parent or its Subsidiaries regarding any such Parent Data, and (iii) no unauthorized access to, or unauthorized, unintended, or improper use, disclosure, or other Processing of, any Parent Data. Parent and its Subsidiaries have taken commercially reasonable steps and implemented reasonable disaster recovery and security plans and procedures to protect the information technology systems used in, material to or necessary for operation of Parent’s or its Subsidiaries business as currently conducted and Parent Data from unauthorized use, access, or other Processing. To the Knowledge of Parent, there have been no (i) material malfunctions or unauthorized intrusions or breaches of the information technology systems used in, material to or necessary for the operation of Parent’s or its Subsidiaries’ business or (ii) material unauthorized access to, or other processing of, Parent Data.</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u w:val="single" w:color="auto"/>
          <w:color w:val="auto"/>
        </w:rPr>
        <w:t>Agreements, Contracts and Commitments</w:t>
      </w:r>
      <w:r>
        <w:rPr>
          <w:rFonts w:ascii="Arial" w:cs="Arial" w:eastAsia="Arial" w:hAnsi="Arial"/>
          <w:sz w:val="18"/>
          <w:szCs w:val="18"/>
          <w:color w:val="auto"/>
        </w:rPr>
        <w:t>.</w:t>
      </w:r>
    </w:p>
    <w:p>
      <w:pPr>
        <w:spacing w:after="0" w:line="229" w:lineRule="exact"/>
        <w:rPr>
          <w:sz w:val="20"/>
          <w:szCs w:val="20"/>
          <w:color w:val="auto"/>
        </w:rPr>
      </w:pPr>
    </w:p>
    <w:p>
      <w:pPr>
        <w:ind w:right="360" w:firstLine="1428"/>
        <w:spacing w:after="0" w:line="308" w:lineRule="auto"/>
        <w:tabs>
          <w:tab w:leader="none" w:pos="167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Section 3.13 of the Parent Disclosure Schedule lists the following Parent Contracts in effect as of the date of this Agreement other than any Parent Benefit Plans (each, a “</w:t>
      </w:r>
      <w:r>
        <w:rPr>
          <w:rFonts w:ascii="Arial" w:cs="Arial" w:eastAsia="Arial" w:hAnsi="Arial"/>
          <w:sz w:val="17"/>
          <w:szCs w:val="17"/>
          <w:b w:val="1"/>
          <w:bCs w:val="1"/>
          <w:i w:val="1"/>
          <w:iCs w:val="1"/>
          <w:color w:val="auto"/>
        </w:rPr>
        <w:t>Parent Material Contract</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Parent Material Contracts</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2200" w:hanging="221"/>
        <w:spacing w:after="0"/>
        <w:tabs>
          <w:tab w:leader="none" w:pos="22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material Contract as defined in Item 601(b)(10) of Regulation S-K as promulgated under the Securities Act;</w:t>
      </w:r>
    </w:p>
    <w:p>
      <w:pPr>
        <w:spacing w:after="0" w:line="225" w:lineRule="exact"/>
        <w:rPr>
          <w:rFonts w:ascii="Arial" w:cs="Arial" w:eastAsia="Arial" w:hAnsi="Arial"/>
          <w:sz w:val="18"/>
          <w:szCs w:val="18"/>
          <w:color w:val="auto"/>
        </w:rPr>
      </w:pPr>
    </w:p>
    <w:p>
      <w:pPr>
        <w:ind w:left="2240" w:hanging="261"/>
        <w:spacing w:after="0"/>
        <w:tabs>
          <w:tab w:leader="none" w:pos="224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each Parent Contract relating to any agreement of indemnification or guaranty not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right="100" w:firstLine="1979"/>
        <w:spacing w:after="0" w:line="255" w:lineRule="auto"/>
        <w:tabs>
          <w:tab w:leader="none" w:pos="229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each Parent Contract containing (A) any covenant limiting in any material respect the freedom of Parent or its Subsidiaries to engage in any line of business or compete with any Person, (B) any most-favored nation or other preferred pricing arrangement in favor of a Person other than Parent or any similar term by which any Person is or could become entitled to any benefit, right or privilege that must be at least as favorable to such Person as those offered to any other Person, (C) any exclusivity provision, option to receive a license, right of first refusal or right of first negotiation or similar covenant in favor of a Person other than Parent, or (D) any non-solicitation provision not entered into in the Ordinary Course of Business;</w:t>
      </w:r>
    </w:p>
    <w:p>
      <w:pPr>
        <w:spacing w:after="0" w:line="192" w:lineRule="exact"/>
        <w:rPr>
          <w:rFonts w:ascii="Arial" w:cs="Arial" w:eastAsia="Arial" w:hAnsi="Arial"/>
          <w:sz w:val="18"/>
          <w:szCs w:val="18"/>
          <w:color w:val="auto"/>
        </w:rPr>
      </w:pPr>
    </w:p>
    <w:p>
      <w:pPr>
        <w:ind w:right="160" w:firstLine="1979"/>
        <w:spacing w:after="0" w:line="277" w:lineRule="auto"/>
        <w:tabs>
          <w:tab w:leader="none" w:pos="22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each Parent Contract relating to capital expenditures and requiring payments after the date of this Agreement in excess of $100,000 pursuant to its express terms and not cancelable without penalty;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250" w:name="page251"/>
    <w:bookmarkEnd w:id="250"/>
    <w:p>
      <w:pPr>
        <w:ind w:left="2180" w:hanging="261"/>
        <w:spacing w:after="0"/>
        <w:tabs>
          <w:tab w:leader="none" w:pos="21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Parent Contract relating to the disposition or acquisition of material assets or any ownership interest in any Entity;</w:t>
      </w:r>
    </w:p>
    <w:p>
      <w:pPr>
        <w:spacing w:after="0" w:line="248" w:lineRule="exact"/>
        <w:rPr>
          <w:rFonts w:ascii="Arial" w:cs="Arial" w:eastAsia="Arial" w:hAnsi="Arial"/>
          <w:sz w:val="16"/>
          <w:szCs w:val="16"/>
          <w:color w:val="auto"/>
        </w:rPr>
      </w:pPr>
    </w:p>
    <w:p>
      <w:pPr>
        <w:jc w:val="both"/>
        <w:ind w:left="-60" w:right="220" w:firstLine="1979"/>
        <w:spacing w:after="0" w:line="286" w:lineRule="auto"/>
        <w:tabs>
          <w:tab w:leader="none" w:pos="222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each Parent Contract relating to any mortgages, indentures, loans, notes or credit agreements, security agreements or other agreements or instruments relating to the borrowing of money or extension of credit or creating any material Encumbrances with respect to any assets of Parent or its Subsidiaries or any loans or debt obligations with officers or directors of Parent;</w:t>
      </w:r>
    </w:p>
    <w:p>
      <w:pPr>
        <w:spacing w:after="0" w:line="165" w:lineRule="exact"/>
        <w:rPr>
          <w:rFonts w:ascii="Arial" w:cs="Arial" w:eastAsia="Arial" w:hAnsi="Arial"/>
          <w:sz w:val="17"/>
          <w:szCs w:val="17"/>
          <w:color w:val="auto"/>
        </w:rPr>
      </w:pPr>
    </w:p>
    <w:p>
      <w:pPr>
        <w:ind w:left="-60" w:right="40" w:firstLine="1979"/>
        <w:spacing w:after="0" w:line="271" w:lineRule="auto"/>
        <w:tabs>
          <w:tab w:leader="none" w:pos="227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each Parent Contract requiring payment by or to Parent after the date of this Agreement in excess of $100,000 in the aggregate in the current calendar year or any future calendar year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has continuing obligations to develop or market any product, technology or service, or any agreement pursuant to which Parent has continuing obligations to develop any Intellectual Property Rights that will not be owned, in whole or in part, by Parent; or (D) any Parent Contract with any third party providing any services relating to the manufacture or production of any product, service or technology of Parent or any Parent Contract to sell, distribute or commercialize any products or service of Parent;</w:t>
      </w:r>
    </w:p>
    <w:p>
      <w:pPr>
        <w:spacing w:after="0" w:line="178" w:lineRule="exact"/>
        <w:rPr>
          <w:rFonts w:ascii="Arial" w:cs="Arial" w:eastAsia="Arial" w:hAnsi="Arial"/>
          <w:sz w:val="17"/>
          <w:szCs w:val="17"/>
          <w:color w:val="auto"/>
        </w:rPr>
      </w:pPr>
    </w:p>
    <w:p>
      <w:pPr>
        <w:ind w:left="-60" w:right="240" w:firstLine="1979"/>
        <w:spacing w:after="0" w:line="277" w:lineRule="auto"/>
        <w:tabs>
          <w:tab w:leader="none" w:pos="2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Parent Contract with any financial advisor, broker, finder, investment banker or other similar Person providing financial advisory services to Parent in connection with the Contemplated Transactions;</w:t>
      </w:r>
    </w:p>
    <w:p>
      <w:pPr>
        <w:spacing w:after="0" w:line="170" w:lineRule="exact"/>
        <w:rPr>
          <w:rFonts w:ascii="Arial" w:cs="Arial" w:eastAsia="Arial" w:hAnsi="Arial"/>
          <w:sz w:val="18"/>
          <w:szCs w:val="18"/>
          <w:color w:val="auto"/>
        </w:rPr>
      </w:pPr>
    </w:p>
    <w:p>
      <w:pPr>
        <w:ind w:left="2220" w:hanging="301"/>
        <w:spacing w:after="0"/>
        <w:tabs>
          <w:tab w:leader="none" w:pos="22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Parent Real Estate Lease;</w:t>
      </w:r>
    </w:p>
    <w:p>
      <w:pPr>
        <w:spacing w:after="0" w:line="225" w:lineRule="exact"/>
        <w:rPr>
          <w:rFonts w:ascii="Arial" w:cs="Arial" w:eastAsia="Arial" w:hAnsi="Arial"/>
          <w:sz w:val="18"/>
          <w:szCs w:val="18"/>
          <w:color w:val="auto"/>
        </w:rPr>
      </w:pPr>
    </w:p>
    <w:p>
      <w:pPr>
        <w:ind w:left="2180" w:hanging="261"/>
        <w:spacing w:after="0"/>
        <w:tabs>
          <w:tab w:leader="none" w:pos="2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Parent Contract with any Governmental Body;</w:t>
      </w:r>
    </w:p>
    <w:p>
      <w:pPr>
        <w:spacing w:after="0" w:line="225" w:lineRule="exact"/>
        <w:rPr>
          <w:rFonts w:ascii="Arial" w:cs="Arial" w:eastAsia="Arial" w:hAnsi="Arial"/>
          <w:sz w:val="18"/>
          <w:szCs w:val="18"/>
          <w:color w:val="auto"/>
        </w:rPr>
      </w:pPr>
    </w:p>
    <w:p>
      <w:pPr>
        <w:ind w:left="-60" w:right="20" w:firstLine="1979"/>
        <w:spacing w:after="0" w:line="277" w:lineRule="auto"/>
        <w:tabs>
          <w:tab w:leader="none" w:pos="22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Parent Out-bound License and Parent In-bound License, and each Parent Contract containing a covenant not to sue or otherwise enforce any Intellectual Property Rights;</w:t>
      </w:r>
    </w:p>
    <w:p>
      <w:pPr>
        <w:spacing w:after="0" w:line="170" w:lineRule="exact"/>
        <w:rPr>
          <w:rFonts w:ascii="Arial" w:cs="Arial" w:eastAsia="Arial" w:hAnsi="Arial"/>
          <w:sz w:val="18"/>
          <w:szCs w:val="18"/>
          <w:color w:val="auto"/>
        </w:rPr>
      </w:pPr>
    </w:p>
    <w:p>
      <w:pPr>
        <w:ind w:left="-60" w:right="200" w:firstLine="1979"/>
        <w:spacing w:after="0" w:line="277" w:lineRule="auto"/>
        <w:tabs>
          <w:tab w:leader="none" w:pos="227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Parent Contract requiring the payment of any royalty, dividend or similar arrangement based on the revenues or profits of Parent or its Subsidiaries;</w:t>
      </w:r>
    </w:p>
    <w:p>
      <w:pPr>
        <w:spacing w:after="0" w:line="170" w:lineRule="exact"/>
        <w:rPr>
          <w:rFonts w:ascii="Arial" w:cs="Arial" w:eastAsia="Arial" w:hAnsi="Arial"/>
          <w:sz w:val="18"/>
          <w:szCs w:val="18"/>
          <w:color w:val="auto"/>
        </w:rPr>
      </w:pPr>
    </w:p>
    <w:p>
      <w:pPr>
        <w:ind w:left="-60" w:right="60" w:firstLine="1979"/>
        <w:spacing w:after="0" w:line="257" w:lineRule="auto"/>
        <w:tabs>
          <w:tab w:leader="none" w:pos="2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Parent Contract, offer letter, employment agreement, or independent contractor agreement with any employee, independent contractor or other natural person service provider whose annual compensation equals or exceeds $125,000 that (A) is not immediately terminable by Parent without notice, severance, or other cost or liability, except as required under applicable Law, or (B) provides for retention payments, change-of-control payments, severance, accelerated vesting, or any similar payment or benefit that may or will become due as a result of the Merger;</w:t>
      </w:r>
    </w:p>
    <w:p>
      <w:pPr>
        <w:spacing w:after="0" w:line="187" w:lineRule="exact"/>
        <w:rPr>
          <w:rFonts w:ascii="Arial" w:cs="Arial" w:eastAsia="Arial" w:hAnsi="Arial"/>
          <w:sz w:val="18"/>
          <w:szCs w:val="18"/>
          <w:color w:val="auto"/>
        </w:rPr>
      </w:pPr>
    </w:p>
    <w:p>
      <w:pPr>
        <w:ind w:left="-60" w:firstLine="1979"/>
        <w:spacing w:after="0" w:line="301" w:lineRule="auto"/>
        <w:tabs>
          <w:tab w:leader="none" w:pos="231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other Contract that is not terminable at will (with no penalty or payment or requirement for prior notice, except as required by applicable law) by Parent or its Subsidiaries, as applicable, and (A) which involves payment or receipt by Parent or its Subsidiaries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spacing w:after="0" w:line="157" w:lineRule="exact"/>
        <w:rPr>
          <w:rFonts w:ascii="Arial" w:cs="Arial" w:eastAsia="Arial" w:hAnsi="Arial"/>
          <w:sz w:val="16"/>
          <w:szCs w:val="16"/>
          <w:color w:val="auto"/>
        </w:rPr>
      </w:pPr>
    </w:p>
    <w:p>
      <w:pPr>
        <w:ind w:left="2260" w:hanging="341"/>
        <w:spacing w:after="0"/>
        <w:tabs>
          <w:tab w:leader="none" w:pos="2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Parent Contract entered into in settlement of any Legal Proceeding or other dispute;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0"/>
          </w:cols>
          <w:pgMar w:left="500" w:top="274" w:right="519" w:bottom="1440" w:gutter="0" w:footer="0" w:header="0"/>
        </w:sectPr>
      </w:pPr>
    </w:p>
    <w:bookmarkStart w:id="251" w:name="page252"/>
    <w:bookmarkEnd w:id="251"/>
    <w:p>
      <w:pPr>
        <w:jc w:val="both"/>
        <w:ind w:right="100" w:firstLine="1979"/>
        <w:spacing w:after="0" w:line="263" w:lineRule="auto"/>
        <w:tabs>
          <w:tab w:leader="none" w:pos="2378" w:val="left"/>
        </w:tabs>
        <w:numPr>
          <w:ilvl w:val="1"/>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Parent Contract providing any option to receive a license or other right, any right of first negotiation, any right of first refusal or any similar right to any Person related to any material Parent IP or material Intellectual Property Right licensed to Parent under a Parent In-bound License; and</w:t>
      </w:r>
    </w:p>
    <w:p>
      <w:pPr>
        <w:spacing w:after="0" w:line="183" w:lineRule="exact"/>
        <w:rPr>
          <w:rFonts w:ascii="Arial" w:cs="Arial" w:eastAsia="Arial" w:hAnsi="Arial"/>
          <w:sz w:val="18"/>
          <w:szCs w:val="18"/>
          <w:color w:val="auto"/>
        </w:rPr>
      </w:pPr>
    </w:p>
    <w:p>
      <w:pPr>
        <w:ind w:left="2420" w:hanging="441"/>
        <w:spacing w:after="0"/>
        <w:tabs>
          <w:tab w:leader="none" w:pos="24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each Parent Contract entered into in settlement of any Legal Proceeding or other dispute.</w:t>
      </w:r>
    </w:p>
    <w:p>
      <w:pPr>
        <w:spacing w:after="0" w:line="225" w:lineRule="exact"/>
        <w:rPr>
          <w:rFonts w:ascii="Arial" w:cs="Arial" w:eastAsia="Arial" w:hAnsi="Arial"/>
          <w:sz w:val="18"/>
          <w:szCs w:val="18"/>
          <w:color w:val="auto"/>
        </w:rPr>
      </w:pPr>
    </w:p>
    <w:p>
      <w:pPr>
        <w:ind w:right="80" w:firstLine="1428"/>
        <w:spacing w:after="0" w:line="269" w:lineRule="auto"/>
        <w:tabs>
          <w:tab w:leader="none" w:pos="168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Parent has delivered or made available to the Company accurate and complete copies of all Parent Material Contracts, including all amendments thereto. There are no Parent Material Contracts that are not in written form. Neither Parent nor any of its Subsidiaries has,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be material to Parent or its business.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and no Person has indicated in writing to Parent that it desires to renegotiate, modify, not renew or cancel any Parent Material Contract.</w:t>
      </w:r>
    </w:p>
    <w:p>
      <w:pPr>
        <w:spacing w:after="0" w:line="181"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u w:val="single" w:color="auto"/>
          <w:color w:val="auto"/>
        </w:rPr>
        <w:t>Compliance; Permits</w:t>
      </w:r>
      <w:r>
        <w:rPr>
          <w:rFonts w:ascii="Arial" w:cs="Arial" w:eastAsia="Arial" w:hAnsi="Arial"/>
          <w:sz w:val="18"/>
          <w:szCs w:val="18"/>
          <w:color w:val="auto"/>
        </w:rPr>
        <w:t>. Parent or its Subsidiaries hold all required Governmental Authorizations which are material to the operation of the business of Parent or such Subsidiary as currently conducted (the “</w:t>
      </w:r>
      <w:r>
        <w:rPr>
          <w:rFonts w:ascii="Arial" w:cs="Arial" w:eastAsia="Arial" w:hAnsi="Arial"/>
          <w:sz w:val="18"/>
          <w:szCs w:val="18"/>
          <w:b w:val="1"/>
          <w:bCs w:val="1"/>
          <w:i w:val="1"/>
          <w:iCs w:val="1"/>
          <w:color w:val="auto"/>
        </w:rPr>
        <w:t>Parent Permits</w:t>
      </w:r>
      <w:r>
        <w:rPr>
          <w:rFonts w:ascii="Arial" w:cs="Arial" w:eastAsia="Arial" w:hAnsi="Arial"/>
          <w:sz w:val="18"/>
          <w:szCs w:val="18"/>
          <w:color w:val="auto"/>
        </w:rPr>
        <w:t>”). Section 3.14(b) of the Parent Disclosure Schedule identifies each Parent Permit. Each such Parent Permit is valid and in full force and effect, and Parent is in material compliance with the terms of the Parent Permits. No Legal Proceeding is pending or, to the Knowledge of Parent, threatened, which seeks to revoke, limit, suspend, or materially modify any Parent Permit.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u w:val="single" w:color="auto"/>
          <w:color w:val="auto"/>
        </w:rPr>
        <w:t>Legal Proceedings; Orders</w:t>
      </w:r>
      <w:r>
        <w:rPr>
          <w:rFonts w:ascii="Arial" w:cs="Arial" w:eastAsia="Arial" w:hAnsi="Arial"/>
          <w:sz w:val="18"/>
          <w:szCs w:val="18"/>
          <w:color w:val="auto"/>
        </w:rPr>
        <w:t>.</w:t>
      </w:r>
    </w:p>
    <w:p>
      <w:pPr>
        <w:spacing w:after="0" w:line="229" w:lineRule="exact"/>
        <w:rPr>
          <w:sz w:val="20"/>
          <w:szCs w:val="20"/>
          <w:color w:val="auto"/>
        </w:rPr>
      </w:pPr>
    </w:p>
    <w:p>
      <w:pPr>
        <w:ind w:firstLine="1428"/>
        <w:spacing w:after="0" w:line="279" w:lineRule="auto"/>
        <w:tabs>
          <w:tab w:leader="none" w:pos="167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As of the date of this Agreement, there is no material pending Legal Proceeding and, to the Knowledge of Parent, no Person has threatened in writing to commence any Legal Proceeding: (i) that involves (A) Parent, (B) any of its Subsidiaries, (C) any Parent Associate (in his or her capacity as such) or (D) any of the material assets owned or used by Parent or its Subsidiaries; or (ii) that challenges, or that would have the effect of preventing, delaying, making illegal or otherwise interfering with, the Contemplated Transactions.</w:t>
      </w:r>
    </w:p>
    <w:p>
      <w:pPr>
        <w:spacing w:after="0" w:line="171" w:lineRule="exact"/>
        <w:rPr>
          <w:rFonts w:ascii="Arial" w:cs="Arial" w:eastAsia="Arial" w:hAnsi="Arial"/>
          <w:sz w:val="17"/>
          <w:szCs w:val="17"/>
          <w:color w:val="auto"/>
        </w:rPr>
      </w:pPr>
    </w:p>
    <w:p>
      <w:pPr>
        <w:ind w:right="780" w:firstLine="1428"/>
        <w:spacing w:after="0" w:line="277" w:lineRule="auto"/>
        <w:tabs>
          <w:tab w:leader="none" w:pos="168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3.15(b)</w:t>
      </w:r>
      <w:r>
        <w:rPr>
          <w:rFonts w:ascii="Arial" w:cs="Arial" w:eastAsia="Arial" w:hAnsi="Arial"/>
          <w:sz w:val="18"/>
          <w:szCs w:val="18"/>
          <w:color w:val="auto"/>
        </w:rPr>
        <w:t xml:space="preserve"> of the Parent Disclosure Schedule, since January 1, 2019 through the date of this Agreement, no Legal Proceeding has been pending against Parent that resulted in material liability to Parent.</w:t>
      </w:r>
    </w:p>
    <w:p>
      <w:pPr>
        <w:spacing w:after="0" w:line="170" w:lineRule="exact"/>
        <w:rPr>
          <w:rFonts w:ascii="Arial" w:cs="Arial" w:eastAsia="Arial" w:hAnsi="Arial"/>
          <w:sz w:val="18"/>
          <w:szCs w:val="18"/>
          <w:color w:val="auto"/>
        </w:rPr>
      </w:pPr>
    </w:p>
    <w:p>
      <w:pPr>
        <w:jc w:val="both"/>
        <w:ind w:right="140" w:firstLine="1428"/>
        <w:spacing w:after="0" w:line="301" w:lineRule="auto"/>
        <w:tabs>
          <w:tab w:leader="none" w:pos="167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There is no order, writ, injunction, judgment or decree to which Parent or any of its Subsidiaries, or any of the material assets owned or used by Parent or any of its Subsidiaries, is subject. To the Knowledge of Parent, no officer of Parent or any of its Subsidiaries is subject to any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252" w:name="page253"/>
    <w:bookmarkEnd w:id="25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3.16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9" w:lineRule="exact"/>
        <w:rPr>
          <w:sz w:val="20"/>
          <w:szCs w:val="20"/>
          <w:color w:val="auto"/>
        </w:rPr>
      </w:pPr>
    </w:p>
    <w:p>
      <w:pPr>
        <w:jc w:val="both"/>
        <w:ind w:left="4" w:firstLine="1428"/>
        <w:spacing w:after="0" w:line="279" w:lineRule="auto"/>
        <w:tabs>
          <w:tab w:leader="none" w:pos="1681" w:val="left"/>
        </w:tabs>
        <w:numPr>
          <w:ilvl w:val="1"/>
          <w:numId w:val="153"/>
        </w:numPr>
        <w:rPr>
          <w:rFonts w:ascii="Arial" w:cs="Arial" w:eastAsia="Arial" w:hAnsi="Arial"/>
          <w:sz w:val="17"/>
          <w:szCs w:val="17"/>
          <w:color w:val="auto"/>
        </w:rPr>
      </w:pPr>
      <w:r>
        <w:rPr>
          <w:rFonts w:ascii="Arial" w:cs="Arial" w:eastAsia="Arial" w:hAnsi="Arial"/>
          <w:sz w:val="17"/>
          <w:szCs w:val="17"/>
          <w:color w:val="auto"/>
        </w:rPr>
        <w:t>Parent and each of its Subsidiaries have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Parent or any of its Subsidiaries does not file a particular Tax Return or pay a particular Tax that Parent or such Subsidiary is subject to taxation by that jurisdiction.</w:t>
      </w:r>
    </w:p>
    <w:p>
      <w:pPr>
        <w:spacing w:after="0" w:line="171" w:lineRule="exact"/>
        <w:rPr>
          <w:rFonts w:ascii="Arial" w:cs="Arial" w:eastAsia="Arial" w:hAnsi="Arial"/>
          <w:sz w:val="17"/>
          <w:szCs w:val="17"/>
          <w:color w:val="auto"/>
        </w:rPr>
      </w:pPr>
    </w:p>
    <w:p>
      <w:pPr>
        <w:ind w:left="4" w:firstLine="1428"/>
        <w:spacing w:after="0" w:line="275" w:lineRule="auto"/>
        <w:tabs>
          <w:tab w:leader="none" w:pos="1691"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All income and other material Taxes due and owing by Parent or any of its Subsidiaries on or before the date hereof (whether or not shown on any Tax Return) have been fully and timely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Parent Balance Sheet Date, neither Parent nor any of its Subsidiaries has incurred any material Liability for Taxes outside the Ordinary Course of Business.</w:t>
      </w:r>
    </w:p>
    <w:p>
      <w:pPr>
        <w:spacing w:after="0" w:line="176" w:lineRule="exact"/>
        <w:rPr>
          <w:rFonts w:ascii="Arial" w:cs="Arial" w:eastAsia="Arial" w:hAnsi="Arial"/>
          <w:sz w:val="17"/>
          <w:szCs w:val="17"/>
          <w:color w:val="auto"/>
        </w:rPr>
      </w:pPr>
    </w:p>
    <w:p>
      <w:pPr>
        <w:ind w:left="4" w:right="240" w:firstLine="1428"/>
        <w:spacing w:after="0" w:line="311" w:lineRule="auto"/>
        <w:tabs>
          <w:tab w:leader="none" w:pos="168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Taxes that Parent and each of its Subsidiaries is or was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w:t>
      </w:r>
    </w:p>
    <w:p>
      <w:pPr>
        <w:spacing w:after="0" w:line="148" w:lineRule="exact"/>
        <w:rPr>
          <w:rFonts w:ascii="Arial" w:cs="Arial" w:eastAsia="Arial" w:hAnsi="Arial"/>
          <w:sz w:val="16"/>
          <w:szCs w:val="16"/>
          <w:color w:val="auto"/>
        </w:rPr>
      </w:pPr>
    </w:p>
    <w:p>
      <w:pPr>
        <w:ind w:left="1684" w:hanging="252"/>
        <w:spacing w:after="0"/>
        <w:tabs>
          <w:tab w:leader="none" w:pos="168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There are no Encumbrances for material Taxes (other than Taxes not yet due and payable) upon any of the assets of Parent or 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of its Subsidiaries.</w:t>
      </w:r>
    </w:p>
    <w:p>
      <w:pPr>
        <w:spacing w:after="0" w:line="210" w:lineRule="exact"/>
        <w:rPr>
          <w:rFonts w:ascii="Arial" w:cs="Arial" w:eastAsia="Arial" w:hAnsi="Arial"/>
          <w:sz w:val="16"/>
          <w:szCs w:val="16"/>
          <w:color w:val="auto"/>
        </w:rPr>
      </w:pPr>
    </w:p>
    <w:p>
      <w:pPr>
        <w:ind w:left="4" w:right="20" w:firstLine="1428"/>
        <w:spacing w:after="0" w:line="257" w:lineRule="auto"/>
        <w:tabs>
          <w:tab w:leader="none" w:pos="168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No deficiencies for a material amount of Taxes with respect to Parent or any of its Subsidiaries have been claimed, proposed or assessed by any Governmental Body in writing. There are no pending or ongoing and, to the Knowledge of Parent, threatened audits, assessments or other actions for or relating to any liability in respect of a material amount of Taxes of Parent. Neither Parent nor any of its Subsidiaries (or predecessors thereof) has waived any statute of limitations or agreed to any extension of time with respect to any income or other material Tax assessment or deficiency.</w:t>
      </w:r>
    </w:p>
    <w:p>
      <w:pPr>
        <w:spacing w:after="0" w:line="187" w:lineRule="exact"/>
        <w:rPr>
          <w:rFonts w:ascii="Arial" w:cs="Arial" w:eastAsia="Arial" w:hAnsi="Arial"/>
          <w:sz w:val="18"/>
          <w:szCs w:val="18"/>
          <w:color w:val="auto"/>
        </w:rPr>
      </w:pPr>
    </w:p>
    <w:p>
      <w:pPr>
        <w:ind w:left="4" w:right="500" w:firstLine="1428"/>
        <w:spacing w:after="0" w:line="277" w:lineRule="auto"/>
        <w:tabs>
          <w:tab w:leader="none" w:pos="166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Neither Parent nor any of its Subsidiaries has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color w:val="auto"/>
        </w:rPr>
      </w:pPr>
    </w:p>
    <w:p>
      <w:pPr>
        <w:ind w:left="4" w:right="440" w:firstLine="1428"/>
        <w:spacing w:after="0" w:line="263" w:lineRule="auto"/>
        <w:tabs>
          <w:tab w:leader="none" w:pos="169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83" w:lineRule="exact"/>
        <w:rPr>
          <w:rFonts w:ascii="Arial" w:cs="Arial" w:eastAsia="Arial" w:hAnsi="Arial"/>
          <w:sz w:val="18"/>
          <w:szCs w:val="18"/>
          <w:color w:val="auto"/>
        </w:rPr>
      </w:pPr>
    </w:p>
    <w:p>
      <w:pPr>
        <w:ind w:left="4" w:right="40" w:firstLine="1428"/>
        <w:spacing w:after="0" w:line="284" w:lineRule="auto"/>
        <w:tabs>
          <w:tab w:leader="none" w:pos="169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Neither Parent nor any of its Subsidiaries will be required to include any item of income in, or exclude any item of deduction from, taxable income for any Tax period (or portion thereof) ending after the Closing Date as a result of any: (i)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(v) installment sale or open transaction disposition made on or prior to the Closing Date;</w:t>
      </w:r>
    </w:p>
    <w:p>
      <w:pPr>
        <w:spacing w:after="0" w:line="4" w:lineRule="exact"/>
        <w:rPr>
          <w:rFonts w:ascii="Arial" w:cs="Arial" w:eastAsia="Arial" w:hAnsi="Arial"/>
          <w:sz w:val="16"/>
          <w:szCs w:val="16"/>
          <w:color w:val="auto"/>
        </w:rPr>
      </w:pPr>
    </w:p>
    <w:p>
      <w:pPr>
        <w:ind w:left="4" w:right="60" w:hanging="4"/>
        <w:spacing w:after="0" w:line="253" w:lineRule="auto"/>
        <w:tabs>
          <w:tab w:leader="none" w:pos="30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prepaid amount, advance payment or deferred revenue received or accrued on or prior to the Closing Date; (vii) application of Section 367(d) of the Code to any transfer of intangible property on or prior to the Closing Date; or (viii) application of Sections 951 or 951A of the Code (or any similar provision of state, local or foreign Law) to any income received or accrued on or prior to the Closing Date. Parent has not made any election under Section 965(h) of the Code.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0" w:right="459" w:bottom="1440" w:gutter="0" w:footer="0" w:header="0"/>
        </w:sectPr>
      </w:pPr>
    </w:p>
    <w:bookmarkStart w:id="253" w:name="page254"/>
    <w:bookmarkEnd w:id="253"/>
    <w:p>
      <w:pPr>
        <w:ind w:right="320" w:firstLine="1428"/>
        <w:spacing w:after="0" w:line="255" w:lineRule="auto"/>
        <w:tabs>
          <w:tab w:leader="none" w:pos="16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Parent has no Liability for any material Taxes of any Person (other than Parent and any of its Subsidiaries) under Treasury Regulations Section 1.1502-6 (or any similar provision of state, local, or foreign Law), as a transferee or successor, by Contract (other than a Contract entered into in the Ordinary Course of Business the principal subject matter of which is not Taxes) or otherwise by operation of Law.</w:t>
      </w:r>
    </w:p>
    <w:p>
      <w:pPr>
        <w:spacing w:after="0" w:line="192" w:lineRule="exact"/>
        <w:rPr>
          <w:rFonts w:ascii="Arial" w:cs="Arial" w:eastAsia="Arial" w:hAnsi="Arial"/>
          <w:sz w:val="18"/>
          <w:szCs w:val="18"/>
          <w:color w:val="auto"/>
        </w:rPr>
      </w:pPr>
    </w:p>
    <w:p>
      <w:pPr>
        <w:ind w:right="80" w:firstLine="1428"/>
        <w:spacing w:after="0" w:line="263" w:lineRule="auto"/>
        <w:tabs>
          <w:tab w:leader="none" w:pos="16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Neither Parent nor any of its Subsidiaries has distributed stock of another Person, or had its stock distributed by another Person, in a transaction that was purported or intended to be governed in whole or in part by Section 355 of the Code or Section 361 of the Code (or any similar provisions of state, local or foreign Law).</w:t>
      </w:r>
    </w:p>
    <w:p>
      <w:pPr>
        <w:spacing w:after="0" w:line="183" w:lineRule="exact"/>
        <w:rPr>
          <w:rFonts w:ascii="Arial" w:cs="Arial" w:eastAsia="Arial" w:hAnsi="Arial"/>
          <w:sz w:val="18"/>
          <w:szCs w:val="18"/>
          <w:color w:val="auto"/>
        </w:rPr>
      </w:pPr>
    </w:p>
    <w:p>
      <w:pPr>
        <w:ind w:right="220" w:firstLine="1428"/>
        <w:spacing w:after="0" w:line="277" w:lineRule="auto"/>
        <w:tabs>
          <w:tab w:leader="none" w:pos="16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Parent has never had a permanent establishment (within the meaning of an applicable Tax treaty) or otherwise had an office or fixed place of business in a country other than the country in which it is organized.</w:t>
      </w:r>
    </w:p>
    <w:p>
      <w:pPr>
        <w:spacing w:after="0" w:line="170" w:lineRule="exact"/>
        <w:rPr>
          <w:rFonts w:ascii="Arial" w:cs="Arial" w:eastAsia="Arial" w:hAnsi="Arial"/>
          <w:sz w:val="18"/>
          <w:szCs w:val="18"/>
          <w:color w:val="auto"/>
        </w:rPr>
      </w:pPr>
    </w:p>
    <w:p>
      <w:pPr>
        <w:ind w:right="20" w:firstLine="1428"/>
        <w:spacing w:after="0" w:line="342" w:lineRule="auto"/>
        <w:tabs>
          <w:tab w:leader="none" w:pos="16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Neither Parent nor any of its Subsidiaries has participated in or been a party to a transaction that, as of the date of this Agreement, constitutes a “listed transaction” within the meaning of Section 6707A(c)(2) of the Code and Treasury Regulations Section 1.6011-4(b)(2).</w:t>
      </w:r>
    </w:p>
    <w:p>
      <w:pPr>
        <w:spacing w:after="0" w:line="123" w:lineRule="exact"/>
        <w:rPr>
          <w:rFonts w:ascii="Arial" w:cs="Arial" w:eastAsia="Arial" w:hAnsi="Arial"/>
          <w:sz w:val="16"/>
          <w:szCs w:val="16"/>
          <w:color w:val="auto"/>
        </w:rPr>
      </w:pPr>
    </w:p>
    <w:p>
      <w:pPr>
        <w:ind w:firstLine="1428"/>
        <w:spacing w:after="0" w:line="263" w:lineRule="auto"/>
        <w:tabs>
          <w:tab w:leader="none" w:pos="1737"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Section 3.16(n)</w:t>
      </w:r>
      <w:r>
        <w:rPr>
          <w:rFonts w:ascii="Arial" w:cs="Arial" w:eastAsia="Arial" w:hAnsi="Arial"/>
          <w:sz w:val="18"/>
          <w:szCs w:val="18"/>
          <w:color w:val="auto"/>
        </w:rPr>
        <w:t xml:space="preserve"> of the Parent Disclosure Schedule sets forth the entity classification of Parent and each of its Subsidiaries for U.S. federal income tax purposes. Neither Parent nor any of its Subsidiaries has made an election or taken any other action to change its federal and state income tax classification from such classification.</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3.16</w:t>
      </w:r>
      <w:r>
        <w:rPr>
          <w:rFonts w:ascii="Arial" w:cs="Arial" w:eastAsia="Arial" w:hAnsi="Arial"/>
          <w:sz w:val="18"/>
          <w:szCs w:val="18"/>
          <w:color w:val="auto"/>
        </w:rPr>
        <w:t>, each reference to Parent or any of its Subsidiaries shall be deemed to include any Person that was liquidated into, merged with, or is otherwise a predecessor to, Parent.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b w:val="1"/>
          <w:bCs w:val="1"/>
          <w:u w:val="single" w:color="auto"/>
          <w:color w:val="auto"/>
        </w:rPr>
        <w:t>Employee and Labor Matters; Benefit Plans</w:t>
      </w:r>
      <w:r>
        <w:rPr>
          <w:rFonts w:ascii="Arial" w:cs="Arial" w:eastAsia="Arial" w:hAnsi="Arial"/>
          <w:sz w:val="18"/>
          <w:szCs w:val="18"/>
          <w:color w:val="auto"/>
        </w:rPr>
        <w:t>.</w:t>
      </w:r>
    </w:p>
    <w:p>
      <w:pPr>
        <w:spacing w:after="0" w:line="229" w:lineRule="exact"/>
        <w:rPr>
          <w:sz w:val="20"/>
          <w:szCs w:val="20"/>
          <w:color w:val="auto"/>
        </w:rPr>
      </w:pPr>
    </w:p>
    <w:p>
      <w:pPr>
        <w:ind w:right="20" w:firstLine="1428"/>
        <w:spacing w:after="0" w:line="269" w:lineRule="auto"/>
        <w:tabs>
          <w:tab w:leader="none" w:pos="167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of the Parent Disclosure Schedule is a list of all material Parent Benefit Plans, other than employment offer letters on Parent’s standard form and other than individual Parent Options or other compensatory equity award agreements made pursuant to the Parent’s standard forms, in which case only representative standard forms of such agreements shall be scheduled. “</w:t>
      </w:r>
      <w:r>
        <w:rPr>
          <w:rFonts w:ascii="Arial" w:cs="Arial" w:eastAsia="Arial" w:hAnsi="Arial"/>
          <w:sz w:val="17"/>
          <w:szCs w:val="17"/>
          <w:b w:val="1"/>
          <w:bCs w:val="1"/>
          <w:i w:val="1"/>
          <w:iCs w:val="1"/>
          <w:color w:val="auto"/>
        </w:rPr>
        <w:t>Parent Benefit Plan</w:t>
      </w:r>
      <w:r>
        <w:rPr>
          <w:rFonts w:ascii="Arial" w:cs="Arial" w:eastAsia="Arial" w:hAnsi="Arial"/>
          <w:sz w:val="17"/>
          <w:szCs w:val="17"/>
          <w:color w:val="auto"/>
        </w:rPr>
        <w:t>” means each (i) “employee benefit plan” as defined in Section 3(3) of ERISA and (ii) other pension, retirement, deferred compensation, excess benefit, profit sharing, bonus, incentive, equity or equity-based,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subject or not subject to ERISA and including any that have been frozen), in each case, sponsored, maintained, administered, contributed to, or required to be contributed to, by Parent or any of its Subsidiaries for the benefit of any current or former employee, director, officer or independent contractor of Parent or any of its Subsidiaries or under which Parent or any of its Subsidiaries has any actual or contingent liability (including, without limitation, by reason of having a Parent ERISA Affiliate).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54" w:name="page255"/>
    <w:bookmarkEnd w:id="254"/>
    <w:p>
      <w:pPr>
        <w:ind w:left="4" w:firstLine="1428"/>
        <w:spacing w:after="0" w:line="290" w:lineRule="auto"/>
        <w:tabs>
          <w:tab w:leader="none" w:pos="1691" w:val="left"/>
        </w:tabs>
        <w:numPr>
          <w:ilvl w:val="1"/>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applicable with respect to each material Parent Benefit Plan, Parent has made available to the Company true and complete copies of (i) each material Parent Benefit Plan, including all amendments thereto, and in the case of an unwritten material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Arial" w:cs="Arial" w:eastAsia="Arial" w:hAnsi="Arial"/>
          <w:sz w:val="16"/>
          <w:szCs w:val="16"/>
          <w:i w:val="1"/>
          <w:iCs w:val="1"/>
          <w:color w:val="auto"/>
        </w:rPr>
        <w:t>e.g.</w:t>
      </w:r>
      <w:r>
        <w:rPr>
          <w:rFonts w:ascii="Arial" w:cs="Arial" w:eastAsia="Arial" w:hAnsi="Arial"/>
          <w:sz w:val="16"/>
          <w:szCs w:val="16"/>
          <w:color w:val="auto"/>
        </w:rPr>
        <w:t>, Form 5500 and all schedules thereto), (v) the most recent IRS determination, opinion or advisory letter, (vi) the most recent summary annual reports, nondiscrimination testing reports, actuarial reports, financial statements and trustee reports, and (vii) all notices and filings from the IRS or Department of Labor or other Governmental Body concerning audits or investigations, or “prohibited transactions” within the meaning of Section 406 of ERISA or Section 4975 of the Code.</w:t>
      </w:r>
    </w:p>
    <w:p>
      <w:pPr>
        <w:spacing w:after="0" w:line="165" w:lineRule="exact"/>
        <w:rPr>
          <w:rFonts w:ascii="Arial" w:cs="Arial" w:eastAsia="Arial" w:hAnsi="Arial"/>
          <w:sz w:val="16"/>
          <w:szCs w:val="16"/>
          <w:color w:val="auto"/>
        </w:rPr>
      </w:pPr>
    </w:p>
    <w:p>
      <w:pPr>
        <w:ind w:left="4" w:right="240" w:firstLine="1428"/>
        <w:spacing w:after="0" w:line="277" w:lineRule="auto"/>
        <w:tabs>
          <w:tab w:leader="none" w:pos="168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Each Parent Benefit Plan has been maintained, operated and administered in compliance in all material respects with its terms and the applicable provisions of ERISA, the Code and all other Laws.</w:t>
      </w:r>
    </w:p>
    <w:p>
      <w:pPr>
        <w:spacing w:after="0" w:line="170" w:lineRule="exact"/>
        <w:rPr>
          <w:rFonts w:ascii="Arial" w:cs="Arial" w:eastAsia="Arial" w:hAnsi="Arial"/>
          <w:sz w:val="18"/>
          <w:szCs w:val="18"/>
          <w:color w:val="auto"/>
        </w:rPr>
      </w:pPr>
    </w:p>
    <w:p>
      <w:pPr>
        <w:ind w:left="4" w:firstLine="1428"/>
        <w:spacing w:after="0" w:line="275" w:lineRule="auto"/>
        <w:tabs>
          <w:tab w:leader="none" w:pos="1691"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Parent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and nothing has occurred that would reasonably be expected to materially adversely affect the qualification of such Parent Benefit Plan or the tax exempt status of the related trust.</w:t>
      </w:r>
    </w:p>
    <w:p>
      <w:pPr>
        <w:spacing w:after="0" w:line="176" w:lineRule="exact"/>
        <w:rPr>
          <w:rFonts w:ascii="Arial" w:cs="Arial" w:eastAsia="Arial" w:hAnsi="Arial"/>
          <w:sz w:val="17"/>
          <w:szCs w:val="17"/>
          <w:color w:val="auto"/>
        </w:rPr>
      </w:pPr>
    </w:p>
    <w:p>
      <w:pPr>
        <w:ind w:left="4" w:right="40" w:firstLine="1428"/>
        <w:spacing w:after="0" w:line="287" w:lineRule="auto"/>
        <w:tabs>
          <w:tab w:leader="none" w:pos="168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Neither Parent, any of its Subsidiaries nor any Parent ERISA Affiliate maintains, contributes to, is required to contribute to, or has any actual or contingent liability with respect to, (i) any “employee pension benefit plan” (within the meaning of Section 3(2) of ERISA) that is subject to Title IV or Section 302 of ERISA or Section 412 of the Code, (ii) any “multiemployer plan” (within the meaning of Section 3(37) of ERISA),</w:t>
      </w:r>
    </w:p>
    <w:p>
      <w:pPr>
        <w:spacing w:after="0" w:line="2" w:lineRule="exact"/>
        <w:rPr>
          <w:rFonts w:ascii="Arial" w:cs="Arial" w:eastAsia="Arial" w:hAnsi="Arial"/>
          <w:sz w:val="16"/>
          <w:szCs w:val="16"/>
          <w:color w:val="auto"/>
        </w:rPr>
      </w:pPr>
    </w:p>
    <w:p>
      <w:pPr>
        <w:ind w:left="4" w:right="300" w:hanging="4"/>
        <w:spacing w:after="0" w:line="260" w:lineRule="auto"/>
        <w:tabs>
          <w:tab w:leader="none" w:pos="31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“multiple employer plan” (within the meaning of Section 413 of the Code) or (iv) any “multiple employer welfare arrangement” (within the meaning of Section 3(40) of ERISA).</w:t>
      </w:r>
    </w:p>
    <w:p>
      <w:pPr>
        <w:spacing w:after="0" w:line="185" w:lineRule="exact"/>
        <w:rPr>
          <w:rFonts w:ascii="Arial" w:cs="Arial" w:eastAsia="Arial" w:hAnsi="Arial"/>
          <w:sz w:val="18"/>
          <w:szCs w:val="18"/>
          <w:color w:val="auto"/>
        </w:rPr>
      </w:pPr>
    </w:p>
    <w:p>
      <w:pPr>
        <w:ind w:left="4" w:right="120" w:firstLine="1428"/>
        <w:spacing w:after="0" w:line="254" w:lineRule="auto"/>
        <w:tabs>
          <w:tab w:leader="none" w:pos="166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Body involving any Parent Benefit Plan, and no pending or, to the Knowledge of Parent, threatened claims (except for routine individual claims for benefits payable in the normal operation of the Parent Benefit Plans), suits or proceedings involving any Parent Benefit Plan, or, to the Knowledge of Parent, any fiduciary thereof or service provider thereto, in any case except as would not be reasonably expected to result in material liability to Parent or any of its Subsidiaries. All contributions and premium payments required to have been made under any of the Parent Benefit Plans or by applicable Law (without regard to any waivers granted under Section 412 of the Code), have been timely made and neither Parent nor any Parent ERISA Affiliate has any material liability for any unpaid contributions with respect to any Parent Benefit Plan.</w:t>
      </w:r>
    </w:p>
    <w:p>
      <w:pPr>
        <w:spacing w:after="0" w:line="194" w:lineRule="exact"/>
        <w:rPr>
          <w:rFonts w:ascii="Arial" w:cs="Arial" w:eastAsia="Arial" w:hAnsi="Arial"/>
          <w:sz w:val="18"/>
          <w:szCs w:val="18"/>
          <w:color w:val="auto"/>
        </w:rPr>
      </w:pPr>
    </w:p>
    <w:p>
      <w:pPr>
        <w:ind w:left="4" w:right="180" w:firstLine="1428"/>
        <w:spacing w:after="0" w:line="301" w:lineRule="auto"/>
        <w:tabs>
          <w:tab w:leader="none" w:pos="169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None of Parent, any of its Subsidiaries or any Parent ERISA Affiliates, or to the Knowledge of Parent, any fiduciary, trustee or administrator of any Parent Benefit Plan, has engaged in, or in connection with the Contemplated Transactions will engage in, any transaction with respect to any Parent Benefit Plan which would subject any such Parent Benefit Plan, Parent, any of its Subsidiaries or Parent ERISA Affiliates to a material Tax, material penalty or material liability for a “prohibited transaction” under Section 406 of ERISA or Section 4975 of the Code.</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4"/>
          </w:cols>
          <w:pgMar w:left="436" w:top="274" w:right="479" w:bottom="1440" w:gutter="0" w:footer="0" w:header="0"/>
        </w:sectPr>
      </w:pPr>
    </w:p>
    <w:bookmarkStart w:id="255" w:name="page256"/>
    <w:bookmarkEnd w:id="255"/>
    <w:p>
      <w:pPr>
        <w:ind w:left="4" w:right="320" w:firstLine="1428"/>
        <w:spacing w:after="0" w:line="263" w:lineRule="auto"/>
        <w:tabs>
          <w:tab w:leader="none" w:pos="1691"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Parent Benefit Plan provides death, medical, dental, vision, life insurance or other welfare benefits beyond termination of service or retirement other than coverage mandated by Law and to the Knowledge of Parent, neither Parent nor any of its Subsidiaries has made a written representation promising the same.</w:t>
      </w:r>
    </w:p>
    <w:p>
      <w:pPr>
        <w:spacing w:after="0" w:line="183" w:lineRule="exact"/>
        <w:rPr>
          <w:rFonts w:ascii="Arial" w:cs="Arial" w:eastAsia="Arial" w:hAnsi="Arial"/>
          <w:sz w:val="18"/>
          <w:szCs w:val="18"/>
          <w:color w:val="auto"/>
        </w:rPr>
      </w:pPr>
    </w:p>
    <w:p>
      <w:pPr>
        <w:ind w:left="4" w:right="60" w:firstLine="1428"/>
        <w:spacing w:after="0" w:line="285" w:lineRule="auto"/>
        <w:tabs>
          <w:tab w:leader="none" w:pos="1651"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3.17(i)</w:t>
      </w:r>
      <w:r>
        <w:rPr>
          <w:rFonts w:ascii="Arial" w:cs="Arial" w:eastAsia="Arial" w:hAnsi="Arial"/>
          <w:sz w:val="16"/>
          <w:szCs w:val="16"/>
          <w:color w:val="auto"/>
        </w:rPr>
        <w:t xml:space="preserve"> of the Parent Disclosure Schedule, neither the execution of this Agreement, nor the performance of the Contemplated Transactions (either alone or when combined with the occurrence of any other event, including without limitation, a termination of employment) will: (i) result in any payment becoming due to any current or former employee, director, officer, or independent contractor of Parent or any Subsidiary thereof pursuant to any Parent Benefit Plan, (ii) increase any amount of compensation or benefits otherwise payable under any Parent Benefit Plan, (iii) result in the acceleration of the time of payment, funding or vesting of any benefits under any Parent Benefit Plan,</w:t>
      </w:r>
    </w:p>
    <w:p>
      <w:pPr>
        <w:spacing w:after="0" w:line="1" w:lineRule="exact"/>
        <w:rPr>
          <w:rFonts w:ascii="Arial" w:cs="Arial" w:eastAsia="Arial" w:hAnsi="Arial"/>
          <w:sz w:val="16"/>
          <w:szCs w:val="16"/>
          <w:color w:val="auto"/>
        </w:rPr>
      </w:pPr>
    </w:p>
    <w:p>
      <w:pPr>
        <w:ind w:left="4" w:right="300" w:hanging="4"/>
        <w:spacing w:after="0" w:line="260" w:lineRule="auto"/>
        <w:tabs>
          <w:tab w:leader="none" w:pos="30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require any contribution or payment to fund any obligation under any Parent Benefit Plan or (v) limit the right to merge, amend or terminate any Parent Benefit Plan.</w:t>
      </w:r>
    </w:p>
    <w:p>
      <w:pPr>
        <w:spacing w:after="0" w:line="185" w:lineRule="exact"/>
        <w:rPr>
          <w:rFonts w:ascii="Arial" w:cs="Arial" w:eastAsia="Arial" w:hAnsi="Arial"/>
          <w:sz w:val="18"/>
          <w:szCs w:val="18"/>
          <w:color w:val="auto"/>
        </w:rPr>
      </w:pPr>
    </w:p>
    <w:p>
      <w:pPr>
        <w:ind w:left="4" w:right="120" w:firstLine="1428"/>
        <w:spacing w:after="0" w:line="275" w:lineRule="auto"/>
        <w:tabs>
          <w:tab w:leader="none" w:pos="1651" w:val="left"/>
        </w:tabs>
        <w:numPr>
          <w:ilvl w:val="1"/>
          <w:numId w:val="16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3.17(j)</w:t>
      </w:r>
      <w:r>
        <w:rPr>
          <w:rFonts w:ascii="Arial" w:cs="Arial" w:eastAsia="Arial" w:hAnsi="Arial"/>
          <w:sz w:val="17"/>
          <w:szCs w:val="17"/>
          <w:color w:val="auto"/>
        </w:rPr>
        <w:t xml:space="preserve"> of the Parent Disclosure Schedule, neither the execution of,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Code Section 280G) with respect to Parent and its Subsidiaries of any payment or benefit that is or could be characterized as a “parachute payment” (within the meaning of Code Section 280G), determined without regard to the application of Code Section 280G(b)(5).</w:t>
      </w:r>
    </w:p>
    <w:p>
      <w:pPr>
        <w:spacing w:after="0" w:line="176" w:lineRule="exact"/>
        <w:rPr>
          <w:rFonts w:ascii="Arial" w:cs="Arial" w:eastAsia="Arial" w:hAnsi="Arial"/>
          <w:sz w:val="17"/>
          <w:szCs w:val="17"/>
          <w:color w:val="auto"/>
        </w:rPr>
      </w:pPr>
    </w:p>
    <w:p>
      <w:pPr>
        <w:jc w:val="both"/>
        <w:ind w:left="4" w:right="40" w:firstLine="1428"/>
        <w:spacing w:after="0" w:line="263" w:lineRule="auto"/>
        <w:tabs>
          <w:tab w:leader="none" w:pos="169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No current or former employee, officer, director or independent contractor of Parent or any of its Subsidiaries has any “gross up” agreements with the Parent or any of its Subsidiaries or other assurance of reimbursement by the Parent or any of its Subsidiaries for any Taxes imposed under Code Section 409A or Code Section 4999.</w:t>
      </w:r>
    </w:p>
    <w:p>
      <w:pPr>
        <w:spacing w:after="0" w:line="183" w:lineRule="exact"/>
        <w:rPr>
          <w:rFonts w:ascii="Arial" w:cs="Arial" w:eastAsia="Arial" w:hAnsi="Arial"/>
          <w:sz w:val="18"/>
          <w:szCs w:val="18"/>
          <w:color w:val="auto"/>
        </w:rPr>
      </w:pPr>
    </w:p>
    <w:p>
      <w:pPr>
        <w:ind w:left="4" w:right="60" w:firstLine="1428"/>
        <w:spacing w:after="0" w:line="263" w:lineRule="auto"/>
        <w:tabs>
          <w:tab w:leader="none" w:pos="165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Each Parent Benefit Plan maintained for the benefit of service providers located outside of the United States (each, a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Foreign Plan</w:t>
      </w:r>
      <w:r>
        <w:rPr>
          <w:rFonts w:ascii="Arial" w:cs="Arial" w:eastAsia="Arial" w:hAnsi="Arial"/>
          <w:sz w:val="18"/>
          <w:szCs w:val="18"/>
          <w:color w:val="auto"/>
        </w:rPr>
        <w:t>”) has obtained from the Governmental Body having jurisdiction with respect to such plan any required determinations that such plan is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with the Laws of any such Governmental Body.</w:t>
      </w:r>
    </w:p>
    <w:p>
      <w:pPr>
        <w:spacing w:after="0" w:line="183" w:lineRule="exact"/>
        <w:rPr>
          <w:rFonts w:ascii="Arial" w:cs="Arial" w:eastAsia="Arial" w:hAnsi="Arial"/>
          <w:sz w:val="18"/>
          <w:szCs w:val="18"/>
          <w:color w:val="auto"/>
        </w:rPr>
      </w:pPr>
    </w:p>
    <w:p>
      <w:pPr>
        <w:ind w:left="4" w:right="120" w:firstLine="1428"/>
        <w:spacing w:after="0" w:line="263" w:lineRule="auto"/>
        <w:tabs>
          <w:tab w:leader="none" w:pos="174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assets of each of the Parent Foreign Plans that is similar to an employee pension benefit plan (as defined in Section 3(2) of ERISA (whether or not subject to ERISA)) or that otherwise provides retirement, medical or life insurance benefits following retirement or other termination of service or employment are at least equal to the liabilities of such plans.</w:t>
      </w:r>
    </w:p>
    <w:p>
      <w:pPr>
        <w:spacing w:after="0" w:line="183" w:lineRule="exact"/>
        <w:rPr>
          <w:rFonts w:ascii="Arial" w:cs="Arial" w:eastAsia="Arial" w:hAnsi="Arial"/>
          <w:sz w:val="18"/>
          <w:szCs w:val="18"/>
          <w:color w:val="auto"/>
        </w:rPr>
      </w:pPr>
    </w:p>
    <w:p>
      <w:pPr>
        <w:jc w:val="both"/>
        <w:ind w:left="4" w:right="100" w:firstLine="1428"/>
        <w:spacing w:after="0" w:line="287" w:lineRule="auto"/>
        <w:tabs>
          <w:tab w:leader="none" w:pos="1691" w:val="left"/>
        </w:tabs>
        <w:numPr>
          <w:ilvl w:val="1"/>
          <w:numId w:val="160"/>
        </w:numPr>
        <w:rPr>
          <w:rFonts w:ascii="Arial" w:cs="Arial" w:eastAsia="Arial" w:hAnsi="Arial"/>
          <w:sz w:val="16"/>
          <w:szCs w:val="16"/>
          <w:color w:val="auto"/>
        </w:rPr>
      </w:pPr>
      <w:r>
        <w:rPr>
          <w:rFonts w:ascii="Arial" w:cs="Arial" w:eastAsia="Arial" w:hAnsi="Arial"/>
          <w:sz w:val="16"/>
          <w:szCs w:val="16"/>
          <w:color w:val="auto"/>
        </w:rPr>
        <w:t>Parent has provided to the Company a true and correct list, as of the date of this Agreement, containing the names of all current full-time, part-time or temporary employees and independent contractors (and indication as such), and, as applicable: (i) the annual dollar amount of all cash compensation in the form of wages, salary, fees, commissions, or director’s fees payable to each person; (ii) dates of employment or service;</w:t>
      </w:r>
    </w:p>
    <w:p>
      <w:pPr>
        <w:spacing w:after="0" w:line="2" w:lineRule="exact"/>
        <w:rPr>
          <w:rFonts w:ascii="Arial" w:cs="Arial" w:eastAsia="Arial" w:hAnsi="Arial"/>
          <w:sz w:val="16"/>
          <w:szCs w:val="16"/>
          <w:color w:val="auto"/>
        </w:rPr>
      </w:pPr>
    </w:p>
    <w:p>
      <w:pPr>
        <w:ind w:left="4" w:hanging="4"/>
        <w:spacing w:after="0" w:line="255" w:lineRule="auto"/>
        <w:tabs>
          <w:tab w:leader="none" w:pos="31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title and, with respect to independent contractors, a current written description of such person’s contracting services; (iv) visa status, if applicable; and (v) with respect to employees, (A) a designation of whether they are classified as exempt or non-exempt for purposes of FLSA and any similar state, federal or Foreign law and (B) whether such an employee is on leave, and if so, the expected return date.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256" w:name="page257"/>
    <w:bookmarkEnd w:id="256"/>
    <w:p>
      <w:pPr>
        <w:ind w:right="40" w:firstLine="1428"/>
        <w:spacing w:after="0" w:line="293" w:lineRule="auto"/>
        <w:tabs>
          <w:tab w:leader="none" w:pos="1687"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Parent nor any of its Subsidiaries is or has 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Parent, purporting to represent or seeking to represent any employees of Parent or its Subsidiaries, including through the filing of a petition for representation election. There is not and has not been in the past five years, nor, to the Knowledge of Parent, is there or has there been in the past five years any threat of, any strike, slowdown, work stoppage, lockout, union election petition, demand for recognition, or any similar activity or dispute, or any union organizing activity, against Parent or any of its Subsidiaries.</w:t>
      </w:r>
    </w:p>
    <w:p>
      <w:pPr>
        <w:spacing w:after="0" w:line="164" w:lineRule="exact"/>
        <w:rPr>
          <w:rFonts w:ascii="Arial" w:cs="Arial" w:eastAsia="Arial" w:hAnsi="Arial"/>
          <w:sz w:val="16"/>
          <w:szCs w:val="16"/>
          <w:color w:val="auto"/>
        </w:rPr>
      </w:pPr>
    </w:p>
    <w:p>
      <w:pPr>
        <w:ind w:right="20" w:firstLine="1428"/>
        <w:spacing w:after="0" w:line="270" w:lineRule="auto"/>
        <w:tabs>
          <w:tab w:leader="none" w:pos="168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Parent and each of its Subsidiaries is, and since December 31, 2020 has been, in material compliance with all applicable Laws respecting labor, employment, employment practices, and terms and conditions of employment, including worker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Parent or any of its Subsidiaries, with respect to employees of Parent and its Subsidiaries, each of Parent and its Subsidiaries, since December 31, 2020, has withheld and reported all amounts required by Law to be withheld and reported with respect to wages, salaries and other payments, benefits, or compensation to employees. There is no material Legal Proceeding pending or, to the Knowledge of Parent, threatened or reasonably anticipated against Parent or any of its Subsidiaries relating to any current or former employee, applicant for employment, or consultant of Parent.</w:t>
      </w:r>
    </w:p>
    <w:p>
      <w:pPr>
        <w:spacing w:after="0" w:line="180" w:lineRule="exact"/>
        <w:rPr>
          <w:rFonts w:ascii="Arial" w:cs="Arial" w:eastAsia="Arial" w:hAnsi="Arial"/>
          <w:sz w:val="17"/>
          <w:szCs w:val="17"/>
          <w:color w:val="auto"/>
        </w:rPr>
      </w:pPr>
    </w:p>
    <w:p>
      <w:pPr>
        <w:ind w:left="1680" w:hanging="252"/>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Within the preceding two years, Parent has complied in all material respects with the WARN Act.</w:t>
      </w:r>
    </w:p>
    <w:p>
      <w:pPr>
        <w:spacing w:after="0" w:line="22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b w:val="1"/>
          <w:bCs w:val="1"/>
          <w:u w:val="single" w:color="auto"/>
          <w:color w:val="auto"/>
        </w:rPr>
        <w:t>Environmental Matters</w:t>
      </w:r>
      <w:r>
        <w:rPr>
          <w:rFonts w:ascii="Arial" w:cs="Arial" w:eastAsia="Arial" w:hAnsi="Arial"/>
          <w:sz w:val="16"/>
          <w:szCs w:val="16"/>
          <w:b w:val="1"/>
          <w:bCs w:val="1"/>
          <w:color w:val="auto"/>
        </w:rPr>
        <w:t>.</w:t>
      </w:r>
      <w:r>
        <w:rPr>
          <w:rFonts w:ascii="Arial" w:cs="Arial" w:eastAsia="Arial" w:hAnsi="Arial"/>
          <w:sz w:val="16"/>
          <w:szCs w:val="16"/>
          <w:color w:val="auto"/>
        </w:rPr>
        <w:t xml:space="preserve"> Parent and each of its Subsidiaries are in compliance and since December 31, 2020 have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or its business. Neither Parent nor any of its Subsidiaries has received since December 31, 2020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the Knowledge of Parent, there are no circumstances that would reasonably be expected to prevent or interfere with Parent’s or any of its Subsidiaries’ compliance in any material respects with any Environmental Law, except where such failure to comply would not reasonably be expected to be material to Parent or its business. No current or (during the time a prior property was leased or controlled by Parent or any of its Subsidiaries) prior property leased or controlled by Parent or any of its Subsidiaries has had a release of or exposure to Hazardous Materials in material violation of or as would reasonably be expected to result in any material liability of Parent or any of its Subsidiaries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by Parent or Merger Subs. Prior to the date hereof, Parent has provided or otherwise made available to the Company true and correct copies of all material environmental reports, assessments, studies and audits in the possession or control of Parent or any of its Subsidiaries with respect to any property leased or controlled by Parent or any of its Subsidiaries or any business operated by them.</w:t>
      </w:r>
    </w:p>
    <w:p>
      <w:pPr>
        <w:spacing w:after="0" w:line="164"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xml:space="preserve">. Except as set forth in the Parent SEC Documents filed prior to the date of this Agreement, since the date of Parent’s last proxy statement filed in April 2023 with the SEC, no event has occurred that would be required to be reported by Parent pursuant to Item 404 of Regulation S-K.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Parent Disclosure Schedule identifies each Person who is (or who may be deemed to be) an Affiliate of Parent as of the date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257" w:name="page258"/>
    <w:bookmarkEnd w:id="257"/>
    <w:p>
      <w:pPr>
        <w:ind w:left="4"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3.20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is in compliance in all material respects with the terms thereof. Other than customary end of policy notifications from insurance carriers, since January 1, 2020, neither Parent nor any of its Subsidiaries has received any notice or other communication regarding any actual or possible: (a) cancellation or invalidation of any insurance policy; or</w:t>
      </w:r>
    </w:p>
    <w:p>
      <w:pPr>
        <w:spacing w:after="0" w:line="2" w:lineRule="exact"/>
        <w:rPr>
          <w:sz w:val="20"/>
          <w:szCs w:val="20"/>
          <w:color w:val="auto"/>
        </w:rPr>
      </w:pPr>
    </w:p>
    <w:p>
      <w:pPr>
        <w:ind w:left="4" w:right="120" w:hanging="4"/>
        <w:spacing w:after="0" w:line="273" w:lineRule="auto"/>
        <w:tabs>
          <w:tab w:leader="none" w:pos="25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refusal or denial of any coverage, reservation of rights or rejection of any material claim under any insurance policy. Parent and each of its Subsidiaries has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172" w:lineRule="exact"/>
        <w:rPr>
          <w:sz w:val="20"/>
          <w:szCs w:val="20"/>
          <w:color w:val="auto"/>
        </w:rPr>
      </w:pPr>
    </w:p>
    <w:p>
      <w:pPr>
        <w:ind w:left="4" w:right="40" w:firstLine="991"/>
        <w:spacing w:after="0" w:line="281"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b w:val="1"/>
          <w:bCs w:val="1"/>
          <w:u w:val="single" w:color="auto"/>
          <w:color w:val="auto"/>
        </w:rPr>
        <w:t>Opinion of Financial Advisor</w:t>
      </w:r>
      <w:r>
        <w:rPr>
          <w:rFonts w:ascii="Arial" w:cs="Arial" w:eastAsia="Arial" w:hAnsi="Arial"/>
          <w:sz w:val="17"/>
          <w:szCs w:val="17"/>
          <w:color w:val="auto"/>
        </w:rPr>
        <w:t>. The Parent Board has received an opinion of Houlihan Lokey Capital Inc., dated on or about the date of the Agreement, to the effect that, as of the date of such opinion and subject to the assumptions, qualifications, limitations and other matters set forth therein, the Exchange Ratio (as specified in such opinion) is fair, from a financial point of view, to Parent. It is agreed and understood that such opinion is furnished solely for the use of the Parent Board and may not be relied upon by the Company or any other party.</w:t>
      </w:r>
    </w:p>
    <w:p>
      <w:pPr>
        <w:spacing w:after="0" w:line="165"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u w:val="single" w:color="auto"/>
          <w:color w:val="auto"/>
        </w:rPr>
        <w:t>No Financial Advisors</w:t>
      </w:r>
      <w:r>
        <w:rPr>
          <w:rFonts w:ascii="Arial" w:cs="Arial" w:eastAsia="Arial" w:hAnsi="Arial"/>
          <w:sz w:val="18"/>
          <w:szCs w:val="18"/>
          <w:color w:val="auto"/>
        </w:rPr>
        <w:t>. No broker, finder or investment banker, other than Wedbush Securities Inc. and Houlihan Lokey Capital Inc., is entitled to any brokerage fee, finder’s fee, opinion fee, success fee, transaction fee or other fee or commission in connection with the Contemplated Transactions based upon arrangements made by or on behalf of Parent or any of its Subsidiaries.</w:t>
      </w:r>
    </w:p>
    <w:p>
      <w:pPr>
        <w:spacing w:after="0" w:line="176" w:lineRule="exact"/>
        <w:rPr>
          <w:sz w:val="20"/>
          <w:szCs w:val="20"/>
          <w:color w:val="auto"/>
        </w:rPr>
      </w:pPr>
    </w:p>
    <w:p>
      <w:pPr>
        <w:ind w:left="4" w:firstLine="991"/>
        <w:spacing w:after="0" w:line="258"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b w:val="1"/>
          <w:bCs w:val="1"/>
          <w:u w:val="single" w:color="auto"/>
          <w:color w:val="auto"/>
        </w:rPr>
        <w:t>Anti-Bribery</w:t>
      </w:r>
      <w:r>
        <w:rPr>
          <w:rFonts w:ascii="Arial" w:cs="Arial" w:eastAsia="Arial" w:hAnsi="Arial"/>
          <w:sz w:val="18"/>
          <w:szCs w:val="18"/>
          <w:color w:val="auto"/>
        </w:rPr>
        <w:t>. None of Parent or any of its Subsidiaries nor any of their respective directors, officers, employees or, to Parent’s Knowledge, agents or any other Person acting on its behalf has directly or indirectly made any bribes, rebates, payoffs, influence payments, kickbacks, illegal payments, illegal political contributions, or other payments, in the form of cash, gifts, or otherwise, or taken any other action, in violation of Anti-Bribery Laws. Neither Parent nor any of its Subsidiaries is or has been the subject of any investigation or inquiry by any Governmental Body with respect to potential violations of Anti-Bribery Laws.</w:t>
      </w:r>
    </w:p>
    <w:p>
      <w:pPr>
        <w:spacing w:after="0" w:line="183" w:lineRule="exact"/>
        <w:rPr>
          <w:sz w:val="20"/>
          <w:szCs w:val="20"/>
          <w:color w:val="auto"/>
        </w:rPr>
      </w:pPr>
    </w:p>
    <w:p>
      <w:pPr>
        <w:ind w:left="4" w:right="220" w:firstLine="991"/>
        <w:spacing w:after="0" w:line="258"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b w:val="1"/>
          <w:bCs w:val="1"/>
          <w:u w:val="single" w:color="auto"/>
          <w:color w:val="auto"/>
        </w:rPr>
        <w:t>Valid Issuance</w:t>
      </w:r>
      <w:r>
        <w:rPr>
          <w:rFonts w:ascii="Arial" w:cs="Arial" w:eastAsia="Arial" w:hAnsi="Arial"/>
          <w:sz w:val="18"/>
          <w:szCs w:val="18"/>
          <w:color w:val="auto"/>
        </w:rPr>
        <w:t>. The Parent Common Stock and Parent Convertible Preferred Stock to be issued in the Merger will, when issued in accordance with the provisions of this Agreement, be validly issued, fully paid and nonassessable. To the Knowledge of Parent as of the date of this Agreement, no “bad actor” disqualifying event described in Rule 506(d)(1)(i)–(viii) of the Securities Act (a “</w:t>
      </w:r>
      <w:r>
        <w:rPr>
          <w:rFonts w:ascii="Arial" w:cs="Arial" w:eastAsia="Arial" w:hAnsi="Arial"/>
          <w:sz w:val="18"/>
          <w:szCs w:val="18"/>
          <w:b w:val="1"/>
          <w:bCs w:val="1"/>
          <w:i w:val="1"/>
          <w:iCs w:val="1"/>
          <w:color w:val="auto"/>
        </w:rPr>
        <w:t>Disqualifying Event</w:t>
      </w:r>
      <w:r>
        <w:rPr>
          <w:rFonts w:ascii="Arial" w:cs="Arial" w:eastAsia="Arial" w:hAnsi="Arial"/>
          <w:sz w:val="18"/>
          <w:szCs w:val="18"/>
          <w:color w:val="auto"/>
        </w:rPr>
        <w:t>”) is applicable to Parent or, to Parent’s Knowledge, any Parent Covered Person, except for a Disqualifying Event as to which Rule 506(d)(2)(ii)–(iv) or (d)(3) of the Securities Act is applicable.</w:t>
      </w:r>
    </w:p>
    <w:p>
      <w:pPr>
        <w:spacing w:after="0" w:line="18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b w:val="1"/>
          <w:bCs w:val="1"/>
          <w:u w:val="single" w:color="auto"/>
          <w:color w:val="auto"/>
        </w:rPr>
        <w:t>Disclaimer of Other Representations or Warranties</w:t>
      </w:r>
      <w:r>
        <w:rPr>
          <w:rFonts w:ascii="Arial" w:cs="Arial" w:eastAsia="Arial" w:hAnsi="Arial"/>
          <w:sz w:val="18"/>
          <w:szCs w:val="18"/>
          <w:color w:val="auto"/>
        </w:rPr>
        <w:t>.</w:t>
      </w:r>
    </w:p>
    <w:p>
      <w:pPr>
        <w:spacing w:after="0" w:line="229" w:lineRule="exact"/>
        <w:rPr>
          <w:sz w:val="20"/>
          <w:szCs w:val="20"/>
          <w:color w:val="auto"/>
        </w:rPr>
      </w:pPr>
    </w:p>
    <w:p>
      <w:pPr>
        <w:jc w:val="both"/>
        <w:ind w:left="4" w:right="60" w:firstLine="1428"/>
        <w:spacing w:after="0" w:line="286" w:lineRule="auto"/>
        <w:tabs>
          <w:tab w:leader="none" w:pos="168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Except as previously set forth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in any certificate delivered by Parent or Merger Subs to the Company pursuant to this Agreement, neither Parent nor any Merger Sub makes any representation or warranty, express or implied, at law or in equity, with respect to it or any of its assets, liabilities or operations, and any such other representations or warranties are hereby expressly disclaimed.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0" w:right="459" w:bottom="1440" w:gutter="0" w:footer="0" w:header="0"/>
        </w:sectPr>
      </w:pPr>
    </w:p>
    <w:bookmarkStart w:id="258" w:name="page259"/>
    <w:bookmarkEnd w:id="258"/>
    <w:p>
      <w:pPr>
        <w:ind w:left="4" w:right="200" w:firstLine="1428"/>
        <w:spacing w:after="0" w:line="296" w:lineRule="auto"/>
        <w:tabs>
          <w:tab w:leader="none" w:pos="1691"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 Parent, First Merger Sub and Second Merger Sub acknowledges and agrees that, except for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in any certificate delivered by the Company to Parent or the Merger Subs pursuant to this Agreement, none of the Company or any of their respective Representatives is relying on any other representation or warranty of the Company or any other Person made outside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such certificates, including regarding the accuracy or completeness of any such other representations or warranties or the omission of any material information, whether express or implied, in each case, with respect to the Contemplated Transactions.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4. ADDITIONAL AGREEMENTS OF THE PARTIES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Parent Stockholders’ Meeting</w:t>
      </w:r>
      <w:r>
        <w:rPr>
          <w:rFonts w:ascii="Arial" w:cs="Arial" w:eastAsia="Arial" w:hAnsi="Arial"/>
          <w:sz w:val="18"/>
          <w:szCs w:val="18"/>
          <w:color w:val="auto"/>
        </w:rPr>
        <w:t>.</w:t>
      </w:r>
    </w:p>
    <w:p>
      <w:pPr>
        <w:spacing w:after="0" w:line="229" w:lineRule="exact"/>
        <w:rPr>
          <w:sz w:val="20"/>
          <w:szCs w:val="20"/>
          <w:color w:val="auto"/>
        </w:rPr>
      </w:pPr>
    </w:p>
    <w:p>
      <w:pPr>
        <w:ind w:left="4" w:right="300" w:firstLine="1428"/>
        <w:spacing w:after="0" w:line="277" w:lineRule="auto"/>
        <w:tabs>
          <w:tab w:leader="none" w:pos="168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As promptly as practicable following the execution of this Agreement, Parent shall take all action necessary under applicable Law to call, give notice of and hold a meeting of the holders of Parent Common Stock for the purpose of seeking:</w:t>
      </w:r>
    </w:p>
    <w:p>
      <w:pPr>
        <w:spacing w:after="0" w:line="62" w:lineRule="exact"/>
        <w:rPr>
          <w:rFonts w:ascii="Arial" w:cs="Arial" w:eastAsia="Arial" w:hAnsi="Arial"/>
          <w:sz w:val="18"/>
          <w:szCs w:val="18"/>
          <w:color w:val="auto"/>
        </w:rPr>
      </w:pPr>
    </w:p>
    <w:p>
      <w:pPr>
        <w:ind w:left="2204" w:hanging="221"/>
        <w:spacing w:after="0"/>
        <w:tabs>
          <w:tab w:leader="none" w:pos="2204" w:val="left"/>
        </w:tabs>
        <w:numPr>
          <w:ilvl w:val="2"/>
          <w:numId w:val="166"/>
        </w:numPr>
        <w:rPr>
          <w:rFonts w:ascii="Arial" w:cs="Arial" w:eastAsia="Arial" w:hAnsi="Arial"/>
          <w:sz w:val="18"/>
          <w:szCs w:val="18"/>
          <w:color w:val="auto"/>
        </w:rPr>
      </w:pPr>
      <w:r>
        <w:rPr>
          <w:rFonts w:ascii="Arial" w:cs="Arial" w:eastAsia="Arial" w:hAnsi="Arial"/>
          <w:sz w:val="18"/>
          <w:szCs w:val="18"/>
          <w:color w:val="auto"/>
        </w:rPr>
        <w:t>approval of the Preferred Stock Conversion Proposal;</w:t>
      </w:r>
    </w:p>
    <w:p>
      <w:pPr>
        <w:spacing w:after="0" w:line="225" w:lineRule="exact"/>
        <w:rPr>
          <w:rFonts w:ascii="Arial" w:cs="Arial" w:eastAsia="Arial" w:hAnsi="Arial"/>
          <w:sz w:val="18"/>
          <w:szCs w:val="18"/>
          <w:color w:val="auto"/>
        </w:rPr>
      </w:pPr>
    </w:p>
    <w:p>
      <w:pPr>
        <w:ind w:left="4" w:right="100" w:firstLine="1979"/>
        <w:spacing w:after="0" w:line="257" w:lineRule="auto"/>
        <w:tabs>
          <w:tab w:leader="none" w:pos="2252"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if deemed necessary or appropriate by Parent or as otherwise required by applicable Law or Contract, to authorize the amendment of Parent’s certificate of incorporation to authorize sufficient Parent Common Stock in Parent’s certificate of incorporation for the conversion of the Parent Convertible Preferred Stock issued pursuant to this Agreement and/or to effectuate the Nasdaq Reverse Split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Amendment Proposal</w:t>
      </w:r>
      <w:r>
        <w:rPr>
          <w:rFonts w:ascii="Arial" w:cs="Arial" w:eastAsia="Arial" w:hAnsi="Arial"/>
          <w:sz w:val="18"/>
          <w:szCs w:val="18"/>
          <w:color w:val="auto"/>
        </w:rPr>
        <w:t>”) (the matters contemplated by the clauses 4.2(a)(i)–(iii) are referred to as the “</w:t>
      </w:r>
      <w:r>
        <w:rPr>
          <w:rFonts w:ascii="Arial" w:cs="Arial" w:eastAsia="Arial" w:hAnsi="Arial"/>
          <w:sz w:val="18"/>
          <w:szCs w:val="18"/>
          <w:b w:val="1"/>
          <w:bCs w:val="1"/>
          <w:i w:val="1"/>
          <w:iCs w:val="1"/>
          <w:color w:val="auto"/>
        </w:rPr>
        <w:t>Parent Stockholder Matters</w:t>
      </w:r>
      <w:r>
        <w:rPr>
          <w:rFonts w:ascii="Arial" w:cs="Arial" w:eastAsia="Arial" w:hAnsi="Arial"/>
          <w:sz w:val="18"/>
          <w:szCs w:val="18"/>
          <w:color w:val="auto"/>
        </w:rPr>
        <w:t>,” and such meeting,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Parent Stockholders’ Meeting</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 w:firstLine="1428"/>
        <w:spacing w:after="0" w:line="287" w:lineRule="auto"/>
        <w:tabs>
          <w:tab w:leader="none" w:pos="169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Parent agrees to use reasonable best efforts to call and hold the Parent Stockholders’ Meeting as soon as practicable after the date hereof. If the approval of the Parent Stockholder Matters is not obtained at the Parent Stockholders’ Meeting or if on a date preceding the Parent Stockholders’ Meeting, Parent reasonably believes that (i) it will not receive proxies sufficient to obtain the Required Parent Stockholder Vote, whether or not quorum would be present or (ii) it will not have sufficient shares of Parent Common Stock represented (whether in person or by proxy) to constitute a quorum necessary to conduct the business of the Parent Stockholders’ Meeting, then, in each case, Parent will use its reasonable best efforts to adjourn the Parent Stockholders’ Meeting one or more times to a date or dates no more than 30 days after the scheduled date for such meeting, and to obtain such approvals at such time. If the Parent Stockholders’ Meeting is not so adjourned, and/or if the approval of the Parent Stockholder Matters is not then obtained, Parent will use its reasonable best efforts to obtain such approvals as soon as practicable thereafter, and in any event to obtain such approvals at the next occurring annual meeting of the stockholders of Parent or, if such annual meeting is not scheduled to be held within six months after the Parent Stockholders’ Meeting, a special meeting of the stockholders of Parent to be held within six months after the Parent Stockholders’ Meeting. Parent will hold an annual meeting or special meeting of its stockholders, at which a vote of the stockholders of Parent to approve the Parent Stockholder Matters will be solicited and taken, at least once every six months until Parent obtains approval of the Parent Stockholder Matters.</w:t>
      </w:r>
    </w:p>
    <w:p>
      <w:pPr>
        <w:spacing w:after="0" w:line="167" w:lineRule="exact"/>
        <w:rPr>
          <w:rFonts w:ascii="Arial" w:cs="Arial" w:eastAsia="Arial" w:hAnsi="Arial"/>
          <w:sz w:val="16"/>
          <w:szCs w:val="16"/>
          <w:color w:val="auto"/>
        </w:rPr>
      </w:pPr>
    </w:p>
    <w:p>
      <w:pPr>
        <w:jc w:val="both"/>
        <w:ind w:left="4" w:right="240" w:firstLine="1428"/>
        <w:spacing w:after="0" w:line="291" w:lineRule="auto"/>
        <w:tabs>
          <w:tab w:leader="none" w:pos="168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Parent agrees that: (i) the Parent Board shall recommend that the holders of Parent Common Stock vote to approve the Parent Stockholder Matters and shall use its reasonable best efforts to solicit and obtain such approval within the time frames set forth in </w:t>
      </w:r>
      <w:r>
        <w:rPr>
          <w:rFonts w:ascii="Arial" w:cs="Arial" w:eastAsia="Arial" w:hAnsi="Arial"/>
          <w:sz w:val="16"/>
          <w:szCs w:val="16"/>
          <w:u w:val="single" w:color="auto"/>
          <w:color w:val="auto"/>
        </w:rPr>
        <w:t>Section 4.2(b)</w:t>
      </w:r>
      <w:r>
        <w:rPr>
          <w:rFonts w:ascii="Arial" w:cs="Arial" w:eastAsia="Arial" w:hAnsi="Arial"/>
          <w:sz w:val="16"/>
          <w:szCs w:val="16"/>
          <w:color w:val="auto"/>
        </w:rPr>
        <w:t>, and</w:t>
      </w:r>
    </w:p>
    <w:p>
      <w:pPr>
        <w:ind w:left="4" w:right="420" w:hanging="4"/>
        <w:spacing w:after="0" w:line="260" w:lineRule="auto"/>
        <w:tabs>
          <w:tab w:leader="none" w:pos="26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Proxy Statement shall include a statement to the effect that the Parent Board recommends that the Parent’s stockholders vote to approve the Parent Stockholder Matters.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4"/>
          </w:cols>
          <w:pgMar w:left="436" w:top="274" w:right="479" w:bottom="1440" w:gutter="0" w:footer="0" w:header="0"/>
        </w:sectPr>
      </w:pPr>
    </w:p>
    <w:bookmarkStart w:id="259" w:name="page260"/>
    <w:bookmarkEnd w:id="259"/>
    <w:p>
      <w:pPr>
        <w:ind w:left="4" w:right="140" w:firstLine="1428"/>
        <w:spacing w:after="0" w:line="308" w:lineRule="auto"/>
        <w:tabs>
          <w:tab w:leader="none" w:pos="1691"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Parent acknowledge that, under the Nasdaq Stock Market Rules, the Parent Common Stock Payment Shares and the Parent Preferred Stock Payment Shares will not be entitled to vote on the Preferred Stock Conversion Proposal.</w:t>
      </w:r>
    </w:p>
    <w:p>
      <w:pPr>
        <w:spacing w:after="0" w:line="14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Proxy Statement</w:t>
      </w:r>
      <w:r>
        <w:rPr>
          <w:rFonts w:ascii="Arial" w:cs="Arial" w:eastAsia="Arial" w:hAnsi="Arial"/>
          <w:sz w:val="18"/>
          <w:szCs w:val="18"/>
          <w:color w:val="auto"/>
        </w:rPr>
        <w:t>.</w:t>
      </w:r>
    </w:p>
    <w:p>
      <w:pPr>
        <w:spacing w:after="0" w:line="229" w:lineRule="exact"/>
        <w:rPr>
          <w:sz w:val="20"/>
          <w:szCs w:val="20"/>
          <w:color w:val="auto"/>
        </w:rPr>
      </w:pPr>
    </w:p>
    <w:p>
      <w:pPr>
        <w:ind w:left="4" w:right="200" w:firstLine="1428"/>
        <w:spacing w:after="0" w:line="301" w:lineRule="auto"/>
        <w:tabs>
          <w:tab w:leader="none" w:pos="1681"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As promptly as practicable after the Closing Date, Parent shall prepare and file with the SEC a proxy statement relating to the Parent Stockholders’ Meeting to be held in connection with the Parent Stockholder Matters (together with any amendments thereof or supplements thereto,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Parent shall use its commercially reasonable efforts to (i) cause the Proxy Statement to comply with applicable rules and regulations promulgated by the SEC and (ii) respond promptly to any comments or requests of the SEC or its staff related to the Proxy Statement.</w:t>
      </w:r>
    </w:p>
    <w:p>
      <w:pPr>
        <w:spacing w:after="0" w:line="157" w:lineRule="exact"/>
        <w:rPr>
          <w:rFonts w:ascii="Arial" w:cs="Arial" w:eastAsia="Arial" w:hAnsi="Arial"/>
          <w:sz w:val="16"/>
          <w:szCs w:val="16"/>
          <w:color w:val="auto"/>
        </w:rPr>
      </w:pPr>
    </w:p>
    <w:p>
      <w:pPr>
        <w:ind w:left="4" w:right="200" w:firstLine="1428"/>
        <w:spacing w:after="0" w:line="279" w:lineRule="auto"/>
        <w:tabs>
          <w:tab w:leader="none" w:pos="1691" w:val="left"/>
        </w:tabs>
        <w:numPr>
          <w:ilvl w:val="1"/>
          <w:numId w:val="169"/>
        </w:numPr>
        <w:rPr>
          <w:rFonts w:ascii="Arial" w:cs="Arial" w:eastAsia="Arial" w:hAnsi="Arial"/>
          <w:sz w:val="17"/>
          <w:szCs w:val="17"/>
          <w:color w:val="auto"/>
        </w:rPr>
      </w:pPr>
      <w:r>
        <w:rPr>
          <w:rFonts w:ascii="Arial" w:cs="Arial" w:eastAsia="Arial" w:hAnsi="Arial"/>
          <w:sz w:val="17"/>
          <w:szCs w:val="17"/>
          <w:color w:val="auto"/>
        </w:rPr>
        <w:t>Parent covenants and agrees that the Proxy Statement (and the letters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71" w:lineRule="exact"/>
        <w:rPr>
          <w:rFonts w:ascii="Arial" w:cs="Arial" w:eastAsia="Arial" w:hAnsi="Arial"/>
          <w:sz w:val="17"/>
          <w:szCs w:val="17"/>
          <w:color w:val="auto"/>
        </w:rPr>
      </w:pPr>
    </w:p>
    <w:p>
      <w:pPr>
        <w:ind w:left="4" w:right="80" w:firstLine="1428"/>
        <w:spacing w:after="0" w:line="285" w:lineRule="auto"/>
        <w:tabs>
          <w:tab w:leader="none" w:pos="1681" w:val="left"/>
        </w:tabs>
        <w:numPr>
          <w:ilvl w:val="1"/>
          <w:numId w:val="169"/>
        </w:numPr>
        <w:rPr>
          <w:rFonts w:ascii="Arial" w:cs="Arial" w:eastAsia="Arial" w:hAnsi="Arial"/>
          <w:sz w:val="16"/>
          <w:szCs w:val="16"/>
          <w:color w:val="auto"/>
        </w:rPr>
      </w:pPr>
      <w:r>
        <w:rPr>
          <w:rFonts w:ascii="Arial" w:cs="Arial" w:eastAsia="Arial" w:hAnsi="Arial"/>
          <w:sz w:val="16"/>
          <w:szCs w:val="16"/>
          <w:color w:val="auto"/>
        </w:rPr>
        <w:t>Parent shall use commercially reasonable efforts to cause the Proxy Statement to be mailed to Parent’s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Parent, First Merger Sub, Second Merger Sub or the Surviving Entity</w:t>
      </w:r>
    </w:p>
    <w:p>
      <w:pPr>
        <w:spacing w:after="0" w:line="1" w:lineRule="exact"/>
        <w:rPr>
          <w:rFonts w:ascii="Arial" w:cs="Arial" w:eastAsia="Arial" w:hAnsi="Arial"/>
          <w:sz w:val="16"/>
          <w:szCs w:val="16"/>
          <w:color w:val="auto"/>
        </w:rPr>
      </w:pPr>
    </w:p>
    <w:p>
      <w:pPr>
        <w:ind w:left="4" w:right="100" w:hanging="4"/>
        <w:spacing w:after="0" w:line="271" w:lineRule="auto"/>
        <w:tabs>
          <w:tab w:leader="none" w:pos="29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become aware of any event or information that, pursuant to the Securities Act or the Exchange Act, should be disclosed in an amendment or supplement to the Proxy Statement, (B) receives notice of any SEC request for an amendment or supplement to the Proxy Statement or for additional information related thereto, or (C) receives SEC comments on the Proxy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w:t>
      </w:r>
    </w:p>
    <w:p>
      <w:pPr>
        <w:spacing w:after="0" w:line="174"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Reservation of Parent Common Stock; Issuance of Shares of Parent Common Stock</w:t>
      </w:r>
      <w:r>
        <w:rPr>
          <w:rFonts w:ascii="Arial" w:cs="Arial" w:eastAsia="Arial" w:hAnsi="Arial"/>
          <w:sz w:val="17"/>
          <w:szCs w:val="17"/>
          <w:color w:val="auto"/>
        </w:rPr>
        <w:t>. For as long as any Parent Preferred Stock Payment Shares remain outstanding, Parent shall at all times reserve and keep available, free from preemptive rights, out of its authorized but unissued Parent Common Stock or shares of Parent Common Stock held in treasury by Parent, for the purpose of effecting the conversion of the Parent Preferred Stock Payment Shares, the full number of shares of Parent Common Stock then issuable upon the conversion of all Parent Preferred Stock Payment Shares then outstanding. All shares of Parent Common Stock delivered upon conversion of the Parent Preferred Stock Payment Shares shall be newly issued shares or shares held in treasury by Parent, shall have been duly authorized and validly issued and shall be fully paid and nonassessable, and shall be free from preemptive rights and free of any Encumbrance.</w:t>
      </w:r>
    </w:p>
    <w:p>
      <w:pPr>
        <w:spacing w:after="0" w:line="10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4"/>
          </w:cols>
          <w:pgMar w:left="436" w:top="274" w:right="479" w:bottom="1440" w:gutter="0" w:footer="0" w:header="0"/>
        </w:sectPr>
      </w:pPr>
    </w:p>
    <w:bookmarkStart w:id="260" w:name="page261"/>
    <w:bookmarkEnd w:id="26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w:t>
      </w:r>
    </w:p>
    <w:p>
      <w:pPr>
        <w:spacing w:after="0" w:line="229" w:lineRule="exact"/>
        <w:rPr>
          <w:sz w:val="20"/>
          <w:szCs w:val="20"/>
          <w:color w:val="auto"/>
        </w:rPr>
      </w:pPr>
    </w:p>
    <w:p>
      <w:pPr>
        <w:ind w:left="4" w:firstLine="1428"/>
        <w:spacing w:after="0" w:line="285" w:lineRule="auto"/>
        <w:tabs>
          <w:tab w:leader="none" w:pos="1681" w:val="left"/>
        </w:tabs>
        <w:numPr>
          <w:ilvl w:val="1"/>
          <w:numId w:val="171"/>
        </w:numPr>
        <w:rPr>
          <w:rFonts w:ascii="Arial" w:cs="Arial" w:eastAsia="Arial" w:hAnsi="Arial"/>
          <w:sz w:val="16"/>
          <w:szCs w:val="16"/>
          <w:color w:val="auto"/>
        </w:rPr>
      </w:pPr>
      <w:r>
        <w:rPr>
          <w:rFonts w:ascii="Arial" w:cs="Arial" w:eastAsia="Arial" w:hAnsi="Arial"/>
          <w:sz w:val="16"/>
          <w:szCs w:val="16"/>
          <w:color w:val="auto"/>
        </w:rPr>
        <w:t>For purposes of vesting, eligibility to participate, and level of benefits (other than for purposes of determining awards under an equity incentive plan or accrued benefits under any defined benefit pension plan) under the benefit plans, programs, Contracts or arrangements of Parent or any of its Subsidiaries (including, following the Closing, the Surviving Entity and its Subsidiaries) (the “</w:t>
      </w:r>
      <w:r>
        <w:rPr>
          <w:rFonts w:ascii="Arial" w:cs="Arial" w:eastAsia="Arial" w:hAnsi="Arial"/>
          <w:sz w:val="16"/>
          <w:szCs w:val="16"/>
          <w:b w:val="1"/>
          <w:bCs w:val="1"/>
          <w:i w:val="1"/>
          <w:iCs w:val="1"/>
          <w:color w:val="auto"/>
        </w:rPr>
        <w:t>Post-Closing Plans</w:t>
      </w:r>
      <w:r>
        <w:rPr>
          <w:rFonts w:ascii="Arial" w:cs="Arial" w:eastAsia="Arial" w:hAnsi="Arial"/>
          <w:sz w:val="16"/>
          <w:szCs w:val="16"/>
          <w:color w:val="auto"/>
        </w:rPr>
        <w:t>”), Parent shall use reasonable best efforts to cause each employee of the Company who remains employed by Parent or the Surviving Entity, or any of their respective Subsidiaries following the Closing, (together, the “</w:t>
      </w:r>
      <w:r>
        <w:rPr>
          <w:rFonts w:ascii="Arial" w:cs="Arial" w:eastAsia="Arial" w:hAnsi="Arial"/>
          <w:sz w:val="16"/>
          <w:szCs w:val="16"/>
          <w:b w:val="1"/>
          <w:bCs w:val="1"/>
          <w:i w:val="1"/>
          <w:iCs w:val="1"/>
          <w:color w:val="auto"/>
        </w:rPr>
        <w:t>Continuing Employees</w:t>
      </w:r>
      <w:r>
        <w:rPr>
          <w:rFonts w:ascii="Arial" w:cs="Arial" w:eastAsia="Arial" w:hAnsi="Arial"/>
          <w:sz w:val="16"/>
          <w:szCs w:val="16"/>
          <w:color w:val="auto"/>
        </w:rPr>
        <w:t xml:space="preserve">”) to be credited with his or her years of service with the Company or any of its predecessors;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that its application would result in a duplication of benefits. In addition, and without limiting the generality of the foregoing, for purposes of each Post-Closing Plan providing medical, dental, pharmaceutical and/or vision benefits to a Continuing Employee, Parent shall use reasonable best efforts to cause all pre-existing condition exclusions and actively-at-work requirements of such Post-Closing Plan to be waived for such Continuing Employee and his or her covered dependents to the extent and unless such conditions would have been waived or satisfied under the employee benefit plan whose coverage is being replaced under the Post-Closing Plan, and Parent shall use its best efforts to cause any eligible expenses incurred by a Continuing Employee and his or her covered dependents during the portion of such plan year in which coverage is replaced with coverage under a Post-Closing Plan to be taken into account under such Post-Closing Plan with respect to the plan year in which participation in such Post-Closing Plan begins for purposes of satisfying all deductible, coinsurance and maximum out-of-pocket requirements applicable to such Continuing Employee and his or her covered dependents for such plan year as if such amounts had been paid in accordance with such Post-Closing Plan. For employees of Parent who are not Continuing Employees and who are entitled to severance under their applicable employment agreements, Parent shall prepay for medical, dental, pharmaceutical and/or vision benefits for such employees, if the provider of such benefits is under an individual plan.</w:t>
      </w:r>
    </w:p>
    <w:p>
      <w:pPr>
        <w:spacing w:after="0" w:line="173" w:lineRule="exact"/>
        <w:rPr>
          <w:rFonts w:ascii="Arial" w:cs="Arial" w:eastAsia="Arial" w:hAnsi="Arial"/>
          <w:sz w:val="16"/>
          <w:szCs w:val="16"/>
          <w:color w:val="auto"/>
        </w:rPr>
      </w:pPr>
    </w:p>
    <w:p>
      <w:pPr>
        <w:ind w:left="4" w:right="60" w:firstLine="1428"/>
        <w:spacing w:after="0" w:line="279" w:lineRule="auto"/>
        <w:tabs>
          <w:tab w:leader="none" w:pos="1691" w:val="left"/>
        </w:tabs>
        <w:numPr>
          <w:ilvl w:val="1"/>
          <w:numId w:val="171"/>
        </w:numPr>
        <w:rPr>
          <w:rFonts w:ascii="Arial" w:cs="Arial" w:eastAsia="Arial" w:hAnsi="Arial"/>
          <w:sz w:val="17"/>
          <w:szCs w:val="17"/>
          <w:color w:val="auto"/>
        </w:rPr>
      </w:pPr>
      <w:r>
        <w:rPr>
          <w:rFonts w:ascii="Arial" w:cs="Arial" w:eastAsia="Arial" w:hAnsi="Arial"/>
          <w:sz w:val="17"/>
          <w:szCs w:val="17"/>
          <w:color w:val="auto"/>
        </w:rPr>
        <w:t>Parent shall, or shall cause one of its Affiliates to, (i) provide Continuing Employees with base salary or hourly wage rate, as applicable, that are no less than the base salary or hourly wage rate, as applicable, in effect as of immediately prior to the First Effective Time through December 31, 2023 and, (ii) at all times from the First Effective Time through December 31, 2023, honor all severance commitments of Parent in effect as of immediately prior to the First Effective Time that pertain to the Continuing Employees (the “</w:t>
      </w:r>
      <w:r>
        <w:rPr>
          <w:rFonts w:ascii="Arial" w:cs="Arial" w:eastAsia="Arial" w:hAnsi="Arial"/>
          <w:sz w:val="17"/>
          <w:szCs w:val="17"/>
          <w:b w:val="1"/>
          <w:bCs w:val="1"/>
          <w:i w:val="1"/>
          <w:iCs w:val="1"/>
          <w:color w:val="auto"/>
        </w:rPr>
        <w:t>Existing Severance Plan</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684" w:hanging="252"/>
        <w:spacing w:after="0"/>
        <w:tabs>
          <w:tab w:leader="none" w:pos="168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are for the sole benefit of Parent and the Company and no provision of this Agreement shall</w:t>
      </w:r>
    </w:p>
    <w:p>
      <w:pPr>
        <w:spacing w:after="0" w:line="46" w:lineRule="exact"/>
        <w:rPr>
          <w:rFonts w:ascii="Arial" w:cs="Arial" w:eastAsia="Arial" w:hAnsi="Arial"/>
          <w:sz w:val="16"/>
          <w:szCs w:val="16"/>
          <w:color w:val="auto"/>
        </w:rPr>
      </w:pPr>
    </w:p>
    <w:p>
      <w:pPr>
        <w:ind w:left="4" w:right="20" w:hanging="4"/>
        <w:spacing w:after="0" w:line="253" w:lineRule="auto"/>
        <w:tabs>
          <w:tab w:leader="none" w:pos="21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create any third-party beneficiary or other rights in any Person, including rights in respect of any benefits that may be provided, directly or indirectly, under any Company Benefit Plan, Parent Benefit Plan or Post-Closing Plan or rights to continued employment or service with the Company or the Parent (or any Subsidiary thereof), (ii) be construed as an amendment, waiver or creation of or limitation on the ability to terminate any Company Benefit Plan, Parent Benefit Plan or Post-Closing Plan, or (iii) limit the ability of the Parent to terminate the employment of any Continuing Employee or modify the at-will status of any Continuing Employees.</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Indemnification of Officers and Directors</w:t>
      </w:r>
      <w:r>
        <w:rPr>
          <w:rFonts w:ascii="Arial" w:cs="Arial" w:eastAsia="Arial" w:hAnsi="Arial"/>
          <w:sz w:val="18"/>
          <w:szCs w:val="18"/>
          <w:color w:val="auto"/>
        </w:rPr>
        <w:t>.</w:t>
      </w:r>
    </w:p>
    <w:p>
      <w:pPr>
        <w:spacing w:after="0" w:line="229" w:lineRule="exact"/>
        <w:rPr>
          <w:sz w:val="20"/>
          <w:szCs w:val="20"/>
          <w:color w:val="auto"/>
        </w:rPr>
      </w:pPr>
    </w:p>
    <w:p>
      <w:pPr>
        <w:ind w:left="4" w:firstLine="1428"/>
        <w:spacing w:after="0" w:line="273" w:lineRule="auto"/>
        <w:tabs>
          <w:tab w:leader="none" w:pos="168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or any of their respective Subsidiaries, respectively (the “</w:t>
      </w:r>
      <w:r>
        <w:rPr>
          <w:rFonts w:ascii="Arial" w:cs="Arial" w:eastAsia="Arial" w:hAnsi="Arial"/>
          <w:sz w:val="17"/>
          <w:szCs w:val="17"/>
          <w:b w:val="1"/>
          <w:bCs w:val="1"/>
          <w:i w:val="1"/>
          <w:iCs w:val="1"/>
          <w:color w:val="auto"/>
        </w:rPr>
        <w:t>D&amp;O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Indemnified Parties</w:t>
      </w:r>
      <w:r>
        <w:rPr>
          <w:rFonts w:ascii="Arial" w:cs="Arial" w:eastAsia="Arial" w:hAnsi="Arial"/>
          <w:sz w:val="17"/>
          <w:szCs w:val="17"/>
          <w:color w:val="auto"/>
        </w:rPr>
        <w:t>”), against all claims, losses, liabilities, damages, judgments, fines and reasonable fees, costs and expenses, including attorneys’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disbursements, incurred in connection with any claim, action, suit, proceeding or investigation, whether civil, criminal, administrative or investigative, arising out of or pertaining to the fact that the D&amp;O Indemnified Party is or</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4"/>
          </w:cols>
          <w:pgMar w:left="436" w:top="270" w:right="479" w:bottom="1440" w:gutter="0" w:footer="0" w:header="0"/>
        </w:sectPr>
      </w:pPr>
    </w:p>
    <w:bookmarkStart w:id="261" w:name="page262"/>
    <w:bookmarkEnd w:id="26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was a director or officer of Parent or of the Company, or any Subsidiary thereof, asserted or claimed prior to the First Effective Time, in each case, to the fullest extent permitted under applicable Law. Except in the case of fraud,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person to whom expenses are advanced provides an undertaking to Parent, to the extent then required by the DGCL or DLLCA, as applicable, to repay such advances if it is ultimately determined that such person is not entitled to indemnification.</w:t>
      </w:r>
    </w:p>
    <w:p>
      <w:pPr>
        <w:spacing w:after="0" w:line="192" w:lineRule="exact"/>
        <w:rPr>
          <w:sz w:val="20"/>
          <w:szCs w:val="20"/>
          <w:color w:val="auto"/>
        </w:rPr>
      </w:pPr>
    </w:p>
    <w:p>
      <w:pPr>
        <w:ind w:right="40" w:firstLine="1428"/>
        <w:spacing w:after="0" w:line="271" w:lineRule="auto"/>
        <w:tabs>
          <w:tab w:leader="none" w:pos="168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years from the First Effective Time in a manner that would adversely affect the rights thereunder of individuals who, at or prior to the First Effective Time, were officers or directors of Parent, unless such modification is required by applicable Law. The certificate of formation and limited liability company agreement of the Surviving Entity shall contain, and Parent shall cause the certificate of formation and limited liability company agreement of the Surviving Entity to so contain, provisions no less favorable with respect to indemnification, advancement of expenses and exculpation of present and former directors and officers as those presently set forth in the certificate of incorporation and bylaws of Parent.</w:t>
      </w:r>
    </w:p>
    <w:p>
      <w:pPr>
        <w:spacing w:after="0" w:line="178" w:lineRule="exact"/>
        <w:rPr>
          <w:rFonts w:ascii="Arial" w:cs="Arial" w:eastAsia="Arial" w:hAnsi="Arial"/>
          <w:sz w:val="17"/>
          <w:szCs w:val="17"/>
          <w:color w:val="auto"/>
        </w:rPr>
      </w:pPr>
    </w:p>
    <w:p>
      <w:pPr>
        <w:ind w:right="140" w:firstLine="1428"/>
        <w:spacing w:after="0" w:line="254" w:lineRule="auto"/>
        <w:tabs>
          <w:tab w:leader="none" w:pos="16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spacing w:after="0" w:line="194" w:lineRule="exact"/>
        <w:rPr>
          <w:rFonts w:ascii="Arial" w:cs="Arial" w:eastAsia="Arial" w:hAnsi="Arial"/>
          <w:sz w:val="18"/>
          <w:szCs w:val="18"/>
          <w:color w:val="auto"/>
        </w:rPr>
      </w:pPr>
    </w:p>
    <w:p>
      <w:pPr>
        <w:ind w:right="140" w:firstLine="1428"/>
        <w:spacing w:after="0" w:line="257" w:lineRule="auto"/>
        <w:tabs>
          <w:tab w:leader="none" w:pos="16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From and after the First Effective Time, Parent shall continue to maintain directors’ and officers’ liability insurance policies, with an effective date as of the Closing Date, on commercially available terms and conditions and with coverage limits customary for U.S. public companies similarly situated to Parent. From and after the First Effective Time, Parent shall pay all expenses, including reasonable attorneys’ fees, that are incurred by the persons referred to in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in connection with their successful enforcement of the rights provided to such persons in this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560" w:firstLine="1428"/>
        <w:spacing w:after="0" w:line="263" w:lineRule="auto"/>
        <w:tabs>
          <w:tab w:leader="none" w:pos="167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183" w:lineRule="exact"/>
        <w:rPr>
          <w:rFonts w:ascii="Arial" w:cs="Arial" w:eastAsia="Arial" w:hAnsi="Arial"/>
          <w:sz w:val="18"/>
          <w:szCs w:val="18"/>
          <w:color w:val="auto"/>
        </w:rPr>
      </w:pPr>
    </w:p>
    <w:p>
      <w:pPr>
        <w:ind w:firstLine="1428"/>
        <w:spacing w:after="0" w:line="257" w:lineRule="auto"/>
        <w:tabs>
          <w:tab w:leader="none" w:pos="165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Parent shall cause the Surviving Entity to perform all of the obligations of the Surviving Entity under this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62" w:name="page263"/>
    <w:bookmarkEnd w:id="262"/>
    <w:p>
      <w:pPr>
        <w:ind w:left="4" w:right="34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4.6 </w:t>
      </w:r>
      <w:r>
        <w:rPr>
          <w:rFonts w:ascii="Arial" w:cs="Arial" w:eastAsia="Arial" w:hAnsi="Arial"/>
          <w:sz w:val="16"/>
          <w:szCs w:val="16"/>
          <w:b w:val="1"/>
          <w:bCs w:val="1"/>
          <w:u w:val="single" w:color="auto"/>
          <w:color w:val="auto"/>
        </w:rPr>
        <w:t>Additional Agreements</w:t>
      </w:r>
      <w:r>
        <w:rPr>
          <w:rFonts w:ascii="Arial" w:cs="Arial" w:eastAsia="Arial" w:hAnsi="Arial"/>
          <w:sz w:val="16"/>
          <w:szCs w:val="16"/>
          <w:color w:val="auto"/>
        </w:rPr>
        <w:t>. The Parties shall use reasonable best efforts to cause to be taken all actions necessary to consummate the Contemplated Transactions. Without limiting the generality of the foregoing, each Party to this Agreement: (a) shall make all filings and other submissions (if any) and give all notices (if any) required to be made and given by such Party in connection with the Contemplated Transactions;</w:t>
      </w:r>
    </w:p>
    <w:p>
      <w:pPr>
        <w:spacing w:after="0" w:line="2" w:lineRule="exact"/>
        <w:rPr>
          <w:sz w:val="20"/>
          <w:szCs w:val="20"/>
          <w:color w:val="auto"/>
        </w:rPr>
      </w:pPr>
    </w:p>
    <w:p>
      <w:pPr>
        <w:ind w:left="4" w:right="200" w:hanging="4"/>
        <w:spacing w:after="0" w:line="253" w:lineRule="auto"/>
        <w:tabs>
          <w:tab w:leader="none" w:pos="25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shall use reasonable best efforts to obtain each Consent (if any) reasonably required to be obtained (pursuant to any applicable Law or Contract, or otherwise) by such Party in connection with the Contemplated Transactions or for such Contract to remain in full force and effect; (c) shall use reasonable best efforts to lift any injunction prohibiting, or any other legal bar to, the Contemplated Transactions; and (d) shall use reasonable best efforts to satisfy the conditions precedent to the consummation of this Agreement.</w:t>
      </w:r>
    </w:p>
    <w:p>
      <w:pPr>
        <w:spacing w:after="0" w:line="189"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u w:val="single" w:color="auto"/>
          <w:color w:val="auto"/>
        </w:rPr>
        <w:t>Listing</w:t>
      </w:r>
      <w:r>
        <w:rPr>
          <w:rFonts w:ascii="Arial" w:cs="Arial" w:eastAsia="Arial" w:hAnsi="Arial"/>
          <w:sz w:val="16"/>
          <w:szCs w:val="16"/>
          <w:color w:val="auto"/>
        </w:rPr>
        <w:t>. Parent shall use its reasonable best efforts to (a) maintain its existing listing on Nasdaq; (b) prepare and submit to Nasdaq a notification form for the listing of the shares of Parent Common Stock Payment Shares and the Parent Common Stock to be issued upon conversion of the Parent Preferred Stock Payment Shares to be issued in connection with the Contemplated Transactions, to cause such shares to be approved for listing (subject to official notice of issuance); (c) effect the Nasdaq Reverse Split and (d) to the extent required by Nasdaq rules and regulations, file an initial listing application for the Parent Common Stock on Nasdaq (the “</w:t>
      </w:r>
      <w:r>
        <w:rPr>
          <w:rFonts w:ascii="Arial" w:cs="Arial" w:eastAsia="Arial" w:hAnsi="Arial"/>
          <w:sz w:val="16"/>
          <w:szCs w:val="16"/>
          <w:b w:val="1"/>
          <w:bCs w:val="1"/>
          <w:i w:val="1"/>
          <w:iCs w:val="1"/>
          <w:color w:val="auto"/>
        </w:rPr>
        <w:t>Nasdaq Listing Application</w:t>
      </w:r>
      <w:r>
        <w:rPr>
          <w:rFonts w:ascii="Arial" w:cs="Arial" w:eastAsia="Arial" w:hAnsi="Arial"/>
          <w:sz w:val="16"/>
          <w:szCs w:val="16"/>
          <w:color w:val="auto"/>
        </w:rPr>
        <w:t>”), which Nasdaq Listing Application shall be prepared in cooperation with the Company, and to cause such Nasdaq Listing Application to be conditionally approved prior to the First Effective Time. The Parties will use reasonable best efforts to coordinate with respect to compliance with Nasdaq rules and regulations. Each Party will promptly inform the other Party of all verbal or written communications between Nasdaq and such Party or its representatives.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Section 4.8.</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 For U.S. federal income Tax purposes, (i) the Parties intend that the First Merger and the Second Merger, taken together,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constitute an integrated transaction described in Rev. Rul. 2001-46, 2001-2 C.B. 321 that qualifies as a “reorganization” within the meaning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368(a) of the Code and the Treasury Regulations promulgated thereunder (the “</w:t>
      </w:r>
      <w:r>
        <w:rPr>
          <w:rFonts w:ascii="Arial" w:cs="Arial" w:eastAsia="Arial" w:hAnsi="Arial"/>
          <w:sz w:val="16"/>
          <w:szCs w:val="16"/>
          <w:b w:val="1"/>
          <w:bCs w:val="1"/>
          <w:i w:val="1"/>
          <w:iCs w:val="1"/>
          <w:color w:val="auto"/>
        </w:rPr>
        <w:t>Intended Tax Treatment</w:t>
      </w:r>
      <w:r>
        <w:rPr>
          <w:rFonts w:ascii="Arial" w:cs="Arial" w:eastAsia="Arial" w:hAnsi="Arial"/>
          <w:sz w:val="16"/>
          <w:szCs w:val="16"/>
          <w:color w:val="auto"/>
        </w:rPr>
        <w:t>”), and (ii) this Agreement is intended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be, and is hereby adopted as, a “plan of reorganization” for purposes of Sections 354 and 361 of the Code and Treasury Regulations Sections 1.368-2(g)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1.368-3(a), to which the Parent, Merger Subs and the Company are parties under Section 368(b) of the Code. The Parties shall treat and shall not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take any tax reporting position (including during the course of any audit, litigation or other proceeding with respect to Taxes) inconsistent with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treatment of the Merger as a reorganization within the meaning of Section 368(a) of the Code for U.S. federal, state and other relevant Tax purposes,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unless otherwise required pursuant to a “determination” within the meaning of Section 1313(a) of the Code. The Parties shall (and shall cause their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Affiliates to) will not take any action or cause any action to be taken, or fail to take or cause to be taken any action, which action or failure to act would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reasonably be expected to prevent the Merger from qualifying, for the Intended Tax Treatment.</w:t>
      </w:r>
    </w:p>
    <w:p>
      <w:pPr>
        <w:spacing w:after="0" w:line="207" w:lineRule="exact"/>
        <w:rPr>
          <w:sz w:val="20"/>
          <w:szCs w:val="20"/>
          <w:color w:val="auto"/>
        </w:rPr>
      </w:pPr>
    </w:p>
    <w:p>
      <w:pPr>
        <w:ind w:left="4" w:right="60" w:firstLine="991"/>
        <w:spacing w:after="0" w:line="25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xml:space="preserve">. Parent shall be entitled to place appropriate legends, including the legend noted in </w:t>
      </w:r>
      <w:r>
        <w:rPr>
          <w:rFonts w:ascii="Arial" w:cs="Arial" w:eastAsia="Arial" w:hAnsi="Arial"/>
          <w:sz w:val="18"/>
          <w:szCs w:val="18"/>
          <w:u w:val="single" w:color="auto"/>
          <w:color w:val="auto"/>
        </w:rPr>
        <w:t>Section 4.18</w:t>
      </w:r>
      <w:r>
        <w:rPr>
          <w:rFonts w:ascii="Arial" w:cs="Arial" w:eastAsia="Arial" w:hAnsi="Arial"/>
          <w:sz w:val="18"/>
          <w:szCs w:val="18"/>
          <w:color w:val="auto"/>
        </w:rPr>
        <w:t>, on the book entries and/or certificates evidencing any shares of Parent Common Stock or Parent Convertible Preferred Stock to be received in the Merger by equity 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 and Parent Convertible Preferred Stock.</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0" w:right="459" w:bottom="1440" w:gutter="0" w:footer="0" w:header="0"/>
        </w:sectPr>
      </w:pPr>
    </w:p>
    <w:bookmarkStart w:id="263" w:name="page264"/>
    <w:bookmarkEnd w:id="263"/>
    <w:p>
      <w:pPr>
        <w:ind w:firstLine="991"/>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4.10 </w:t>
      </w:r>
      <w:r>
        <w:rPr>
          <w:rFonts w:ascii="Arial" w:cs="Arial" w:eastAsia="Arial" w:hAnsi="Arial"/>
          <w:sz w:val="16"/>
          <w:szCs w:val="16"/>
          <w:b w:val="1"/>
          <w:bCs w:val="1"/>
          <w:u w:val="single" w:color="auto"/>
          <w:color w:val="auto"/>
        </w:rPr>
        <w:t>Directors and Officers</w:t>
      </w:r>
      <w:r>
        <w:rPr>
          <w:rFonts w:ascii="Arial" w:cs="Arial" w:eastAsia="Arial" w:hAnsi="Arial"/>
          <w:sz w:val="16"/>
          <w:szCs w:val="16"/>
          <w:color w:val="auto"/>
        </w:rPr>
        <w:t>. The Parties shall take all necessary action so that immediately after the Second Effective Time, (a) the Parent Board is comprised of six members, with four such members designated by Parent (one of whom shall be an independent board member acceptable to the Company, such acceptance not to be unreasonably withheld), and two such members designated by the Company and set forth on Section 4.11(a) of the Parent Disclosure Schedule and (b) the Persons set forth on Section 4.11(b) of the Parent Disclosure Schedule under the heading “Officers” are elected or appointed, as applicable, to the positions of officers of Parent and the Surviving Entity, as set forth therein, to serve in such positions effective as of the Second Effective Time until successors are duly appointed and qualified in accordance with applicable Law.</w:t>
      </w:r>
    </w:p>
    <w:p>
      <w:pPr>
        <w:spacing w:after="0" w:line="160" w:lineRule="exact"/>
        <w:rPr>
          <w:sz w:val="20"/>
          <w:szCs w:val="20"/>
          <w:color w:val="auto"/>
        </w:rPr>
      </w:pPr>
    </w:p>
    <w:p>
      <w:pPr>
        <w:ind w:right="220" w:firstLine="991"/>
        <w:spacing w:after="0" w:line="258"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Section 16 Matters</w:t>
      </w:r>
      <w:r>
        <w:rPr>
          <w:rFonts w:ascii="Arial" w:cs="Arial" w:eastAsia="Arial" w:hAnsi="Arial"/>
          <w:sz w:val="18"/>
          <w:szCs w:val="18"/>
          <w:color w:val="auto"/>
        </w:rPr>
        <w:t>. Prior to the First Effective Time, Parent and the Company shall take all such steps as may be required (to the extent permitted under applicable Laws) to cause any acquisitions of Parent Common Stock, restricted stock awards to acquire Parent Common Stock and any Parent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spacing w:after="0" w:line="183" w:lineRule="exact"/>
        <w:rPr>
          <w:sz w:val="20"/>
          <w:szCs w:val="20"/>
          <w:color w:val="auto"/>
        </w:rPr>
      </w:pPr>
    </w:p>
    <w:p>
      <w:pPr>
        <w:ind w:right="300" w:firstLine="991"/>
        <w:spacing w:after="0" w:line="26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First Effective Time.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u w:val="single" w:color="auto"/>
          <w:color w:val="auto"/>
        </w:rPr>
        <w:t>Closing Certificates</w:t>
      </w:r>
      <w:r>
        <w:rPr>
          <w:rFonts w:ascii="Arial" w:cs="Arial" w:eastAsia="Arial" w:hAnsi="Arial"/>
          <w:sz w:val="18"/>
          <w:szCs w:val="18"/>
          <w:color w:val="auto"/>
        </w:rPr>
        <w:t>.</w:t>
      </w:r>
    </w:p>
    <w:p>
      <w:pPr>
        <w:spacing w:after="0" w:line="229" w:lineRule="exact"/>
        <w:rPr>
          <w:sz w:val="20"/>
          <w:szCs w:val="20"/>
          <w:color w:val="auto"/>
        </w:rPr>
      </w:pPr>
    </w:p>
    <w:p>
      <w:pPr>
        <w:ind w:right="60" w:firstLine="1428"/>
        <w:spacing w:after="0" w:line="291" w:lineRule="auto"/>
        <w:tabs>
          <w:tab w:leader="none" w:pos="167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Company will prepare and deliver to Parent prior to the Closing a certificate signed by the President of the Company in a form reasonably acceptable to Parent setting forth, as of immediately prior to the First Effective Time (i) each holder of Company Common Stock, Company Preferred Stock and Company Options, (ii) such holder’s name and address, (iii) the number and type of Company Common Stock held and/or underlying the Company Options as of immediately prior to the First Effective Time for each such holder, and the number and type of Company Preferred Stock held, and (v) the number of shares of Parent Common Stock and/or Parent Convertible Preferred Stock to be issued to such holder, or to underlie any Parent Option to be issued to such holder, pursuant to this Agreement in respect of the Company Capital Stock, Company Preferred Stock or Company Options held by such holder as of immediately prior to the First Effective Time (the “</w:t>
      </w:r>
      <w:r>
        <w:rPr>
          <w:rFonts w:ascii="Arial" w:cs="Arial" w:eastAsia="Arial" w:hAnsi="Arial"/>
          <w:sz w:val="16"/>
          <w:szCs w:val="16"/>
          <w:b w:val="1"/>
          <w:bCs w:val="1"/>
          <w:i w:val="1"/>
          <w:iCs w:val="1"/>
          <w:color w:val="auto"/>
        </w:rPr>
        <w:t>Allocation Certificate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1428"/>
        <w:spacing w:after="0" w:line="257" w:lineRule="auto"/>
        <w:tabs>
          <w:tab w:leader="none" w:pos="168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Parent will prepare and deliver to the Company prior to the Closing a certificate signed by the Chief Financial Officer of Parent in a form reasonably acceptable to the Company, setting forth, as of immediately prior to the Reference Date (A) the number of Parent Common Stock outstanding and (B) (i) each record holder of Parent Common Stock, Parent Options or Parent RSUs, (ii) such record holder’s name and address, (iii) the number of shares of Parent Common Stock underlying the Parent Options or Parent RSUs as of the First Effective Time for such holder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Outstanding Shares Certificate</w:t>
      </w:r>
      <w:r>
        <w:rPr>
          <w:rFonts w:ascii="Arial" w:cs="Arial" w:eastAsia="Arial" w:hAnsi="Arial"/>
          <w:sz w:val="18"/>
          <w:szCs w:val="18"/>
          <w:color w:val="auto"/>
        </w:rPr>
        <w:t>”).</w:t>
      </w:r>
    </w:p>
    <w:p>
      <w:pPr>
        <w:spacing w:after="0" w:line="184" w:lineRule="exact"/>
        <w:rPr>
          <w:sz w:val="20"/>
          <w:szCs w:val="20"/>
          <w:color w:val="auto"/>
        </w:rPr>
      </w:pPr>
    </w:p>
    <w:p>
      <w:pPr>
        <w:jc w:val="both"/>
        <w:ind w:right="20" w:firstLine="991"/>
        <w:spacing w:after="0" w:line="261"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b w:val="1"/>
          <w:bCs w:val="1"/>
          <w:u w:val="single" w:color="auto"/>
          <w:color w:val="auto"/>
        </w:rPr>
        <w:t>Takeover Statutes</w:t>
      </w:r>
      <w:r>
        <w:rPr>
          <w:rFonts w:ascii="Arial" w:cs="Arial" w:eastAsia="Arial" w:hAnsi="Arial"/>
          <w:sz w:val="18"/>
          <w:szCs w:val="18"/>
          <w:color w:val="auto"/>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0" w:right="459" w:bottom="1440" w:gutter="0" w:footer="0" w:header="0"/>
        </w:sectPr>
      </w:pPr>
    </w:p>
    <w:bookmarkStart w:id="264" w:name="page265"/>
    <w:bookmarkEnd w:id="264"/>
    <w:p>
      <w:pPr>
        <w:ind w:right="46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4.15 </w:t>
      </w:r>
      <w:r>
        <w:rPr>
          <w:rFonts w:ascii="Arial" w:cs="Arial" w:eastAsia="Arial" w:hAnsi="Arial"/>
          <w:sz w:val="18"/>
          <w:szCs w:val="18"/>
          <w:b w:val="1"/>
          <w:bCs w:val="1"/>
          <w:u w:val="single" w:color="auto"/>
          <w:color w:val="auto"/>
        </w:rPr>
        <w:t>Obligations of Merger Subs</w:t>
      </w:r>
      <w:r>
        <w:rPr>
          <w:rFonts w:ascii="Arial" w:cs="Arial" w:eastAsia="Arial" w:hAnsi="Arial"/>
          <w:sz w:val="18"/>
          <w:szCs w:val="18"/>
          <w:color w:val="auto"/>
        </w:rPr>
        <w:t>. Parent will take all action necessary to cause Merger Subs to perform their obligations under this Agreement and to consummate the Merger on the terms and conditions set forth in this Agreement.</w:t>
      </w:r>
    </w:p>
    <w:p>
      <w:pPr>
        <w:spacing w:after="0" w:line="162"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b w:val="1"/>
          <w:bCs w:val="1"/>
          <w:u w:val="single" w:color="auto"/>
          <w:color w:val="auto"/>
        </w:rPr>
        <w:t>Private Placement</w:t>
      </w:r>
      <w:r>
        <w:rPr>
          <w:rFonts w:ascii="Arial" w:cs="Arial" w:eastAsia="Arial" w:hAnsi="Arial"/>
          <w:sz w:val="17"/>
          <w:szCs w:val="17"/>
          <w:color w:val="auto"/>
        </w:rPr>
        <w:t>. Each of the Company and Parent shall take all reasonably necessary action on its part such that the issuance of Parent Common Stock Payment Shares and Parent Preferred Stock Payment Shares pursuant to this Agreement constitutes a transaction exempt from registration under the Securities Act in compliance with Rule 506 of Regulation D promulgated thereunder. Each certificate representing Parent Common Stock Payment Shares and the Parent Preferred Stock Payment Shares comprising Merger Consideration shall, until such time that such shares are not so restricted under the Securities Act, bear a legend identical or similar in effect to the following legend (together with any other legend or legends required by applicable state securities applicable Law or otherwise, if any):</w:t>
      </w:r>
    </w:p>
    <w:p>
      <w:pPr>
        <w:spacing w:after="0" w:line="69" w:lineRule="exact"/>
        <w:rPr>
          <w:sz w:val="20"/>
          <w:szCs w:val="20"/>
          <w:color w:val="auto"/>
        </w:rPr>
      </w:pPr>
    </w:p>
    <w:p>
      <w:pPr>
        <w:ind w:left="980" w:right="240"/>
        <w:spacing w:after="0" w:line="259"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MAY NOT BE OFFERED, SOLD OR OTHERWISE TRANSFERRED, ASSIGNED, PLEDGED OR HYPOTHECATED UNLESS REGISTERED UNDER THE ACT OR UNLESS AN EXEMPTION FROM THE REGISTRATION REQUIREMENTS OF THE ACT IS AVAILABLE.”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CONDITIONS PRECEDENT TO OBLIGATIONS OF EACH PARTY</w:t>
      </w:r>
    </w:p>
    <w:p>
      <w:pPr>
        <w:spacing w:after="0" w:line="229"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Date, of each of the following conditions:</w:t>
      </w:r>
    </w:p>
    <w:p>
      <w:pPr>
        <w:spacing w:after="0" w:line="72" w:lineRule="exact"/>
        <w:rPr>
          <w:sz w:val="20"/>
          <w:szCs w:val="20"/>
          <w:color w:val="auto"/>
        </w:rPr>
      </w:pPr>
    </w:p>
    <w:p>
      <w:pPr>
        <w:ind w:right="20" w:firstLine="991"/>
        <w:spacing w:after="0" w:line="31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No Restraints</w:t>
      </w:r>
      <w:r>
        <w:rPr>
          <w:rFonts w:ascii="Arial" w:cs="Arial" w:eastAsia="Arial" w:hAnsi="Arial"/>
          <w:sz w:val="16"/>
          <w:szCs w:val="16"/>
          <w:color w:val="auto"/>
        </w:rPr>
        <w:t>.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Certificate of Designation</w:t>
      </w:r>
      <w:r>
        <w:rPr>
          <w:rFonts w:ascii="Arial" w:cs="Arial" w:eastAsia="Arial" w:hAnsi="Arial"/>
          <w:sz w:val="16"/>
          <w:szCs w:val="16"/>
          <w:color w:val="auto"/>
        </w:rPr>
        <w:t>. Parent shall have filed the Certificate of Designation with the Secretary of State of the State of Delaware.</w:t>
      </w:r>
    </w:p>
    <w:p>
      <w:pPr>
        <w:spacing w:after="0" w:line="248" w:lineRule="exact"/>
        <w:rPr>
          <w:sz w:val="20"/>
          <w:szCs w:val="20"/>
          <w:color w:val="auto"/>
        </w:rPr>
      </w:pPr>
    </w:p>
    <w:p>
      <w:pPr>
        <w:jc w:val="both"/>
        <w:ind w:right="60" w:firstLine="991"/>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Parent Financing</w:t>
      </w:r>
      <w:r>
        <w:rPr>
          <w:rFonts w:ascii="Arial" w:cs="Arial" w:eastAsia="Arial" w:hAnsi="Arial"/>
          <w:sz w:val="18"/>
          <w:szCs w:val="18"/>
          <w:color w:val="auto"/>
        </w:rPr>
        <w:t>. The Securities Purchase Agreement shall be in full force and effect and cash proceeds not less than the Concurrent Investment Amount shall have been received by Parent, or will be received by Parent substantially simultaneously with the Closing, in connection with the consummation of the transactions contemplated by the Securities Purchase Agreement.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0" w:right="479" w:bottom="1440" w:gutter="0" w:footer="0" w:header="0"/>
        </w:sectPr>
      </w:pPr>
    </w:p>
    <w:bookmarkStart w:id="265" w:name="page266"/>
    <w:bookmarkEnd w:id="26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CLOSING DELIVERIES OF THE COMPANY</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Documents</w:t>
      </w:r>
      <w:r>
        <w:rPr>
          <w:rFonts w:ascii="Arial" w:cs="Arial" w:eastAsia="Arial" w:hAnsi="Arial"/>
          <w:sz w:val="18"/>
          <w:szCs w:val="18"/>
          <w:color w:val="auto"/>
        </w:rPr>
        <w:t>. Parent shall have received the following documents, each of which shall be in full force and effect:</w:t>
      </w:r>
    </w:p>
    <w:p>
      <w:pPr>
        <w:spacing w:after="0" w:line="121" w:lineRule="exact"/>
        <w:rPr>
          <w:sz w:val="20"/>
          <w:szCs w:val="20"/>
          <w:color w:val="auto"/>
        </w:rPr>
      </w:pPr>
    </w:p>
    <w:p>
      <w:pPr>
        <w:ind w:right="220" w:firstLine="1428"/>
        <w:spacing w:after="0" w:line="277" w:lineRule="auto"/>
        <w:tabs>
          <w:tab w:leader="none" w:pos="167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 written resignation, in a form reasonably satisfactory to Parent, dated as of the Closing Date and effective as of the Closing, executed by each of the directors of the Company listed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of the Company Disclosure Schedule; and</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Allocation Certificate.</w:t>
      </w:r>
    </w:p>
    <w:p>
      <w:pPr>
        <w:spacing w:after="0" w:line="221" w:lineRule="exact"/>
        <w:rPr>
          <w:sz w:val="20"/>
          <w:szCs w:val="20"/>
          <w:color w:val="auto"/>
        </w:rPr>
      </w:pPr>
    </w:p>
    <w:p>
      <w:pPr>
        <w:ind w:right="40" w:firstLine="991"/>
        <w:spacing w:after="0" w:line="29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FIRPTA Certificate</w:t>
      </w:r>
      <w:r>
        <w:rPr>
          <w:rFonts w:ascii="Arial" w:cs="Arial" w:eastAsia="Arial" w:hAnsi="Arial"/>
          <w:sz w:val="16"/>
          <w:szCs w:val="16"/>
          <w:color w:val="auto"/>
        </w:rPr>
        <w:t xml:space="preserve">. Parent shall have received (i) 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 1.1445-2(c)(3) and 1.897-2(h), and (ii) an original signed notice to be delivered to the IRS in accordance with the provisions of Treasury Regulations 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Parent’s sole remedy for the Company’s failure to deliver such documentation shall be to withhold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w:t>
      </w:r>
    </w:p>
    <w:p>
      <w:pPr>
        <w:spacing w:after="0" w:line="161" w:lineRule="exact"/>
        <w:rPr>
          <w:sz w:val="20"/>
          <w:szCs w:val="20"/>
          <w:color w:val="auto"/>
        </w:rPr>
      </w:pPr>
    </w:p>
    <w:p>
      <w:pPr>
        <w:ind w:right="520" w:firstLine="991"/>
        <w:spacing w:after="0" w:line="28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Company Lock-Up Agreements</w:t>
      </w:r>
      <w:r>
        <w:rPr>
          <w:rFonts w:ascii="Arial" w:cs="Arial" w:eastAsia="Arial" w:hAnsi="Arial"/>
          <w:sz w:val="18"/>
          <w:szCs w:val="18"/>
          <w:color w:val="auto"/>
        </w:rPr>
        <w:t>. Parent shall have received the Lock-Up Agreements duly executed by each of the Company Signatories, each of which shall be in full force and effect.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 CLOSING DELIVERIES OF PARENT</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Documents</w:t>
      </w:r>
      <w:r>
        <w:rPr>
          <w:rFonts w:ascii="Arial" w:cs="Arial" w:eastAsia="Arial" w:hAnsi="Arial"/>
          <w:sz w:val="18"/>
          <w:szCs w:val="18"/>
          <w:color w:val="auto"/>
        </w:rPr>
        <w:t>. The Company shall have received the following documents, each of which shall be in full force and effect:</w:t>
      </w:r>
    </w:p>
    <w:p>
      <w:pPr>
        <w:spacing w:after="0" w:line="229" w:lineRule="exact"/>
        <w:rPr>
          <w:sz w:val="20"/>
          <w:szCs w:val="20"/>
          <w:color w:val="auto"/>
        </w:rPr>
      </w:pPr>
    </w:p>
    <w:p>
      <w:pPr>
        <w:ind w:left="1680" w:hanging="252"/>
        <w:spacing w:after="0"/>
        <w:tabs>
          <w:tab w:leader="none" w:pos="16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Parent Outstanding Shares Certificate;</w:t>
      </w:r>
    </w:p>
    <w:p>
      <w:pPr>
        <w:spacing w:after="0" w:line="225" w:lineRule="exact"/>
        <w:rPr>
          <w:rFonts w:ascii="Arial" w:cs="Arial" w:eastAsia="Arial" w:hAnsi="Arial"/>
          <w:sz w:val="18"/>
          <w:szCs w:val="18"/>
          <w:color w:val="auto"/>
        </w:rPr>
      </w:pPr>
    </w:p>
    <w:p>
      <w:pPr>
        <w:ind w:right="100" w:firstLine="1428"/>
        <w:spacing w:after="0" w:line="263" w:lineRule="auto"/>
        <w:tabs>
          <w:tab w:leader="none" w:pos="168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a written resignation, in a form reasonably satisfactory to the Company, dated as of the Closing Date and effective as of the Closing, executed by each of the officers and directors of Parent who are not to continue as officers or directors, as the case may be, of Parent after the Closing pursuant to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hereof; and</w:t>
      </w:r>
    </w:p>
    <w:p>
      <w:pPr>
        <w:spacing w:after="0" w:line="183" w:lineRule="exact"/>
        <w:rPr>
          <w:rFonts w:ascii="Arial" w:cs="Arial" w:eastAsia="Arial" w:hAnsi="Arial"/>
          <w:sz w:val="18"/>
          <w:szCs w:val="18"/>
          <w:color w:val="auto"/>
        </w:rPr>
      </w:pPr>
    </w:p>
    <w:p>
      <w:pPr>
        <w:ind w:right="40" w:firstLine="1428"/>
        <w:spacing w:after="0" w:line="277" w:lineRule="auto"/>
        <w:tabs>
          <w:tab w:leader="none" w:pos="167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certified copies of the resolutions duly adopted by the Parent Board and in full force and effect as of the Closing authorizing the appointment of the directors and officers set forth in </w:t>
      </w:r>
      <w:r>
        <w:rPr>
          <w:rFonts w:ascii="Arial" w:cs="Arial" w:eastAsia="Arial" w:hAnsi="Arial"/>
          <w:sz w:val="18"/>
          <w:szCs w:val="18"/>
          <w:u w:val="single" w:color="auto"/>
          <w:color w:val="auto"/>
        </w:rPr>
        <w:t>Section 4.11</w:t>
      </w:r>
      <w:r>
        <w:rPr>
          <w:rFonts w:ascii="Arial" w:cs="Arial" w:eastAsia="Arial" w:hAnsi="Arial"/>
          <w:sz w:val="18"/>
          <w:szCs w:val="18"/>
          <w:b w:val="1"/>
          <w:bCs w:val="1"/>
          <w:color w:val="auto"/>
        </w:rPr>
        <w:t>.</w:t>
      </w:r>
    </w:p>
    <w:p>
      <w:pPr>
        <w:spacing w:after="0" w:line="166"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Parent Lock-Up Agreements</w:t>
      </w:r>
      <w:r>
        <w:rPr>
          <w:rFonts w:ascii="Arial" w:cs="Arial" w:eastAsia="Arial" w:hAnsi="Arial"/>
          <w:sz w:val="18"/>
          <w:szCs w:val="18"/>
          <w:color w:val="auto"/>
        </w:rPr>
        <w:t>. The Company shall have received the Lock-Up Agreements duly executed by each of the Parent Signatories, each of which shall be in full force and effect.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 MISCELLANEOUS PROVISIONS</w:t>
      </w:r>
    </w:p>
    <w:p>
      <w:pPr>
        <w:spacing w:after="0" w:line="225" w:lineRule="exact"/>
        <w:rPr>
          <w:sz w:val="20"/>
          <w:szCs w:val="20"/>
          <w:color w:val="auto"/>
        </w:rPr>
      </w:pPr>
    </w:p>
    <w:p>
      <w:pPr>
        <w:ind w:right="140" w:firstLine="991"/>
        <w:spacing w:after="0" w:line="28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Non-Survival of Representations and Warranties</w:t>
      </w:r>
      <w:r>
        <w:rPr>
          <w:rFonts w:ascii="Arial" w:cs="Arial" w:eastAsia="Arial" w:hAnsi="Arial"/>
          <w:sz w:val="17"/>
          <w:szCs w:val="17"/>
          <w:color w:val="auto"/>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survive the First Effective Time.</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20"/>
          </w:cols>
          <w:pgMar w:left="440" w:top="270" w:right="539" w:bottom="1440" w:gutter="0" w:footer="0" w:header="0"/>
        </w:sectPr>
      </w:pPr>
    </w:p>
    <w:bookmarkStart w:id="266" w:name="page267"/>
    <w:bookmarkEnd w:id="266"/>
    <w:p>
      <w:pPr>
        <w:ind w:right="20" w:firstLine="991"/>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xml:space="preserve">. This Agreement may be amended with the approval of the respective boards of directors (or managers as applicable) of the Surviving Entity and Parent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Surviving Entity and Parent.</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w:t>
      </w:r>
    </w:p>
    <w:p>
      <w:pPr>
        <w:spacing w:after="0" w:line="229" w:lineRule="exact"/>
        <w:rPr>
          <w:sz w:val="20"/>
          <w:szCs w:val="20"/>
          <w:color w:val="auto"/>
        </w:rPr>
      </w:pPr>
    </w:p>
    <w:p>
      <w:pPr>
        <w:jc w:val="both"/>
        <w:ind w:right="200" w:firstLine="1428"/>
        <w:spacing w:after="0" w:line="259" w:lineRule="auto"/>
        <w:tabs>
          <w:tab w:leader="none" w:pos="167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6" w:lineRule="exact"/>
        <w:rPr>
          <w:rFonts w:ascii="Arial" w:cs="Arial" w:eastAsia="Arial" w:hAnsi="Arial"/>
          <w:sz w:val="18"/>
          <w:szCs w:val="18"/>
          <w:color w:val="auto"/>
        </w:rPr>
      </w:pPr>
    </w:p>
    <w:p>
      <w:pPr>
        <w:ind w:firstLine="1428"/>
        <w:spacing w:after="0" w:line="311" w:lineRule="auto"/>
        <w:tabs>
          <w:tab w:leader="none" w:pos="168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4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Entire Agreement; Counterparts; Exchanges by Electronic Transmission</w:t>
      </w:r>
      <w:r>
        <w:rPr>
          <w:rFonts w:ascii="Arial" w:cs="Arial" w:eastAsia="Arial" w:hAnsi="Arial"/>
          <w:sz w:val="18"/>
          <w:szCs w:val="18"/>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92"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u w:val="single" w:color="auto"/>
          <w:color w:val="auto"/>
        </w:rPr>
        <w:t>Applicable Law; Jurisdiction</w:t>
      </w:r>
      <w:r>
        <w:rPr>
          <w:rFonts w:ascii="Arial" w:cs="Arial" w:eastAsia="Arial" w:hAnsi="Arial"/>
          <w:sz w:val="17"/>
          <w:szCs w:val="17"/>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of this Agreement; and (f) irrevocably and unconditionally waives the right to trial by jury.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0" w:right="459" w:bottom="1440" w:gutter="0" w:footer="0" w:header="0"/>
        </w:sectPr>
      </w:pPr>
    </w:p>
    <w:bookmarkStart w:id="267" w:name="page268"/>
    <w:bookmarkEnd w:id="267"/>
    <w:p>
      <w:pPr>
        <w:jc w:val="both"/>
        <w:ind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8.6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In any action at law or suit in equity to enforce this Agreement or the rights of any of the Parties, the prevailing Party in such action or suit (as determined by a court of competent jurisdiction) shall be entitled to recover its reasonable out-of-pocket attorneys’ fees and all other reasonable costs and expenses incurred in such action or suit.</w:t>
      </w:r>
    </w:p>
    <w:p>
      <w:pPr>
        <w:spacing w:after="0" w:line="176" w:lineRule="exact"/>
        <w:rPr>
          <w:sz w:val="20"/>
          <w:szCs w:val="20"/>
          <w:color w:val="auto"/>
        </w:rPr>
      </w:pPr>
    </w:p>
    <w:p>
      <w:pPr>
        <w:ind w:right="280" w:firstLine="991"/>
        <w:spacing w:after="0" w:line="303"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u w:val="single" w:color="auto"/>
          <w:color w:val="auto"/>
        </w:rPr>
        <w:t>Assignability</w:t>
      </w:r>
      <w:r>
        <w:rPr>
          <w:rFonts w:ascii="Arial" w:cs="Arial" w:eastAsia="Arial" w:hAnsi="Arial"/>
          <w:sz w:val="16"/>
          <w:szCs w:val="16"/>
          <w:color w:val="auto"/>
        </w:rPr>
        <w:t xml:space="preserve">. This Agreement shall be binding upon, and shall be enforceable by and inure solely to the benefit of, the Parties and their respective successors and permitted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51" w:lineRule="exact"/>
        <w:rPr>
          <w:sz w:val="20"/>
          <w:szCs w:val="20"/>
          <w:color w:val="auto"/>
        </w:rPr>
      </w:pPr>
    </w:p>
    <w:p>
      <w:pPr>
        <w:ind w:right="260" w:firstLine="991"/>
        <w:spacing w:after="0" w:line="258"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Pacific Time, otherwise on the next succeeding Business Day, in each case to the intended recipient as set forth below:</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Parent or Merger Subs: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Aeglea Biotherapeutics,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805 Las Cimas Parkway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Austin, TX 78746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Jonathan Alspaugh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Email Address: </w:t>
      </w:r>
      <w:r>
        <w:rPr>
          <w:rFonts w:ascii="Arial" w:cs="Arial" w:eastAsia="Arial" w:hAnsi="Arial"/>
          <w:sz w:val="18"/>
          <w:szCs w:val="18"/>
          <w:u w:val="single" w:color="auto"/>
          <w:color w:val="auto"/>
        </w:rPr>
        <w:t>jalspaugh@aeglea.com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William Sorabella; Matthew Silverman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Address: wsorabella@cooley.com; msilverman@cooley.com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Spyre Therapeutics,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 Crescent Street, Building 17, Suite 102B</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Waltham, MA 02453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Evan Thompson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Address: evan.thompson@paragontherapeutics.com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555 Mission St., Suite 3000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Ryan Murr, Branden Berns, Chris Trester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Address: rmurr@gibsondunn.com; bberns@gibsondunn.com;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ctrester@gibsondunn.com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0" w:right="479" w:bottom="1440" w:gutter="0" w:footer="0" w:header="0"/>
        </w:sectPr>
      </w:pPr>
    </w:p>
    <w:bookmarkStart w:id="268" w:name="page269"/>
    <w:bookmarkEnd w:id="268"/>
    <w:p>
      <w:pPr>
        <w:ind w:right="20"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8.9 </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76"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7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b w:val="1"/>
          <w:bCs w:val="1"/>
          <w:u w:val="single" w:color="auto"/>
          <w:color w:val="auto"/>
        </w:rPr>
        <w:t>Other Remedies; Specific Performance</w:t>
      </w:r>
      <w:r>
        <w:rPr>
          <w:rFonts w:ascii="Arial" w:cs="Arial" w:eastAsia="Arial" w:hAnsi="Arial"/>
          <w:sz w:val="16"/>
          <w:szCs w:val="16"/>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w:t>
      </w:r>
    </w:p>
    <w:p>
      <w:pPr>
        <w:spacing w:after="0" w:line="163" w:lineRule="exact"/>
        <w:rPr>
          <w:sz w:val="20"/>
          <w:szCs w:val="20"/>
          <w:color w:val="auto"/>
        </w:rPr>
      </w:pPr>
    </w:p>
    <w:p>
      <w:pPr>
        <w:ind w:right="120" w:firstLine="991"/>
        <w:spacing w:after="0" w:line="266"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b w:val="1"/>
          <w:bCs w:val="1"/>
          <w:u w:val="single" w:color="auto"/>
          <w:color w:val="auto"/>
        </w:rPr>
        <w:t>No Third-Party Beneficiaries</w:t>
      </w:r>
      <w:r>
        <w:rPr>
          <w:rFonts w:ascii="Arial" w:cs="Arial" w:eastAsia="Arial" w:hAnsi="Arial"/>
          <w:sz w:val="18"/>
          <w:szCs w:val="18"/>
          <w:color w:val="auto"/>
        </w:rPr>
        <w:t xml:space="preserve">. Nothing in this Agreement, express or implied, is intended to or shall confer upon any Person (other than the Parties and the D&amp;O Indemnified Parties to the extent of their respective rights pursuant to </w:t>
      </w:r>
      <w:r>
        <w:rPr>
          <w:rFonts w:ascii="Arial" w:cs="Arial" w:eastAsia="Arial" w:hAnsi="Arial"/>
          <w:sz w:val="18"/>
          <w:szCs w:val="18"/>
          <w:u w:val="single" w:color="auto"/>
          <w:color w:val="auto"/>
        </w:rPr>
        <w:t>Section 4.5</w:t>
      </w:r>
      <w:r>
        <w:rPr>
          <w:rFonts w:ascii="Arial" w:cs="Arial" w:eastAsia="Arial" w:hAnsi="Arial"/>
          <w:sz w:val="18"/>
          <w:szCs w:val="18"/>
          <w:color w:val="auto"/>
        </w:rPr>
        <w:t>) any right, benefit or remedy of any nature whatsoever under or by reason of this Agreement.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w:t>
      </w:r>
    </w:p>
    <w:p>
      <w:pPr>
        <w:spacing w:after="0" w:line="229" w:lineRule="exact"/>
        <w:rPr>
          <w:sz w:val="20"/>
          <w:szCs w:val="20"/>
          <w:color w:val="auto"/>
        </w:rPr>
      </w:pPr>
    </w:p>
    <w:p>
      <w:pPr>
        <w:ind w:left="1680" w:hanging="252"/>
        <w:spacing w:after="0"/>
        <w:tabs>
          <w:tab w:leader="none" w:pos="16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“cash,” “dollars” or “$” are to U.S. dollars.</w:t>
      </w:r>
    </w:p>
    <w:p>
      <w:pPr>
        <w:spacing w:after="0" w:line="225" w:lineRule="exact"/>
        <w:rPr>
          <w:rFonts w:ascii="Arial" w:cs="Arial" w:eastAsia="Arial" w:hAnsi="Arial"/>
          <w:sz w:val="18"/>
          <w:szCs w:val="18"/>
          <w:color w:val="auto"/>
        </w:rPr>
      </w:pPr>
    </w:p>
    <w:p>
      <w:pPr>
        <w:ind w:right="120" w:firstLine="1428"/>
        <w:spacing w:after="0" w:line="263" w:lineRule="auto"/>
        <w:tabs>
          <w:tab w:leader="none" w:pos="168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0" w:right="459" w:bottom="1440" w:gutter="0" w:footer="0" w:header="0"/>
        </w:sectPr>
      </w:pPr>
    </w:p>
    <w:bookmarkStart w:id="269" w:name="page270"/>
    <w:bookmarkEnd w:id="269"/>
    <w:p>
      <w:pPr>
        <w:ind w:firstLine="1428"/>
        <w:spacing w:after="0" w:line="311" w:lineRule="auto"/>
        <w:tabs>
          <w:tab w:leader="none" w:pos="1677"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148" w:lineRule="exact"/>
        <w:rPr>
          <w:rFonts w:ascii="Arial" w:cs="Arial" w:eastAsia="Arial" w:hAnsi="Arial"/>
          <w:sz w:val="16"/>
          <w:szCs w:val="16"/>
          <w:color w:val="auto"/>
        </w:rPr>
      </w:pPr>
    </w:p>
    <w:p>
      <w:pPr>
        <w:ind w:right="460" w:firstLine="1428"/>
        <w:spacing w:after="0" w:line="277" w:lineRule="auto"/>
        <w:tabs>
          <w:tab w:leader="none" w:pos="168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color w:val="auto"/>
        </w:rPr>
      </w:pPr>
    </w:p>
    <w:p>
      <w:pPr>
        <w:ind w:right="20" w:firstLine="1428"/>
        <w:spacing w:after="0" w:line="277" w:lineRule="auto"/>
        <w:tabs>
          <w:tab w:leader="none" w:pos="167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170" w:lineRule="exact"/>
        <w:rPr>
          <w:rFonts w:ascii="Arial" w:cs="Arial" w:eastAsia="Arial" w:hAnsi="Arial"/>
          <w:sz w:val="18"/>
          <w:szCs w:val="18"/>
          <w:color w:val="auto"/>
        </w:rPr>
      </w:pPr>
    </w:p>
    <w:p>
      <w:pPr>
        <w:ind w:right="460" w:firstLine="1428"/>
        <w:spacing w:after="0" w:line="342" w:lineRule="auto"/>
        <w:tabs>
          <w:tab w:leader="none" w:pos="165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123" w:lineRule="exact"/>
        <w:rPr>
          <w:rFonts w:ascii="Arial" w:cs="Arial" w:eastAsia="Arial" w:hAnsi="Arial"/>
          <w:sz w:val="16"/>
          <w:szCs w:val="16"/>
          <w:color w:val="auto"/>
        </w:rPr>
      </w:pPr>
    </w:p>
    <w:p>
      <w:pPr>
        <w:ind w:right="280" w:firstLine="1428"/>
        <w:spacing w:after="0" w:line="342" w:lineRule="auto"/>
        <w:tabs>
          <w:tab w:leader="none" w:pos="168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123" w:lineRule="exact"/>
        <w:rPr>
          <w:rFonts w:ascii="Arial" w:cs="Arial" w:eastAsia="Arial" w:hAnsi="Arial"/>
          <w:sz w:val="16"/>
          <w:szCs w:val="16"/>
          <w:color w:val="auto"/>
        </w:rPr>
      </w:pPr>
    </w:p>
    <w:p>
      <w:pPr>
        <w:ind w:right="40" w:firstLine="1428"/>
        <w:spacing w:after="0" w:line="289" w:lineRule="auto"/>
        <w:tabs>
          <w:tab w:leader="none" w:pos="168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inclusion of any information in the Company Disclosure Schedule or Parent Disclosure Schedule shall not be deemed an admission or acknowledgment to any third party, in and of itself and solely by virtue of the inclusion of such information in the Company Disclosure Schedule or Parent Disclosure Schedule, as applicable, that such information is required to be listed in the Company Disclosure Schedule or Parent Disclosure Schedule, as applicable, that such items are material to the Company and its Subsidiaries, taken as a whole, or Parent and its Subsidiaries, taken as a whole, as the case may be, or that such items have resulted in a Company Material Adverse Effect or a Parent Material Adverse Effect.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166" w:lineRule="exact"/>
        <w:rPr>
          <w:rFonts w:ascii="Arial" w:cs="Arial" w:eastAsia="Arial" w:hAnsi="Arial"/>
          <w:sz w:val="16"/>
          <w:szCs w:val="16"/>
          <w:color w:val="auto"/>
        </w:rPr>
      </w:pPr>
    </w:p>
    <w:p>
      <w:pPr>
        <w:ind w:right="60" w:firstLine="1428"/>
        <w:spacing w:after="0" w:line="255" w:lineRule="auto"/>
        <w:tabs>
          <w:tab w:leader="none" w:pos="16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of “delivered” or “made available” means, with respect to any documentation, that (i) prior to 11:59 p.m. (Pacific Time) on the date that is two Business Days prior to the date of this Agreement (A) a copy of such material has been posted to and made available by a Party to the other Party and its Representatives in the electronic data room maintained by such disclosing Party or (B) such material is disclosed in the Parent SEC Documents filed with the SEC prior to the date hereof and publicly made available on the SEC’s Electronic Data Gathering Analysis and Retrieval system or (ii) delivered by or on behalf of a Party or its Representatives via electronic mail or in hard copy form prior to the execution of this Agreement.</w:t>
      </w:r>
    </w:p>
    <w:p>
      <w:pPr>
        <w:spacing w:after="0" w:line="192" w:lineRule="exact"/>
        <w:rPr>
          <w:rFonts w:ascii="Arial" w:cs="Arial" w:eastAsia="Arial" w:hAnsi="Arial"/>
          <w:sz w:val="18"/>
          <w:szCs w:val="18"/>
          <w:color w:val="auto"/>
        </w:rPr>
      </w:pPr>
    </w:p>
    <w:p>
      <w:pPr>
        <w:ind w:right="60" w:firstLine="1428"/>
        <w:spacing w:after="0" w:line="286" w:lineRule="auto"/>
        <w:tabs>
          <w:tab w:leader="none" w:pos="164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Whenever the last day for the exercise of any privilege or the discharge of any duty hereunder shall fall upon a Saturday, Sunday, or any date on which banks in San Francisco, California, are authorized or obligated by Law to be closed, the Party having such privilege or duty may exercise such privilege or discharge such duty on the next succeeding day which is a regular Business Day.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270" w:name="page271"/>
    <w:bookmarkEnd w:id="270"/>
    <w:p>
      <w:pPr>
        <w:ind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8.14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Except as otherwise expressly provided in this Agreement, all expenses incurred in connection with this Agreement and the Contemplated Transactions will be paid by the Party incurring such expenses.</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80"/>
          </w:cols>
          <w:pgMar w:left="440" w:top="270" w:right="67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Alspaugh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Jonathan Alspaugh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ASPEN MERGER SUB I,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Alspaugh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Jonathan Alspaugh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SEQUOIA MERGER SUB II,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Alspaugh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Jonathan Alspaugh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SPYRE THERAPEUTICS,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 Evan Thompson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K. Evan Thompson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0580"/>
          </w:cols>
          <w:pgMar w:left="880" w:top="270" w:right="439" w:bottom="1440" w:gutter="0" w:footer="0" w:header="0"/>
        </w:sectPr>
      </w:pPr>
    </w:p>
    <w:bookmarkStart w:id="272" w:name="page273"/>
    <w:bookmarkEnd w:id="27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DEFINITIONS</w:t>
      </w:r>
    </w:p>
    <w:p>
      <w:pPr>
        <w:spacing w:after="0" w:line="225" w:lineRule="exact"/>
        <w:rPr>
          <w:sz w:val="20"/>
          <w:szCs w:val="20"/>
          <w:color w:val="auto"/>
        </w:rPr>
      </w:pPr>
    </w:p>
    <w:p>
      <w:pPr>
        <w:ind w:left="980" w:right="6100" w:hanging="544"/>
        <w:spacing w:after="0" w:line="566" w:lineRule="auto"/>
        <w:tabs>
          <w:tab w:leader="none" w:pos="61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For purposes of this Agreement (including this </w:t>
      </w:r>
      <w:r>
        <w:rPr>
          <w:rFonts w:ascii="Arial" w:cs="Arial" w:eastAsia="Arial" w:hAnsi="Arial"/>
          <w:sz w:val="16"/>
          <w:szCs w:val="16"/>
          <w:b w:val="1"/>
          <w:bCs w:val="1"/>
          <w:color w:val="auto"/>
        </w:rPr>
        <w:t>Exhibit A</w:t>
      </w:r>
      <w:r>
        <w:rPr>
          <w:rFonts w:ascii="Arial" w:cs="Arial" w:eastAsia="Arial" w:hAnsi="Arial"/>
          <w:sz w:val="16"/>
          <w:szCs w:val="16"/>
          <w:color w:val="auto"/>
        </w:rPr>
        <w:t>) “</w:t>
      </w:r>
      <w:r>
        <w:rPr>
          <w:rFonts w:ascii="Arial" w:cs="Arial" w:eastAsia="Arial" w:hAnsi="Arial"/>
          <w:sz w:val="16"/>
          <w:szCs w:val="16"/>
          <w:b w:val="1"/>
          <w:bCs w:val="1"/>
          <w:i w:val="1"/>
          <w:iCs w:val="1"/>
          <w:color w:val="auto"/>
        </w:rPr>
        <w:t>ACT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w:t>
      </w: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xml:space="preserve">” means the Agreement and Plan of Merger to which this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is attached, as it may be amended from time to time.</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Anti-Bribery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Approval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Book-Entry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other day on which banks in San Francisco, California, are authorized or obligated by Law to be closed.</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Designation</w:t>
      </w:r>
      <w:r>
        <w:rPr>
          <w:rFonts w:ascii="Arial" w:cs="Arial" w:eastAsia="Arial" w:hAnsi="Arial"/>
          <w:sz w:val="18"/>
          <w:szCs w:val="18"/>
          <w:color w:val="auto"/>
        </w:rPr>
        <w:t xml:space="preserve">” means the Certificate of Designation of Preferences, Rights and Limitations of Parent Convertible Preferred Stock in the form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Certificates of Merger</w:t>
      </w:r>
      <w:r>
        <w:rPr>
          <w:rFonts w:ascii="Arial" w:cs="Arial" w:eastAsia="Arial" w:hAnsi="Arial"/>
          <w:sz w:val="18"/>
          <w:szCs w:val="18"/>
          <w:color w:val="auto"/>
        </w:rPr>
        <w:t>” has the meaning set forth in Section 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Charter Amendment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4.2(a)(iii).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Associate</w:t>
      </w:r>
      <w:r>
        <w:rPr>
          <w:rFonts w:ascii="Arial" w:cs="Arial" w:eastAsia="Arial" w:hAnsi="Arial"/>
          <w:sz w:val="18"/>
          <w:szCs w:val="18"/>
          <w:color w:val="auto"/>
        </w:rPr>
        <w:t>” means any current or former employee, independent contractor, officer or director of the Company. A-1</w:t>
      </w:r>
    </w:p>
    <w:p>
      <w:pPr>
        <w:sectPr>
          <w:pgSz w:w="11900" w:h="16838" w:orient="portrait"/>
          <w:cols w:equalWidth="0" w:num="1">
            <w:col w:w="10940"/>
          </w:cols>
          <w:pgMar w:left="440" w:top="270" w:right="519" w:bottom="1440" w:gutter="0" w:footer="0" w:header="0"/>
        </w:sectPr>
      </w:pPr>
    </w:p>
    <w:bookmarkStart w:id="273" w:name="page274"/>
    <w:bookmarkEnd w:id="2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Company 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2.17(a)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 Stock</w:t>
      </w:r>
      <w:r>
        <w:rPr>
          <w:rFonts w:ascii="Arial" w:cs="Arial" w:eastAsia="Arial" w:hAnsi="Arial"/>
          <w:sz w:val="18"/>
          <w:szCs w:val="18"/>
          <w:color w:val="auto"/>
        </w:rPr>
        <w:t>” means the Company Common Stock and the Company Preferred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means the Common Stock, $0.0001 par value per share, of the Company.</w:t>
      </w:r>
    </w:p>
    <w:p>
      <w:pPr>
        <w:spacing w:after="0" w:line="225" w:lineRule="exact"/>
        <w:rPr>
          <w:sz w:val="20"/>
          <w:szCs w:val="20"/>
          <w:color w:val="auto"/>
        </w:rPr>
      </w:pPr>
    </w:p>
    <w:p>
      <w:pPr>
        <w:jc w:val="both"/>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Contract</w:t>
      </w:r>
      <w:r>
        <w:rPr>
          <w:rFonts w:ascii="Arial" w:cs="Arial" w:eastAsia="Arial" w:hAnsi="Arial"/>
          <w:sz w:val="18"/>
          <w:szCs w:val="18"/>
          <w:color w:val="auto"/>
        </w:rPr>
        <w:t>” means any Contract: (a) to which the Company or any of its Subsidiaries is a Party; (b) by which the Company or any of its Subsidiaries or any Company IP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Data</w:t>
      </w:r>
      <w:r>
        <w:rPr>
          <w:rFonts w:ascii="Arial" w:cs="Arial" w:eastAsia="Arial" w:hAnsi="Arial"/>
          <w:sz w:val="18"/>
          <w:szCs w:val="18"/>
          <w:color w:val="auto"/>
        </w:rPr>
        <w:t>” means all data and information Processed by or for the Company or any of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Disclosure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ERISA Affiliate</w:t>
      </w:r>
      <w:r>
        <w:rPr>
          <w:rFonts w:ascii="Arial" w:cs="Arial" w:eastAsia="Arial" w:hAnsi="Arial"/>
          <w:sz w:val="18"/>
          <w:szCs w:val="18"/>
          <w:color w:val="auto"/>
        </w:rPr>
        <w:t>” means any corporation or trade or business (whether or not incorporated) which is (or at any relevant time was) treated with the Company as a single employer within the meaning of Section 414 of the Code.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Financials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w:t>
      </w:r>
      <w:r>
        <w:rPr>
          <w:rFonts w:ascii="Arial" w:cs="Arial" w:eastAsia="Arial" w:hAnsi="Arial"/>
          <w:sz w:val="18"/>
          <w:szCs w:val="18"/>
          <w:color w:val="auto"/>
        </w:rPr>
        <w:t>” means all Intellectual Property Rights that are owned or purported to be owned by, assigned to, or exclusively licensed by, the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In-bound 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Material Adverse Effect</w:t>
      </w:r>
      <w:r>
        <w:rPr>
          <w:rFonts w:ascii="Arial" w:cs="Arial" w:eastAsia="Arial" w:hAnsi="Arial"/>
          <w:sz w:val="17"/>
          <w:szCs w:val="17"/>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Effects arising or resulting from the following shall not be taken into account in determining whether there has been a Company Material Adverse Effect: (a) general business or economic conditions affecting the industry in which the Company and its Subsidiaries operate, (b) 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(d) any change in, or any compliance with or action taken for the purpose of complying with, any Law or GAAP (or interpretations of any Law or GAAP), (e) resulting from the announcement of this Agreement or the pendency of the Contemplated Transactions; </w:t>
      </w:r>
      <w:r>
        <w:rPr>
          <w:rFonts w:ascii="Arial" w:cs="Arial" w:eastAsia="Arial" w:hAnsi="Arial"/>
          <w:sz w:val="17"/>
          <w:szCs w:val="17"/>
          <w:i w:val="1"/>
          <w:iCs w:val="1"/>
          <w:color w:val="auto"/>
        </w:rPr>
        <w:t>provided</w:t>
      </w:r>
      <w:r>
        <w:rPr>
          <w:rFonts w:ascii="Arial" w:cs="Arial" w:eastAsia="Arial" w:hAnsi="Arial"/>
          <w:sz w:val="17"/>
          <w:szCs w:val="17"/>
          <w:color w:val="auto"/>
        </w:rPr>
        <w:t>, that this clause (e) shall not apply to any representation or warranty (or condition to the consummation of the Mergers relating to such representation or warranty) to the extent the representation and warranty expressly addresses the consequences resulting from the execution and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40" w:top="274" w:right="519" w:bottom="1440" w:gutter="0" w:footer="0" w:header="0"/>
        </w:sectPr>
      </w:pPr>
    </w:p>
    <w:bookmarkStart w:id="274" w:name="page275"/>
    <w:bookmarkEnd w:id="274"/>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this Agreement or the consummation of the Contemplated Transactions, or (f) resulting from the taking of any action required to be taken by this Agreement; except in each case with respect to clauses (a) through (c), to the extent disproportionately affecting the Company, taken as a whole, relative to other similarly situated companies in the industries in which the Company operates.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Options</w:t>
      </w:r>
      <w:r>
        <w:rPr>
          <w:rFonts w:ascii="Arial" w:cs="Arial" w:eastAsia="Arial" w:hAnsi="Arial"/>
          <w:sz w:val="18"/>
          <w:szCs w:val="18"/>
          <w:color w:val="auto"/>
        </w:rPr>
        <w:t>” means options or other rights to purchase shares of Company Common Stock issued by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Out-bound 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Permits</w:t>
      </w:r>
      <w:r>
        <w:rPr>
          <w:rFonts w:ascii="Arial" w:cs="Arial" w:eastAsia="Arial" w:hAnsi="Arial"/>
          <w:sz w:val="18"/>
          <w:szCs w:val="18"/>
          <w:color w:val="auto"/>
        </w:rPr>
        <w:t>” has the meaning set forth in Section 2.14(b).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Real Estate Leases</w:t>
      </w:r>
      <w:r>
        <w:rPr>
          <w:rFonts w:ascii="Arial" w:cs="Arial" w:eastAsia="Arial" w:hAnsi="Arial"/>
          <w:sz w:val="18"/>
          <w:szCs w:val="18"/>
          <w:color w:val="auto"/>
        </w:rPr>
        <w:t>” has the meaning set forth in Section 2.11.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Signatories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Stockholder Matters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Unaudited Interim Balance Sheet</w:t>
      </w:r>
      <w:r>
        <w:rPr>
          <w:rFonts w:ascii="Arial" w:cs="Arial" w:eastAsia="Arial" w:hAnsi="Arial"/>
          <w:sz w:val="18"/>
          <w:szCs w:val="18"/>
          <w:color w:val="auto"/>
        </w:rPr>
        <w:t>” means the unaudited balance sheet of the Company as of April 30, 2023 provided to Parent prior to the date of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Concurrent Investment Amount</w:t>
      </w:r>
      <w:r>
        <w:rPr>
          <w:rFonts w:ascii="Arial" w:cs="Arial" w:eastAsia="Arial" w:hAnsi="Arial"/>
          <w:sz w:val="18"/>
          <w:szCs w:val="18"/>
          <w:color w:val="auto"/>
        </w:rPr>
        <w:t>” means $150,000,000 as contemplated by the Securities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means that certain mutual letter agreement, dated as of April 27, 2023, between the Company and Parent.</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Consent</w:t>
      </w:r>
      <w:r>
        <w:rPr>
          <w:rFonts w:ascii="Arial" w:cs="Arial" w:eastAsia="Arial" w:hAnsi="Arial"/>
          <w:sz w:val="17"/>
          <w:szCs w:val="17"/>
          <w:color w:val="auto"/>
        </w:rPr>
        <w:t>” means any approval, consent, ratification, permission, waiver or authorization (including any Governmental Authorization).</w:t>
      </w:r>
    </w:p>
    <w:p>
      <w:pPr>
        <w:spacing w:after="0" w:line="237"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Contemplated Transactions</w:t>
      </w:r>
      <w:r>
        <w:rPr>
          <w:rFonts w:ascii="Arial" w:cs="Arial" w:eastAsia="Arial" w:hAnsi="Arial"/>
          <w:sz w:val="17"/>
          <w:szCs w:val="17"/>
          <w:color w:val="auto"/>
        </w:rPr>
        <w:t xml:space="preserve">” means the Merger, the Nasdaq Reverse Split, Parent Stockholder Support Agreements, the CVR Agreement and the other transactions and actions contemplated by this Agreement to be consummated at or prior to the Closing (but not, for the avoidance of doubt, the actions proposed to be taken as the Parent Stockholders’ Meeting following the Closing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275" w:name="page276"/>
    <w:bookmarkEnd w:id="275"/>
    <w:p>
      <w:pPr>
        <w:ind w:right="1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with respect to any Person, any written or oral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Processing Policy</w:t>
      </w:r>
      <w:r>
        <w:rPr>
          <w:rFonts w:ascii="Arial" w:cs="Arial" w:eastAsia="Arial" w:hAnsi="Arial"/>
          <w:sz w:val="18"/>
          <w:szCs w:val="18"/>
          <w:color w:val="auto"/>
        </w:rPr>
        <w:t>” means each policy, statement, representation, or notice of the Company, Parent or their respective Subsidiaries relating to the Processing of Company Data or Parent Data (as applicable), privacy, data protection, or security.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DLLCA</w:t>
      </w:r>
      <w:r>
        <w:rPr>
          <w:rFonts w:ascii="Arial" w:cs="Arial" w:eastAsia="Arial" w:hAnsi="Arial"/>
          <w:sz w:val="18"/>
          <w:szCs w:val="18"/>
          <w:color w:val="auto"/>
        </w:rPr>
        <w:t>” means the Delaware Limited Liability Company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D&amp;O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Disqualifying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1.9(a).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means any effect, change, event, circumstance, or development.</w:t>
      </w:r>
    </w:p>
    <w:p>
      <w:pPr>
        <w:spacing w:after="0" w:line="225"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6"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color w:val="auto"/>
        </w:rPr>
        <w:t>” means the (a) Laws of general application relating to bankruptcy, insolvency and the relief of debtors; and (b) rules of law governing specific performance, injunctive relief and other equitable remedies.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8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Law</w:t>
      </w:r>
      <w:r>
        <w:rPr>
          <w:rFonts w:ascii="Arial" w:cs="Arial" w:eastAsia="Arial" w:hAnsi="Arial"/>
          <w:sz w:val="17"/>
          <w:szCs w:val="17"/>
          <w:color w:val="auto"/>
        </w:rPr>
        <w:t>” means any federal, state, local or foreign Law relating to pollution or protection of human health (as it relates to exposure to Hazardous Materials)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80"/>
          </w:cols>
          <w:pgMar w:left="440" w:top="274" w:right="479" w:bottom="1440" w:gutter="0" w:footer="0" w:header="0"/>
        </w:sectPr>
      </w:pPr>
    </w:p>
    <w:bookmarkStart w:id="276" w:name="page277"/>
    <w:bookmarkEnd w:id="27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means, 13.73622.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Severance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Merger Sub Board</w:t>
      </w:r>
      <w:r>
        <w:rPr>
          <w:rFonts w:ascii="Arial" w:cs="Arial" w:eastAsia="Arial" w:hAnsi="Arial"/>
          <w:sz w:val="18"/>
          <w:szCs w:val="18"/>
          <w:color w:val="auto"/>
        </w:rPr>
        <w:t>” means the board of directors of First Merger Sub.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Step 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2.17(m).</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and practices in effect from time to time within the United States applied consistently throughout the period involved.</w:t>
      </w:r>
    </w:p>
    <w:p>
      <w:pPr>
        <w:spacing w:after="0" w:line="170"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Authorization</w:t>
      </w:r>
      <w:r>
        <w:rPr>
          <w:rFonts w:ascii="Arial" w:cs="Arial" w:eastAsia="Arial" w:hAnsi="Arial"/>
          <w:sz w:val="18"/>
          <w:szCs w:val="18"/>
          <w:color w:val="auto"/>
        </w:rPr>
        <w:t>” means any: (a) permit, license, certificate, franchise, permission, variance, exception, approval, exemption, order, clearance, registration, qualification or authorization issued, granted, given or otherwise made available by or under the authority of any Governmental Body or pursuant to any Law; or (b) right under any Contract with any Governmental Body.</w:t>
      </w:r>
    </w:p>
    <w:p>
      <w:pPr>
        <w:spacing w:after="0" w:line="18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88"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277" w:name="page278"/>
    <w:bookmarkEnd w:id="277"/>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means and includes all intellectual property or other proprietary rights under the laws of any jurisdiction in the world, including, without limitation: (a) rights associated with works of authorship, including exclusive exploitation rights, copyrights, moral rights, software, databases, and mask works; (b) trademarks, service marks, trade dress, logos, trade names and other source identifiers, domain names and URLs and similar rights and any goodwill associated therewith; (c) rights associated with trade secrets, know how, inventions, invention disclosures, methods, processes, protocols, specifications, techniques and other forms of technology; (d) patents and industrial property rights; (e) other similar proprietary rights in intellectual property of every kind and nature; (f) rights of privacy and publicity; and (g) all registrations, renewals, extensions, statutory invention registrations, provisionals, continuations, continuations-in-part, provisionals, divisions, or reissues of, and applications for, any of the 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Intended Tax Treatment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2.21(b).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officer or director of such Person as of the date such knowledge is imputed has Knowledge of such fact or other matter.</w:t>
      </w:r>
    </w:p>
    <w:p>
      <w:pPr>
        <w:spacing w:after="0" w:line="18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spacing w:after="0" w:line="18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Subs</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4" w:right="459" w:bottom="1440" w:gutter="0" w:footer="0" w:header="0"/>
        </w:sectPr>
      </w:pPr>
    </w:p>
    <w:bookmarkStart w:id="278" w:name="page279"/>
    <w:bookmarkEnd w:id="278"/>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including the Nasdaq Global Select Market or such other Nasdaq market on which shares of Parent Common Stock are then listed.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 Listing Application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 Reverse Split</w:t>
      </w:r>
      <w:r>
        <w:rPr>
          <w:rFonts w:ascii="Arial" w:cs="Arial" w:eastAsia="Arial" w:hAnsi="Arial"/>
          <w:sz w:val="18"/>
          <w:szCs w:val="18"/>
          <w:color w:val="auto"/>
        </w:rPr>
        <w:t>” means a reverse stock split of all outstanding shares of Parent Common Stock at a reverse stock split ratio to be reasonably determined by Parent for the purpose of maintaining compliance with Nasdaq listing standards.</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means, in the case of each of the Company and Parent, such actions taken in the ordinary course of its normal operations and consistent with its past practices.</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Associate</w:t>
      </w:r>
      <w:r>
        <w:rPr>
          <w:rFonts w:ascii="Arial" w:cs="Arial" w:eastAsia="Arial" w:hAnsi="Arial"/>
          <w:sz w:val="18"/>
          <w:szCs w:val="18"/>
          <w:color w:val="auto"/>
        </w:rPr>
        <w:t>” means any current or former employee, independent contractor, officer or director of Parent.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Balance Sheet</w:t>
      </w:r>
      <w:r>
        <w:rPr>
          <w:rFonts w:ascii="Arial" w:cs="Arial" w:eastAsia="Arial" w:hAnsi="Arial"/>
          <w:sz w:val="18"/>
          <w:szCs w:val="18"/>
          <w:color w:val="auto"/>
        </w:rPr>
        <w:t>” means the unaudited balance sheet of Parent as of March 31, 2023 (the “</w:t>
      </w:r>
      <w:r>
        <w:rPr>
          <w:rFonts w:ascii="Arial" w:cs="Arial" w:eastAsia="Arial" w:hAnsi="Arial"/>
          <w:sz w:val="18"/>
          <w:szCs w:val="18"/>
          <w:b w:val="1"/>
          <w:bCs w:val="1"/>
          <w:i w:val="1"/>
          <w:iCs w:val="1"/>
          <w:color w:val="auto"/>
        </w:rPr>
        <w:t>Parent Balance Sheet Date</w:t>
      </w:r>
      <w:r>
        <w:rPr>
          <w:rFonts w:ascii="Arial" w:cs="Arial" w:eastAsia="Arial" w:hAnsi="Arial"/>
          <w:sz w:val="18"/>
          <w:szCs w:val="18"/>
          <w:color w:val="auto"/>
        </w:rPr>
        <w:t>”) provided to the Company prior to the date of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Board</w:t>
      </w:r>
      <w:r>
        <w:rPr>
          <w:rFonts w:ascii="Arial" w:cs="Arial" w:eastAsia="Arial" w:hAnsi="Arial"/>
          <w:sz w:val="18"/>
          <w:szCs w:val="18"/>
          <w:color w:val="auto"/>
        </w:rPr>
        <w:t>” means the board of directors of Parent.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w:t>
      </w:r>
      <w:r>
        <w:rPr>
          <w:rFonts w:ascii="Arial" w:cs="Arial" w:eastAsia="Arial" w:hAnsi="Arial"/>
          <w:sz w:val="18"/>
          <w:szCs w:val="18"/>
          <w:color w:val="auto"/>
        </w:rPr>
        <w:t>” means the Common Stock, $0.0001 par value per share, of Parent.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 Consideration 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 Consideration 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 Payment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Contract</w:t>
      </w:r>
      <w:r>
        <w:rPr>
          <w:rFonts w:ascii="Arial" w:cs="Arial" w:eastAsia="Arial" w:hAnsi="Arial"/>
          <w:sz w:val="16"/>
          <w:szCs w:val="16"/>
          <w:color w:val="auto"/>
        </w:rPr>
        <w:t>” means any Contract: (a) to which Parent or any of its Subsidiaries is a party; (b) by which Parent or any of its Subsidiaries or any Parent IP or any other asset of Parent or any of its Subsidiaries is or may become bound or under which Parent or any of its Subsidiaries has, or may become subject to, any obligation; or (c) under which Parent or any of its Subsidiaries has or may acquire any right or interest.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40" w:top="274" w:right="479" w:bottom="1440" w:gutter="0" w:footer="0" w:header="0"/>
        </w:sectPr>
      </w:pPr>
    </w:p>
    <w:bookmarkStart w:id="279" w:name="page280"/>
    <w:bookmarkEnd w:id="279"/>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Parent Convertible Preferred Stock</w:t>
      </w:r>
      <w:r>
        <w:rPr>
          <w:rFonts w:ascii="Arial" w:cs="Arial" w:eastAsia="Arial" w:hAnsi="Arial"/>
          <w:sz w:val="18"/>
          <w:szCs w:val="18"/>
          <w:color w:val="auto"/>
        </w:rPr>
        <w:t>” means Parent’s non-voting convertible preferred stock, par value $0.0001 per share, with the rights, preferences, powers and privileges specified in the Certificate of Designation.</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Covered Person</w:t>
      </w:r>
      <w:r>
        <w:rPr>
          <w:rFonts w:ascii="Arial" w:cs="Arial" w:eastAsia="Arial" w:hAnsi="Arial"/>
          <w:sz w:val="18"/>
          <w:szCs w:val="18"/>
          <w:color w:val="auto"/>
        </w:rPr>
        <w:t>” means, with respect to Parent as an “issuer” for purposes of Rule 506 promulgated under the Securities Act, any Person listed in the first paragraph of Rule 506(d)(1).</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Data</w:t>
      </w:r>
      <w:r>
        <w:rPr>
          <w:rFonts w:ascii="Arial" w:cs="Arial" w:eastAsia="Arial" w:hAnsi="Arial"/>
          <w:sz w:val="18"/>
          <w:szCs w:val="18"/>
          <w:color w:val="auto"/>
        </w:rPr>
        <w:t>” means all data and information Processed by or for Parent or any of its Subsidiaries.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Disclosure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ERISA Affiliate</w:t>
      </w:r>
      <w:r>
        <w:rPr>
          <w:rFonts w:ascii="Arial" w:cs="Arial" w:eastAsia="Arial" w:hAnsi="Arial"/>
          <w:sz w:val="18"/>
          <w:szCs w:val="18"/>
          <w:color w:val="auto"/>
        </w:rPr>
        <w:t>” means any corporation or trade or business (whether or not incorporated) which is (or at any relevant time was) treated with Parent or any of its Subsidiaries as a single employer within the meaning of Section 414 of the Code.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ESPP</w:t>
      </w:r>
      <w:r>
        <w:rPr>
          <w:rFonts w:ascii="Arial" w:cs="Arial" w:eastAsia="Arial" w:hAnsi="Arial"/>
          <w:sz w:val="18"/>
          <w:szCs w:val="18"/>
          <w:color w:val="auto"/>
        </w:rPr>
        <w:t>” means Parent’s 2016 Employee Stock Purchase Plan, as may be amended from time to time.</w:t>
      </w:r>
    </w:p>
    <w:p>
      <w:pPr>
        <w:spacing w:after="0" w:line="225" w:lineRule="exact"/>
        <w:rPr>
          <w:sz w:val="20"/>
          <w:szCs w:val="20"/>
          <w:color w:val="auto"/>
        </w:rPr>
      </w:pPr>
    </w:p>
    <w:p>
      <w:pPr>
        <w:ind w:right="3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Financing</w:t>
      </w:r>
      <w:r>
        <w:rPr>
          <w:rFonts w:ascii="Arial" w:cs="Arial" w:eastAsia="Arial" w:hAnsi="Arial"/>
          <w:sz w:val="16"/>
          <w:szCs w:val="16"/>
          <w:color w:val="auto"/>
        </w:rPr>
        <w:t>” means an acquisition of shares of Parent Convertible Preferred Stock to be consummated concurrently with the Closing pursuant to the Securities Purchase Agreement with aggregate gross cash proceeds to Parent of at least the Concurrent Investment Amount.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Foreign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3.17(l)</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In-bound 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3.12(d)</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IP</w:t>
      </w:r>
      <w:r>
        <w:rPr>
          <w:rFonts w:ascii="Arial" w:cs="Arial" w:eastAsia="Arial" w:hAnsi="Arial"/>
          <w:sz w:val="18"/>
          <w:szCs w:val="18"/>
          <w:color w:val="auto"/>
        </w:rPr>
        <w:t>” means all Intellectual Property Rights that are owned or purported to be owned by, assigned to, or exclusively licensed by, Parent or its Subsidiaries.</w:t>
      </w:r>
    </w:p>
    <w:p>
      <w:pPr>
        <w:spacing w:after="0" w:line="170"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Material Adverse Effect</w:t>
      </w:r>
      <w:r>
        <w:rPr>
          <w:rFonts w:ascii="Arial" w:cs="Arial" w:eastAsia="Arial" w:hAnsi="Arial"/>
          <w:sz w:val="17"/>
          <w:szCs w:val="17"/>
          <w:color w:val="auto"/>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condition (financial or otherwise), assets, liabilities or results of operations of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Effects arising or resulting from the following shall not be taken into account in determining whether there has been a Parent Material Adverse Effect: (a) general business or economic conditions affecting the industry in which Parent operates, (b) acts of war, armed hostilities or terrorism, acts of God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(d) the taking of any action required to be taken by this Agreement, (e)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(f) any change in, or any compliance with or action taken for the purpose of complying with, any Law or GAAP (or interpretations of any Law or GAAP); (g) resulting from the announcement of this Agreement or the pendency of the Contemplated Transactions; </w:t>
      </w:r>
      <w:r>
        <w:rPr>
          <w:rFonts w:ascii="Arial" w:cs="Arial" w:eastAsia="Arial" w:hAnsi="Arial"/>
          <w:sz w:val="17"/>
          <w:szCs w:val="17"/>
          <w:i w:val="1"/>
          <w:iCs w:val="1"/>
          <w:color w:val="auto"/>
        </w:rPr>
        <w:t>provided</w:t>
      </w:r>
      <w:r>
        <w:rPr>
          <w:rFonts w:ascii="Arial" w:cs="Arial" w:eastAsia="Arial" w:hAnsi="Arial"/>
          <w:sz w:val="17"/>
          <w:szCs w:val="17"/>
          <w:color w:val="auto"/>
        </w:rPr>
        <w:t>, that this clause (e) shall not apply to any representation or warranty (or condition to the consummation of the Mergers relating to such representation or warranty) to the extent the representation and warranty expressly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0"/>
          </w:cols>
          <w:pgMar w:left="440" w:top="274" w:right="479" w:bottom="1440" w:gutter="0" w:footer="0" w:header="0"/>
        </w:sectPr>
      </w:pPr>
    </w:p>
    <w:bookmarkStart w:id="280" w:name="page281"/>
    <w:bookmarkEnd w:id="28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addresses the consequences resulting from the execution and delivery of this Agreement or the consummation of the Contemplated Transactions; or</w:t>
      </w:r>
    </w:p>
    <w:p>
      <w:pPr>
        <w:spacing w:after="0" w:line="46" w:lineRule="exact"/>
        <w:rPr>
          <w:sz w:val="20"/>
          <w:szCs w:val="20"/>
          <w:color w:val="auto"/>
        </w:rPr>
      </w:pPr>
    </w:p>
    <w:p>
      <w:pPr>
        <w:jc w:val="both"/>
        <w:ind w:left="4" w:right="60" w:hanging="4"/>
        <w:spacing w:after="0" w:line="255" w:lineRule="auto"/>
        <w:tabs>
          <w:tab w:leader="none" w:pos="25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resulting from the taking of any action or the failure to take any action, by Parent that is required to be taken by this Agreement, except in each case with respect to clauses (a) through (c), to the extent disproportionately affecting Parent relative to other similarly situated companies in the industries in which Parent operates.</w:t>
      </w:r>
    </w:p>
    <w:p>
      <w:pPr>
        <w:spacing w:after="0" w:line="19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Options</w:t>
      </w:r>
      <w:r>
        <w:rPr>
          <w:rFonts w:ascii="Arial" w:cs="Arial" w:eastAsia="Arial" w:hAnsi="Arial"/>
          <w:sz w:val="18"/>
          <w:szCs w:val="18"/>
          <w:color w:val="auto"/>
        </w:rPr>
        <w:t>” means options or other rights to purchase shares of Parent Common Stock issued by Parent.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Out-bound 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3.12(d)</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Outstanding Shares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4.14(b)</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3.14(b).</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Preferred Stock Payment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Real Estate 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RSUs</w:t>
      </w:r>
      <w:r>
        <w:rPr>
          <w:rFonts w:ascii="Arial" w:cs="Arial" w:eastAsia="Arial" w:hAnsi="Arial"/>
          <w:sz w:val="18"/>
          <w:szCs w:val="18"/>
          <w:color w:val="auto"/>
        </w:rPr>
        <w:t>” means any restricted stock unit award granted pursuant to the Parent Stock Plans.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Signatories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620" w:firstLine="991"/>
        <w:spacing w:after="0" w:line="277" w:lineRule="auto"/>
        <w:rPr>
          <w:sz w:val="20"/>
          <w:szCs w:val="20"/>
          <w:color w:val="auto"/>
        </w:rPr>
      </w:pPr>
      <w:r>
        <w:rPr>
          <w:rFonts w:ascii="Arial" w:cs="Arial" w:eastAsia="Arial" w:hAnsi="Arial"/>
          <w:sz w:val="18"/>
          <w:szCs w:val="18"/>
          <w:b w:val="1"/>
          <w:bCs w:val="1"/>
          <w:i w:val="1"/>
          <w:iCs w:val="1"/>
          <w:color w:val="auto"/>
        </w:rPr>
        <w:t>“Parent Stock Plans</w:t>
      </w:r>
      <w:r>
        <w:rPr>
          <w:rFonts w:ascii="Arial" w:cs="Arial" w:eastAsia="Arial" w:hAnsi="Arial"/>
          <w:sz w:val="18"/>
          <w:szCs w:val="18"/>
          <w:color w:val="auto"/>
        </w:rPr>
        <w:t>” means collectively, Parent’s 2015 Equity Incentive Plan, 2016 Equity Incentive Plan, 2016 Employee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Plan and 2018 Equity Incentive Plan, each as may be amended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Stockholder Matters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4.2(a)(iii)</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Stockholders’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4.2(a)(iii)</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the Company, First Merger Sub, Second Merger Sub and Parent.</w:t>
      </w:r>
    </w:p>
    <w:p>
      <w:pPr>
        <w:spacing w:after="0" w:line="225"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w:t>
      </w:r>
      <w:r>
        <w:rPr>
          <w:rFonts w:ascii="Arial" w:cs="Arial" w:eastAsia="Arial" w:hAnsi="Arial"/>
          <w:sz w:val="16"/>
          <w:szCs w:val="16"/>
          <w:color w:val="auto"/>
        </w:rPr>
        <w:t>” means: (a) any Encumbrance for current Taxes not yet due and payable or for Taxes that are being contested in good faith and, in each case, for which adequate reserves have been made on the Company Unaudited Interim Balance Sheet or the Parent Balance Sheet, as applicable, in accordance with GAAP; (b) minor liens that have arisen in the Ordinary Course of Business and that do not (in any case or in the aggregate) materially detract from the value of the assets or properties subject thereto or materially impair the operations of the Company or any of its Subsidiaries or Parent, as applicable; (c) liens to secure obligations to landlords, lessors or renters under leases or rental agreements;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84"/>
          </w:cols>
          <w:pgMar w:left="436" w:top="274" w:right="479" w:bottom="1440" w:gutter="0" w:footer="0" w:header="0"/>
        </w:sectPr>
      </w:pPr>
    </w:p>
    <w:bookmarkStart w:id="281" w:name="page282"/>
    <w:bookmarkEnd w:id="281"/>
    <w:p>
      <w:pPr>
        <w:ind w:left="4" w:right="20" w:hanging="4"/>
        <w:spacing w:after="0" w:line="257" w:lineRule="auto"/>
        <w:tabs>
          <w:tab w:leader="none" w:pos="259"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deposits or pledges made in connection with, or to secure payment of, workers’ compensation, unemployment insurance or similar programs mandated by Law; (e) non-exclusive licenses of Intellectual Property Rights granted by the Company or any of its Subsidiaries or Parent, as applicable, in the Ordinary Course of Business and that do not (in any case or in the aggregate) materially detract from the value of the Intellectual Property Rights subject thereto; and (f) statutory liens in favor of carriers, warehousemen, mechanics and materialmen, to secure claims for labor, materials or supplies the payment for which is not delinquent.</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Entity or Governmental Body.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 Conversion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Privacy and Data Processing Requirements</w:t>
      </w:r>
      <w:r>
        <w:rPr>
          <w:rFonts w:ascii="Arial" w:cs="Arial" w:eastAsia="Arial" w:hAnsi="Arial"/>
          <w:sz w:val="17"/>
          <w:szCs w:val="17"/>
          <w:color w:val="auto"/>
        </w:rPr>
        <w:t>” means any applicable (i) Law relating to privacy, data protection, or security, (ii) Data Processing Policy, or (iii) requirement of any self-regulatory organization, industry standard (including, as applicable, the Payment Card Industry Data Security Standard), or Contract by which the Company, Parent or their respective Subsidiaries are bound relating to the Processing of Company Data or Parent Data (as applicable), privacy, data protection, or security, including, in each case of (i) through (iii), in connection with direct marketing or the initiation, transmission, monitoring, interception, recording, or receipt of communications.</w:t>
      </w:r>
    </w:p>
    <w:p>
      <w:pPr>
        <w:spacing w:after="0" w:line="176" w:lineRule="exact"/>
        <w:rPr>
          <w:sz w:val="20"/>
          <w:szCs w:val="20"/>
          <w:color w:val="auto"/>
        </w:rPr>
      </w:pPr>
    </w:p>
    <w:p>
      <w:pPr>
        <w:ind w:left="4" w:right="1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Process</w:t>
      </w:r>
      <w:r>
        <w:rPr>
          <w:rFonts w:ascii="Arial" w:cs="Arial" w:eastAsia="Arial" w:hAnsi="Arial"/>
          <w:sz w:val="16"/>
          <w:szCs w:val="16"/>
          <w:color w:val="auto"/>
        </w:rPr>
        <w:t>” means, with respect to any data, information, or information technology system,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Date</w:t>
      </w:r>
      <w:r>
        <w:rPr>
          <w:rFonts w:ascii="Arial" w:cs="Arial" w:eastAsia="Arial" w:hAnsi="Arial"/>
          <w:sz w:val="18"/>
          <w:szCs w:val="18"/>
          <w:color w:val="auto"/>
        </w:rPr>
        <w:t>” means June 19, 2023.</w:t>
      </w:r>
    </w:p>
    <w:p>
      <w:pPr>
        <w:spacing w:after="0" w:line="225"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Registered IP</w:t>
      </w:r>
      <w:r>
        <w:rPr>
          <w:rFonts w:ascii="Arial" w:cs="Arial" w:eastAsia="Arial" w:hAnsi="Arial"/>
          <w:sz w:val="18"/>
          <w:szCs w:val="18"/>
          <w:color w:val="auto"/>
        </w:rPr>
        <w:t>” means all Intellectual Property Rights that are registered or issued under the authority of, with or by any Governmental Body, including all patents, registered copyrights, registered mask works, and registered trademarks, service marks and trade dress, and all applications for any of the foregoing.</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means directors, officers, employees, agents, attorneys, accountants, investment bankers, advisors and representatives.</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Company Stockholder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Parent Stockholder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means the Sarbanes-Oxley Act of 2002.</w:t>
      </w:r>
    </w:p>
    <w:p>
      <w:pPr>
        <w:spacing w:after="0" w:line="158" w:lineRule="exact"/>
        <w:rPr>
          <w:sz w:val="20"/>
          <w:szCs w:val="20"/>
          <w:color w:val="auto"/>
        </w:rPr>
      </w:pPr>
    </w:p>
    <w:p>
      <w:pPr>
        <w:ind w:left="5324"/>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24"/>
          </w:cols>
          <w:pgMar w:left="436" w:top="274" w:right="539" w:bottom="1440" w:gutter="0" w:footer="0" w:header="0"/>
        </w:sectPr>
      </w:pPr>
    </w:p>
    <w:bookmarkStart w:id="282" w:name="page283"/>
    <w:bookmarkEnd w:id="28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 Merger Sub Board</w:t>
      </w:r>
      <w:r>
        <w:rPr>
          <w:rFonts w:ascii="Arial" w:cs="Arial" w:eastAsia="Arial" w:hAnsi="Arial"/>
          <w:sz w:val="18"/>
          <w:szCs w:val="18"/>
          <w:color w:val="auto"/>
        </w:rPr>
        <w:t>” means the board of managers of Second Merger Sub.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Written Consent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An entity shall be deemed to be a ‘subsidiary’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Takeover Statute</w:t>
      </w:r>
      <w:r>
        <w:rPr>
          <w:rFonts w:ascii="Arial" w:cs="Arial" w:eastAsia="Arial" w:hAnsi="Arial"/>
          <w:sz w:val="18"/>
          <w:szCs w:val="18"/>
          <w:color w:val="auto"/>
        </w:rPr>
        <w:t>” means any “fair price,” “moratorium,” “control share acquisition” or other similar anti-takeover Law.</w:t>
      </w:r>
    </w:p>
    <w:p>
      <w:pPr>
        <w:spacing w:after="0" w:line="22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any (i) federal, state, local, foreign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duties, fees, assessments or governmental charges, surtaxes or deficiencies thereof in the nature of a tax, however denominated (whether imposed directly or through withholding and whether or not disputed), and including any fine, penalty, addition to tax, or interest or additional amount imposed by a Governmental Body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otherwise.</w:t>
      </w:r>
    </w:p>
    <w:p>
      <w:pPr>
        <w:spacing w:after="0" w:line="196"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(including any information return), report, statement, declaration, claim for refund, estimate, schedule, notice, notification, form, election, certificate or other document, and any amendment or supplement to any of the foregoing, filed with or submitted to, or required to be filed with or submitted to, any Governmental Body (or provided to a payee) in connection with the determination, assessment, collection or payment of any Tax or in connection with the administration, implementation or enforcement of or compliance with any Law relating to any Tax.</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80"/>
          </w:cols>
          <w:pgMar w:left="440" w:top="274" w:right="479" w:bottom="1440" w:gutter="0" w:footer="0" w:header="0"/>
        </w:sectPr>
      </w:pPr>
    </w:p>
    <w:bookmarkStart w:id="283" w:name="page284"/>
    <w:bookmarkEnd w:id="28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means the Worker Adjustment Retraining and Notification Act of 1988, as amended, or any similar state or local plant closing mass layoff statute, rule or regulation.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w:t>
      </w:r>
    </w:p>
    <w:p>
      <w:pPr>
        <w:spacing w:after="0" w:line="200" w:lineRule="exact"/>
        <w:rPr>
          <w:sz w:val="20"/>
          <w:szCs w:val="20"/>
          <w:color w:val="auto"/>
        </w:rPr>
      </w:pPr>
    </w:p>
    <w:p>
      <w:pPr>
        <w:spacing w:after="0" w:line="32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520"/>
          </w:cols>
          <w:pgMar w:left="440" w:top="274" w:right="939"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Form of Lock-Up Agreement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0"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Privileged and 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Final Form</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[_],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Aeglea Biotherapetuics,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805 Las Cimas Parkway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Austin, TX 78746</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The undersigned signatory of this lock-up agreement (this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understands that Aeglea Biotherapetuics, Inc. a Delaware corporation (including any successor thereto,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has entered into an Agreement and Plan of Merger, dated as of June [_], 2023 (as the same may be amended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with Aspen Merger Sub I, Inc., a Delaware corporation and a wholly owned subsidiary of Parent, Sequoia Merger Sub II, LLC, a Delaware limited liability company and a wholly owned subsidiary of Parent, and Spyre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Capitalized terms used but not otherwise defined herein shall have the respective meanings ascribed to such terms in the Merger Agreement.</w:t>
      </w:r>
    </w:p>
    <w:p>
      <w:pPr>
        <w:spacing w:after="0" w:line="192" w:lineRule="exact"/>
        <w:rPr>
          <w:sz w:val="20"/>
          <w:szCs w:val="20"/>
          <w:color w:val="auto"/>
        </w:rPr>
      </w:pPr>
    </w:p>
    <w:p>
      <w:pPr>
        <w:jc w:val="both"/>
        <w:ind w:left="4" w:right="60" w:hanging="4"/>
        <w:spacing w:after="0" w:line="301" w:lineRule="auto"/>
        <w:tabs>
          <w:tab w:leader="none" w:pos="184" w:val="left"/>
        </w:tabs>
        <w:numPr>
          <w:ilvl w:val="0"/>
          <w:numId w:val="185"/>
        </w:numPr>
        <w:rPr>
          <w:rFonts w:ascii="Arial" w:cs="Arial" w:eastAsia="Arial" w:hAnsi="Arial"/>
          <w:sz w:val="16"/>
          <w:szCs w:val="16"/>
          <w:b w:val="1"/>
          <w:bCs w:val="1"/>
          <w:color w:val="auto"/>
        </w:rPr>
      </w:pPr>
      <w:r>
        <w:rPr>
          <w:rFonts w:ascii="Arial" w:cs="Arial" w:eastAsia="Arial" w:hAnsi="Arial"/>
          <w:sz w:val="16"/>
          <w:szCs w:val="16"/>
          <w:color w:val="auto"/>
        </w:rPr>
        <w:t>As a condition and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Parent and, solely prior to the Closing, the Company, the undersigned will not, during the period commencing upon the Closing and ending on the date that is 180 days after the Closing Date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w:t>
      </w:r>
    </w:p>
    <w:p>
      <w:pPr>
        <w:spacing w:after="0" w:line="157" w:lineRule="exact"/>
        <w:rPr>
          <w:rFonts w:ascii="Arial" w:cs="Arial" w:eastAsia="Arial" w:hAnsi="Arial"/>
          <w:sz w:val="16"/>
          <w:szCs w:val="16"/>
          <w:b w:val="1"/>
          <w:bCs w:val="1"/>
          <w:color w:val="auto"/>
        </w:rPr>
      </w:pPr>
    </w:p>
    <w:p>
      <w:pPr>
        <w:ind w:left="4" w:right="40" w:firstLine="987"/>
        <w:spacing w:after="0" w:line="255" w:lineRule="auto"/>
        <w:tabs>
          <w:tab w:leader="none" w:pos="1210"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Parent Convertible Preferred Stock or any securities convertible into or exercisable or exchangeable for Parent Common Stock (including without limitation, Parent Common Stock or such other securities which may be deemed to be beneficially owned by the undersigned in accordance with the rules and regulations of the SEC and securities of Parent which may be issued upon exercise of Parent Options or settlement of Parent RSUs) that are currently or hereafter owned by the undersigned (collectively, the “</w:t>
      </w:r>
      <w:r>
        <w:rPr>
          <w:rFonts w:ascii="Arial" w:cs="Arial" w:eastAsia="Arial" w:hAnsi="Arial"/>
          <w:sz w:val="18"/>
          <w:szCs w:val="18"/>
          <w:b w:val="1"/>
          <w:bCs w:val="1"/>
          <w:i w:val="1"/>
          <w:iCs w:val="1"/>
          <w:color w:val="auto"/>
        </w:rPr>
        <w:t>Undersigned’s Shares</w:t>
      </w:r>
      <w:r>
        <w:rPr>
          <w:rFonts w:ascii="Arial" w:cs="Arial" w:eastAsia="Arial" w:hAnsi="Arial"/>
          <w:sz w:val="18"/>
          <w:szCs w:val="18"/>
          <w:color w:val="auto"/>
        </w:rPr>
        <w:t>”);</w:t>
      </w:r>
    </w:p>
    <w:p>
      <w:pPr>
        <w:spacing w:after="0" w:line="192" w:lineRule="exact"/>
        <w:rPr>
          <w:rFonts w:ascii="Arial" w:cs="Arial" w:eastAsia="Arial" w:hAnsi="Arial"/>
          <w:sz w:val="18"/>
          <w:szCs w:val="18"/>
          <w:b w:val="1"/>
          <w:bCs w:val="1"/>
          <w:color w:val="auto"/>
        </w:rPr>
      </w:pPr>
    </w:p>
    <w:p>
      <w:pPr>
        <w:jc w:val="both"/>
        <w:ind w:left="4" w:right="440" w:firstLine="987"/>
        <w:spacing w:after="0" w:line="286" w:lineRule="auto"/>
        <w:tabs>
          <w:tab w:leader="none" w:pos="1260" w:val="left"/>
        </w:tabs>
        <w:numPr>
          <w:ilvl w:val="1"/>
          <w:numId w:val="185"/>
        </w:numPr>
        <w:rPr>
          <w:rFonts w:ascii="Arial" w:cs="Arial" w:eastAsia="Arial" w:hAnsi="Arial"/>
          <w:sz w:val="17"/>
          <w:szCs w:val="17"/>
          <w:b w:val="1"/>
          <w:bCs w:val="1"/>
          <w:color w:val="auto"/>
        </w:rPr>
      </w:pPr>
      <w:r>
        <w:rPr>
          <w:rFonts w:ascii="Arial" w:cs="Arial" w:eastAsia="Arial" w:hAnsi="Arial"/>
          <w:sz w:val="17"/>
          <w:szCs w:val="17"/>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Parent Convertible Preferred Stock or other securities, in cash or otherwise;</w:t>
      </w:r>
    </w:p>
    <w:p>
      <w:pPr>
        <w:spacing w:after="0" w:line="165" w:lineRule="exact"/>
        <w:rPr>
          <w:rFonts w:ascii="Arial" w:cs="Arial" w:eastAsia="Arial" w:hAnsi="Arial"/>
          <w:sz w:val="17"/>
          <w:szCs w:val="17"/>
          <w:b w:val="1"/>
          <w:bCs w:val="1"/>
          <w:color w:val="auto"/>
        </w:rPr>
      </w:pPr>
    </w:p>
    <w:p>
      <w:pPr>
        <w:ind w:left="4" w:right="20" w:firstLine="987"/>
        <w:spacing w:after="0" w:line="263" w:lineRule="auto"/>
        <w:tabs>
          <w:tab w:leader="none" w:pos="1310"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make any demand for, or exercise any right with respect to, the registration of any shares of Parent Common Stock, Parent Convertible Preferred Stock or any security convertible into or exercisable or exchangeable for Parent Common Stock (other than such rights set forth in the Merger Agreement); or</w:t>
      </w:r>
    </w:p>
    <w:p>
      <w:pPr>
        <w:spacing w:after="0" w:line="183" w:lineRule="exact"/>
        <w:rPr>
          <w:rFonts w:ascii="Arial" w:cs="Arial" w:eastAsia="Arial" w:hAnsi="Arial"/>
          <w:sz w:val="18"/>
          <w:szCs w:val="18"/>
          <w:b w:val="1"/>
          <w:bCs w:val="1"/>
          <w:color w:val="auto"/>
        </w:rPr>
      </w:pPr>
    </w:p>
    <w:p>
      <w:pPr>
        <w:ind w:left="1304" w:hanging="313"/>
        <w:spacing w:after="0"/>
        <w:tabs>
          <w:tab w:leader="none" w:pos="1304"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publicly disclose the intention to do any of the foregoing.</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4"/>
          </w:cols>
          <w:pgMar w:left="436" w:top="274" w:right="439" w:bottom="1440" w:gutter="0" w:footer="0" w:header="0"/>
        </w:sectPr>
      </w:pPr>
    </w:p>
    <w:bookmarkStart w:id="286" w:name="page287"/>
    <w:bookmarkEnd w:id="286"/>
    <w:p>
      <w:pPr>
        <w:ind w:left="184" w:hanging="184"/>
        <w:spacing w:after="0"/>
        <w:tabs>
          <w:tab w:leader="none" w:pos="184"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restrictions and obligations contemplated by this Lock-Up Agreement shall not apply to:</w:t>
      </w:r>
    </w:p>
    <w:p>
      <w:pPr>
        <w:spacing w:after="0" w:line="225" w:lineRule="exact"/>
        <w:rPr>
          <w:rFonts w:ascii="Arial" w:cs="Arial" w:eastAsia="Arial" w:hAnsi="Arial"/>
          <w:sz w:val="18"/>
          <w:szCs w:val="18"/>
          <w:b w:val="1"/>
          <w:bCs w:val="1"/>
          <w:color w:val="auto"/>
        </w:rPr>
      </w:pPr>
    </w:p>
    <w:p>
      <w:pPr>
        <w:ind w:left="704" w:hanging="264"/>
        <w:spacing w:after="0"/>
        <w:tabs>
          <w:tab w:leader="none" w:pos="704" w:val="left"/>
        </w:tabs>
        <w:numPr>
          <w:ilvl w:val="1"/>
          <w:numId w:val="186"/>
        </w:numPr>
        <w:rPr>
          <w:rFonts w:ascii="Arial" w:cs="Arial" w:eastAsia="Arial" w:hAnsi="Arial"/>
          <w:sz w:val="18"/>
          <w:szCs w:val="18"/>
          <w:b w:val="1"/>
          <w:bCs w:val="1"/>
          <w:color w:val="auto"/>
        </w:rPr>
      </w:pPr>
      <w:r>
        <w:rPr>
          <w:rFonts w:ascii="Arial" w:cs="Arial" w:eastAsia="Arial" w:hAnsi="Arial"/>
          <w:sz w:val="18"/>
          <w:szCs w:val="18"/>
          <w:color w:val="auto"/>
        </w:rPr>
        <w:t>transfers of the Undersigned’s Shares:</w:t>
      </w:r>
    </w:p>
    <w:p>
      <w:pPr>
        <w:spacing w:after="0" w:line="225" w:lineRule="exact"/>
        <w:rPr>
          <w:rFonts w:ascii="Arial" w:cs="Arial" w:eastAsia="Arial" w:hAnsi="Arial"/>
          <w:sz w:val="18"/>
          <w:szCs w:val="18"/>
          <w:b w:val="1"/>
          <w:bCs w:val="1"/>
          <w:color w:val="auto"/>
        </w:rPr>
      </w:pPr>
    </w:p>
    <w:p>
      <w:pPr>
        <w:ind w:left="4" w:firstLine="987"/>
        <w:spacing w:after="0" w:line="273" w:lineRule="auto"/>
        <w:tabs>
          <w:tab w:leader="none" w:pos="1210" w:val="left"/>
        </w:tabs>
        <w:numPr>
          <w:ilvl w:val="2"/>
          <w:numId w:val="186"/>
        </w:numPr>
        <w:rPr>
          <w:rFonts w:ascii="Arial" w:cs="Arial" w:eastAsia="Arial" w:hAnsi="Arial"/>
          <w:sz w:val="17"/>
          <w:szCs w:val="17"/>
          <w:b w:val="1"/>
          <w:bCs w:val="1"/>
          <w:color w:val="auto"/>
        </w:rPr>
      </w:pPr>
      <w:r>
        <w:rPr>
          <w:rFonts w:ascii="Arial" w:cs="Arial" w:eastAsia="Arial" w:hAnsi="Arial"/>
          <w:sz w:val="17"/>
          <w:szCs w:val="17"/>
          <w:color w:val="auto"/>
        </w:rPr>
        <w:t>if the undersigned is a natural person, (A) to any person related to the undersigned (or to an ultimate beneficial owner of the undersigned) by blood or adoption who is an immediate family member of the undersigned, or by marriage or domestic partnership (a “</w:t>
      </w:r>
      <w:r>
        <w:rPr>
          <w:rFonts w:ascii="Arial" w:cs="Arial" w:eastAsia="Arial" w:hAnsi="Arial"/>
          <w:sz w:val="17"/>
          <w:szCs w:val="17"/>
          <w:b w:val="1"/>
          <w:bCs w:val="1"/>
          <w:i w:val="1"/>
          <w:iCs w:val="1"/>
          <w:color w:val="auto"/>
        </w:rPr>
        <w:t>Family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or to a trust formed for the benefit of the undersigned or any of the undersigned’s Family Members, (B) to the undersigned’s estate,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following the death of the undersigned, by will, intestacy or other operation of Law, (C) as a bona fide charitable gift or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p>
      <w:pPr>
        <w:spacing w:after="0" w:line="177" w:lineRule="exact"/>
        <w:rPr>
          <w:rFonts w:ascii="Arial" w:cs="Arial" w:eastAsia="Arial" w:hAnsi="Arial"/>
          <w:sz w:val="17"/>
          <w:szCs w:val="17"/>
          <w:b w:val="1"/>
          <w:bCs w:val="1"/>
          <w:color w:val="auto"/>
        </w:rPr>
      </w:pPr>
    </w:p>
    <w:p>
      <w:pPr>
        <w:ind w:left="4" w:right="60" w:firstLine="987"/>
        <w:spacing w:after="0" w:line="272" w:lineRule="auto"/>
        <w:tabs>
          <w:tab w:leader="none" w:pos="1260" w:val="left"/>
        </w:tabs>
        <w:numPr>
          <w:ilvl w:val="2"/>
          <w:numId w:val="186"/>
        </w:numPr>
        <w:rPr>
          <w:rFonts w:ascii="Arial" w:cs="Arial" w:eastAsia="Arial" w:hAnsi="Arial"/>
          <w:sz w:val="17"/>
          <w:szCs w:val="17"/>
          <w:b w:val="1"/>
          <w:bCs w:val="1"/>
          <w:color w:val="auto"/>
        </w:rPr>
      </w:pPr>
      <w:r>
        <w:rPr>
          <w:rFonts w:ascii="Arial" w:cs="Arial" w:eastAsia="Arial" w:hAnsi="Arial"/>
          <w:sz w:val="17"/>
          <w:szCs w:val="17"/>
          <w:color w:val="auto"/>
        </w:rPr>
        <w:t>if the undersigned is a corporation, partnership or other Entity, (A) to another corporation, partnership, or other Entity that is an affiliate (as defined under Rule 12b-2 of the Exchange Act) of the undersigned, including investment funds or other entities under common control or management with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charitable gift or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177" w:lineRule="exact"/>
        <w:rPr>
          <w:rFonts w:ascii="Arial" w:cs="Arial" w:eastAsia="Arial" w:hAnsi="Arial"/>
          <w:sz w:val="17"/>
          <w:szCs w:val="17"/>
          <w:b w:val="1"/>
          <w:bCs w:val="1"/>
          <w:color w:val="auto"/>
        </w:rPr>
      </w:pPr>
    </w:p>
    <w:p>
      <w:pPr>
        <w:ind w:left="1304" w:hanging="313"/>
        <w:spacing w:after="0"/>
        <w:tabs>
          <w:tab w:leader="none" w:pos="1304" w:val="left"/>
        </w:tabs>
        <w:numPr>
          <w:ilvl w:val="2"/>
          <w:numId w:val="186"/>
        </w:numPr>
        <w:rPr>
          <w:rFonts w:ascii="Arial" w:cs="Arial" w:eastAsia="Arial" w:hAnsi="Arial"/>
          <w:sz w:val="18"/>
          <w:szCs w:val="18"/>
          <w:b w:val="1"/>
          <w:bCs w:val="1"/>
          <w:color w:val="auto"/>
        </w:rPr>
      </w:pPr>
      <w:r>
        <w:rPr>
          <w:rFonts w:ascii="Arial" w:cs="Arial" w:eastAsia="Arial" w:hAnsi="Arial"/>
          <w:sz w:val="18"/>
          <w:szCs w:val="18"/>
          <w:color w:val="auto"/>
        </w:rPr>
        <w:t>if the undersigned is a trust, to any grantors or beneficiaries of the trust;</w:t>
      </w:r>
    </w:p>
    <w:p>
      <w:pPr>
        <w:spacing w:after="0" w:line="225" w:lineRule="exact"/>
        <w:rPr>
          <w:sz w:val="20"/>
          <w:szCs w:val="20"/>
          <w:color w:val="auto"/>
        </w:rPr>
      </w:pPr>
    </w:p>
    <w:p>
      <w:pPr>
        <w:ind w:left="4" w:right="160"/>
        <w:spacing w:after="0" w:line="311" w:lineRule="auto"/>
        <w:rPr>
          <w:sz w:val="20"/>
          <w:szCs w:val="20"/>
          <w:color w:val="auto"/>
        </w:rPr>
      </w:pP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in the case of any transfer or distribution pursuant to this clause (a), such transfer is not for value and each donee, heir, beneficiary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transferee or distributee shall sign and deliver to Parent a lock-up agreement in the form of this Lock-Up Agreement with respect to the shares of Parent Common Stock, Parent Convertible Preferred Stock or such other securities that have been so transferred or distributed;</w:t>
      </w:r>
    </w:p>
    <w:p>
      <w:pPr>
        <w:spacing w:after="0" w:line="149" w:lineRule="exact"/>
        <w:rPr>
          <w:sz w:val="20"/>
          <w:szCs w:val="20"/>
          <w:color w:val="auto"/>
        </w:rPr>
      </w:pPr>
    </w:p>
    <w:p>
      <w:pPr>
        <w:ind w:left="4" w:right="40" w:firstLine="436"/>
        <w:spacing w:after="0" w:line="259" w:lineRule="auto"/>
        <w:tabs>
          <w:tab w:leader="none" w:pos="709"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for the avoidance of doubt, the underlying shares of Parent Common Stock shall continue to be subject to the restrictions on transfer set forth in this Lock-Up Agreement;</w:t>
      </w:r>
    </w:p>
    <w:p>
      <w:pPr>
        <w:spacing w:after="0" w:line="186" w:lineRule="exact"/>
        <w:rPr>
          <w:rFonts w:ascii="Arial" w:cs="Arial" w:eastAsia="Arial" w:hAnsi="Arial"/>
          <w:sz w:val="18"/>
          <w:szCs w:val="18"/>
          <w:b w:val="1"/>
          <w:bCs w:val="1"/>
          <w:color w:val="auto"/>
        </w:rPr>
      </w:pPr>
    </w:p>
    <w:p>
      <w:pPr>
        <w:ind w:left="4" w:right="140" w:firstLine="436"/>
        <w:spacing w:after="0" w:line="277" w:lineRule="auto"/>
        <w:tabs>
          <w:tab w:leader="none" w:pos="689"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the disposition (including a forfeiture or repurchase) to Parent of any shares of restricted stock granted pursuant to the terms of any employee benefit plan or restricted stock purchase agreement;</w:t>
      </w:r>
    </w:p>
    <w:p>
      <w:pPr>
        <w:spacing w:after="0" w:line="170" w:lineRule="exact"/>
        <w:rPr>
          <w:rFonts w:ascii="Arial" w:cs="Arial" w:eastAsia="Arial" w:hAnsi="Arial"/>
          <w:sz w:val="18"/>
          <w:szCs w:val="18"/>
          <w:b w:val="1"/>
          <w:bCs w:val="1"/>
          <w:color w:val="auto"/>
        </w:rPr>
      </w:pPr>
    </w:p>
    <w:p>
      <w:pPr>
        <w:ind w:left="4" w:right="260" w:firstLine="436"/>
        <w:spacing w:after="0" w:line="311" w:lineRule="auto"/>
        <w:tabs>
          <w:tab w:leader="none" w:pos="709"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 xml:space="preserve">transfers to Parent in connection with the net settlement of any Parent RSU or other equity award that represents the right to receive in the future shares of Parent Common Stock settled in Parent Common Stock to pay any tax withholding obligations;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for the avoidance of doubt, the underlying shares of Parent Common Stock shall continue to be subject to the restrictions on transfer set forth in this Lock-Up Agreement;</w:t>
      </w:r>
    </w:p>
    <w:p>
      <w:pPr>
        <w:spacing w:after="0" w:line="148" w:lineRule="exact"/>
        <w:rPr>
          <w:rFonts w:ascii="Arial" w:cs="Arial" w:eastAsia="Arial" w:hAnsi="Arial"/>
          <w:sz w:val="16"/>
          <w:szCs w:val="16"/>
          <w:b w:val="1"/>
          <w:bCs w:val="1"/>
          <w:color w:val="auto"/>
        </w:rPr>
      </w:pPr>
    </w:p>
    <w:p>
      <w:pPr>
        <w:ind w:left="4" w:right="240" w:firstLine="436"/>
        <w:spacing w:after="0" w:line="277" w:lineRule="auto"/>
        <w:tabs>
          <w:tab w:leader="none" w:pos="689"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 xml:space="preserve">the establishment of a trading plan pursuant to Rule 10b5-1 under the Exchange Act for the transfer of Parent Common Stock;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such plan does not provide for any transfers of Parent Common Stock during the Restricted Period;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04"/>
          </w:cols>
          <w:pgMar w:left="436" w:top="274" w:right="459" w:bottom="1440" w:gutter="0" w:footer="0" w:header="0"/>
        </w:sectPr>
      </w:pPr>
    </w:p>
    <w:bookmarkStart w:id="287" w:name="page288"/>
    <w:bookmarkEnd w:id="287"/>
    <w:p>
      <w:pPr>
        <w:ind w:left="4" w:right="280" w:firstLine="436"/>
        <w:spacing w:after="0" w:line="277" w:lineRule="auto"/>
        <w:tabs>
          <w:tab w:leader="none" w:pos="669"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by the undersigned of shares of Parent Common Stock purchased by the undersigned on the open market or in a public offering by Parent, in each case following the Closing Date;</w:t>
      </w:r>
    </w:p>
    <w:p>
      <w:pPr>
        <w:spacing w:after="0" w:line="170" w:lineRule="exact"/>
        <w:rPr>
          <w:rFonts w:ascii="Arial" w:cs="Arial" w:eastAsia="Arial" w:hAnsi="Arial"/>
          <w:sz w:val="18"/>
          <w:szCs w:val="18"/>
          <w:b w:val="1"/>
          <w:bCs w:val="1"/>
          <w:color w:val="auto"/>
        </w:rPr>
      </w:pPr>
    </w:p>
    <w:p>
      <w:pPr>
        <w:ind w:left="4" w:right="140" w:firstLine="436"/>
        <w:spacing w:after="0" w:line="286" w:lineRule="auto"/>
        <w:tabs>
          <w:tab w:leader="none" w:pos="699" w:val="left"/>
        </w:tabs>
        <w:numPr>
          <w:ilvl w:val="0"/>
          <w:numId w:val="188"/>
        </w:numPr>
        <w:rPr>
          <w:rFonts w:ascii="Arial" w:cs="Arial" w:eastAsia="Arial" w:hAnsi="Arial"/>
          <w:sz w:val="17"/>
          <w:szCs w:val="17"/>
          <w:b w:val="1"/>
          <w:bCs w:val="1"/>
          <w:color w:val="auto"/>
        </w:rPr>
      </w:pPr>
      <w:r>
        <w:rPr>
          <w:rFonts w:ascii="Arial" w:cs="Arial" w:eastAsia="Arial" w:hAnsi="Arial"/>
          <w:sz w:val="17"/>
          <w:szCs w:val="17"/>
          <w:color w:val="auto"/>
        </w:rPr>
        <w:t xml:space="preserve">pursuant to a bona-fide third party tender offer, merger, consolidation or other similar transaction made to all holders of Parent’s capital stock involving a change of control of Parent,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xml:space="preserve"> in the event that such tender offer, merger, consolidation or other such transaction is not completed, the Undersigned’s Shares shall remain subject to the restrictions contained in this Lock-Up Agreement; or</w:t>
      </w:r>
    </w:p>
    <w:p>
      <w:pPr>
        <w:spacing w:after="0" w:line="165" w:lineRule="exact"/>
        <w:rPr>
          <w:rFonts w:ascii="Arial" w:cs="Arial" w:eastAsia="Arial" w:hAnsi="Arial"/>
          <w:sz w:val="17"/>
          <w:szCs w:val="17"/>
          <w:b w:val="1"/>
          <w:bCs w:val="1"/>
          <w:color w:val="auto"/>
        </w:rPr>
      </w:pPr>
    </w:p>
    <w:p>
      <w:pPr>
        <w:ind w:left="704" w:hanging="264"/>
        <w:spacing w:after="0"/>
        <w:tabs>
          <w:tab w:leader="none" w:pos="704"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pursuant to an order of a court or regulatory agency;</w:t>
      </w:r>
    </w:p>
    <w:p>
      <w:pPr>
        <w:spacing w:after="0" w:line="225" w:lineRule="exact"/>
        <w:rPr>
          <w:sz w:val="20"/>
          <w:szCs w:val="20"/>
          <w:color w:val="auto"/>
        </w:rPr>
      </w:pPr>
    </w:p>
    <w:p>
      <w:pPr>
        <w:ind w:left="4" w:right="40"/>
        <w:spacing w:after="0" w:line="284"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u w:val="single" w:color="auto"/>
          <w:color w:val="auto"/>
        </w:rPr>
        <w:t>,</w:t>
      </w:r>
      <w:r>
        <w:rPr>
          <w:rFonts w:ascii="Arial" w:cs="Arial" w:eastAsia="Arial" w:hAnsi="Arial"/>
          <w:sz w:val="16"/>
          <w:szCs w:val="16"/>
          <w:color w:val="auto"/>
        </w:rPr>
        <w:t xml:space="preserve"> that, with respect to each of (a), (b), (c), (d) and (e)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Parent Common Stock or in connection with the net settlement of any RSU or other equity award that represents the right to receive in the future shares of Parent Common Stock settled in Parent Common Stock that would otherwise expire during the Restricted Period, </w:t>
      </w:r>
      <w:r>
        <w:rPr>
          <w:rFonts w:ascii="Arial" w:cs="Arial" w:eastAsia="Arial" w:hAnsi="Arial"/>
          <w:sz w:val="16"/>
          <w:szCs w:val="16"/>
          <w:i w:val="1"/>
          <w:iCs w:val="1"/>
          <w:u w:val="single" w:color="auto"/>
          <w:color w:val="auto"/>
        </w:rPr>
        <w:t>provided that</w:t>
      </w:r>
    </w:p>
    <w:p>
      <w:pPr>
        <w:spacing w:after="0" w:line="4" w:lineRule="exact"/>
        <w:rPr>
          <w:sz w:val="20"/>
          <w:szCs w:val="20"/>
          <w:color w:val="auto"/>
        </w:rPr>
      </w:pPr>
    </w:p>
    <w:p>
      <w:pPr>
        <w:ind w:left="4" w:right="340" w:hanging="4"/>
        <w:spacing w:after="0" w:line="323" w:lineRule="auto"/>
        <w:tabs>
          <w:tab w:leader="none" w:pos="21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reasonable notice shall be provided to Parent prior to any such filing) and (ii) such filing, report or announcement shall clearly indicate in the footnotes therein, in reasonable detail, a description of the circumstances of the transfer and that the shares remain subject to the lock-up agreement.</w:t>
      </w:r>
    </w:p>
    <w:p>
      <w:pPr>
        <w:spacing w:after="0" w:line="138"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other than the Contemplated Transactions.</w:t>
      </w:r>
    </w:p>
    <w:p>
      <w:pPr>
        <w:spacing w:after="0" w:line="187" w:lineRule="exact"/>
        <w:rPr>
          <w:sz w:val="20"/>
          <w:szCs w:val="20"/>
          <w:color w:val="auto"/>
        </w:rPr>
      </w:pPr>
    </w:p>
    <w:p>
      <w:pPr>
        <w:ind w:left="4" w:hanging="4"/>
        <w:spacing w:after="0" w:line="272" w:lineRule="auto"/>
        <w:tabs>
          <w:tab w:leader="none" w:pos="184"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Parent Convertible Preferred Stock or any securities convertible into or exercisable or exchangeable for Parent Common Stock:</w:t>
      </w:r>
    </w:p>
    <w:p>
      <w:pPr>
        <w:spacing w:after="0" w:line="69" w:lineRule="exact"/>
        <w:rPr>
          <w:sz w:val="20"/>
          <w:szCs w:val="20"/>
          <w:color w:val="auto"/>
        </w:rPr>
      </w:pPr>
    </w:p>
    <w:p>
      <w:pPr>
        <w:ind w:left="444" w:right="340"/>
        <w:spacing w:after="0" w:line="308" w:lineRule="auto"/>
        <w:rPr>
          <w:sz w:val="20"/>
          <w:szCs w:val="20"/>
          <w:color w:val="auto"/>
        </w:rPr>
      </w:pPr>
      <w:r>
        <w:rPr>
          <w:rFonts w:ascii="Arial" w:cs="Arial" w:eastAsia="Arial" w:hAnsi="Arial"/>
          <w:sz w:val="17"/>
          <w:szCs w:val="17"/>
          <w:color w:val="auto"/>
        </w:rPr>
        <w:t>THE SHARES REPRESENTED BY THIS CERTIFICATE ARE SUBJECT TO AND MAY ONLY BE TRANSFERRED IN COMPLIANCE WITH A LOCK-UP AGREEMENT, A COPY OF WHICH IS ON FILE AT THE PRINCIPAL OFFICE OF THE COMPANY.</w:t>
      </w:r>
    </w:p>
    <w:p>
      <w:pPr>
        <w:spacing w:after="0" w:line="146" w:lineRule="exact"/>
        <w:rPr>
          <w:sz w:val="20"/>
          <w:szCs w:val="20"/>
          <w:color w:val="auto"/>
        </w:rPr>
      </w:pPr>
    </w:p>
    <w:p>
      <w:pPr>
        <w:ind w:left="4" w:hanging="4"/>
        <w:spacing w:after="0" w:line="263" w:lineRule="auto"/>
        <w:tabs>
          <w:tab w:leader="none" w:pos="184"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04"/>
          </w:cols>
          <w:pgMar w:left="436" w:top="274" w:right="459" w:bottom="1440" w:gutter="0" w:footer="0" w:header="0"/>
        </w:sectPr>
      </w:pPr>
    </w:p>
    <w:bookmarkStart w:id="288" w:name="page289"/>
    <w:bookmarkEnd w:id="288"/>
    <w:p>
      <w:pPr>
        <w:ind w:left="4" w:right="120" w:hanging="4"/>
        <w:spacing w:after="0" w:line="263" w:lineRule="auto"/>
        <w:tabs>
          <w:tab w:leader="none" w:pos="184"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understands that if the Merger Agreement is terminated for any reason, the undersigned shall be released from all obligations under this Lock-Up Agreement. The undersigned understands that Parent and the Company are proceeding with the Contemplated Transactions in reliance upon this Lock-Up Agreement.</w:t>
      </w:r>
    </w:p>
    <w:p>
      <w:pPr>
        <w:spacing w:after="0" w:line="183" w:lineRule="exact"/>
        <w:rPr>
          <w:rFonts w:ascii="Arial" w:cs="Arial" w:eastAsia="Arial" w:hAnsi="Arial"/>
          <w:sz w:val="18"/>
          <w:szCs w:val="18"/>
          <w:b w:val="1"/>
          <w:bCs w:val="1"/>
          <w:color w:val="auto"/>
        </w:rPr>
      </w:pPr>
    </w:p>
    <w:p>
      <w:pPr>
        <w:ind w:left="4" w:right="20" w:hanging="4"/>
        <w:spacing w:after="0" w:line="269" w:lineRule="auto"/>
        <w:tabs>
          <w:tab w:leader="none" w:pos="184" w:val="left"/>
        </w:tabs>
        <w:numPr>
          <w:ilvl w:val="0"/>
          <w:numId w:val="192"/>
        </w:numPr>
        <w:rPr>
          <w:rFonts w:ascii="Arial" w:cs="Arial" w:eastAsia="Arial" w:hAnsi="Arial"/>
          <w:sz w:val="17"/>
          <w:szCs w:val="17"/>
          <w:b w:val="1"/>
          <w:bCs w:val="1"/>
          <w:color w:val="auto"/>
        </w:rPr>
      </w:pPr>
      <w:r>
        <w:rPr>
          <w:rFonts w:ascii="Arial" w:cs="Arial" w:eastAsia="Arial" w:hAnsi="Arial"/>
          <w:sz w:val="17"/>
          <w:szCs w:val="17"/>
          <w:color w:val="auto"/>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85" w:lineRule="exact"/>
        <w:rPr>
          <w:rFonts w:ascii="Arial" w:cs="Arial" w:eastAsia="Arial" w:hAnsi="Arial"/>
          <w:sz w:val="17"/>
          <w:szCs w:val="17"/>
          <w:b w:val="1"/>
          <w:bCs w:val="1"/>
          <w:color w:val="auto"/>
        </w:rPr>
      </w:pPr>
    </w:p>
    <w:p>
      <w:pPr>
        <w:ind w:left="4" w:right="20" w:hanging="4"/>
        <w:spacing w:after="0" w:line="286" w:lineRule="auto"/>
        <w:tabs>
          <w:tab w:leader="none" w:pos="184" w:val="left"/>
        </w:tabs>
        <w:numPr>
          <w:ilvl w:val="0"/>
          <w:numId w:val="192"/>
        </w:numPr>
        <w:rPr>
          <w:rFonts w:ascii="Arial" w:cs="Arial" w:eastAsia="Arial" w:hAnsi="Arial"/>
          <w:sz w:val="16"/>
          <w:szCs w:val="16"/>
          <w:b w:val="1"/>
          <w:bCs w:val="1"/>
          <w:color w:val="auto"/>
        </w:rPr>
      </w:pPr>
      <w:r>
        <w:rPr>
          <w:rFonts w:ascii="Arial" w:cs="Arial" w:eastAsia="Arial" w:hAnsi="Arial"/>
          <w:sz w:val="16"/>
          <w:szCs w:val="16"/>
          <w:color w:val="auto"/>
        </w:rPr>
        <w:t>In the event that any holder of securities of Parent that are subject to a substantially similar agreement entered into by such holder, other than the undersigned, is permitted by Parent to sell or otherwise transfer or dispose of shares of Parent Common Stock, Parent Convertible Preferred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Parent Convertible Preferred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Arial" w:cs="Arial" w:eastAsia="Arial" w:hAnsi="Arial"/>
          <w:sz w:val="16"/>
          <w:szCs w:val="16"/>
          <w:b w:val="1"/>
          <w:bCs w:val="1"/>
          <w:i w:val="1"/>
          <w:iCs w:val="1"/>
          <w:color w:val="auto"/>
        </w:rPr>
        <w:t>Pro Rata Release</w:t>
      </w:r>
      <w:r>
        <w:rPr>
          <w:rFonts w:ascii="Arial" w:cs="Arial" w:eastAsia="Arial" w:hAnsi="Arial"/>
          <w:sz w:val="16"/>
          <w:szCs w:val="16"/>
          <w:color w:val="auto"/>
        </w:rPr>
        <w:t>”); provided, however, that such Pro 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originally subject to a substantially similar agreement. In the event of any Pro-Rata Release, the Company shall promptly (and in any event within two (2) business days of such release) inform each relevant holder of Parent Common Stock, Parent Convertible Preferred Stock or any securities convertible into or exercisable or exchangeable for Parent Common Stock of the terms of such Pro-Rata Release.</w:t>
      </w:r>
    </w:p>
    <w:p>
      <w:pPr>
        <w:spacing w:after="0" w:line="173" w:lineRule="exact"/>
        <w:rPr>
          <w:rFonts w:ascii="Arial" w:cs="Arial" w:eastAsia="Arial" w:hAnsi="Arial"/>
          <w:sz w:val="16"/>
          <w:szCs w:val="16"/>
          <w:b w:val="1"/>
          <w:bCs w:val="1"/>
          <w:color w:val="auto"/>
        </w:rPr>
      </w:pPr>
    </w:p>
    <w:p>
      <w:pPr>
        <w:ind w:left="4" w:hanging="4"/>
        <w:spacing w:after="0" w:line="263" w:lineRule="auto"/>
        <w:tabs>
          <w:tab w:leader="none" w:pos="184"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w:t>
      </w:r>
    </w:p>
    <w:p>
      <w:pPr>
        <w:spacing w:after="0" w:line="183" w:lineRule="exact"/>
        <w:rPr>
          <w:rFonts w:ascii="Arial" w:cs="Arial" w:eastAsia="Arial" w:hAnsi="Arial"/>
          <w:sz w:val="18"/>
          <w:szCs w:val="18"/>
          <w:b w:val="1"/>
          <w:bCs w:val="1"/>
          <w:color w:val="auto"/>
        </w:rPr>
      </w:pPr>
    </w:p>
    <w:p>
      <w:pPr>
        <w:ind w:left="4" w:right="760" w:hanging="4"/>
        <w:spacing w:after="0" w:line="277" w:lineRule="auto"/>
        <w:tabs>
          <w:tab w:leader="none" w:pos="184"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The undersigned understands that this Lock-Up Agreement is irrevocable and is binding upon the undersigned’s heirs, legal representatives, successors and assigns.</w:t>
      </w:r>
    </w:p>
    <w:p>
      <w:pPr>
        <w:spacing w:after="0" w:line="170" w:lineRule="exact"/>
        <w:rPr>
          <w:rFonts w:ascii="Arial" w:cs="Arial" w:eastAsia="Arial" w:hAnsi="Arial"/>
          <w:sz w:val="18"/>
          <w:szCs w:val="18"/>
          <w:b w:val="1"/>
          <w:bCs w:val="1"/>
          <w:color w:val="auto"/>
        </w:rPr>
      </w:pPr>
    </w:p>
    <w:p>
      <w:pPr>
        <w:ind w:left="4" w:right="140" w:hanging="4"/>
        <w:spacing w:after="0" w:line="286" w:lineRule="auto"/>
        <w:tabs>
          <w:tab w:leader="none" w:pos="274" w:val="left"/>
        </w:tabs>
        <w:numPr>
          <w:ilvl w:val="0"/>
          <w:numId w:val="192"/>
        </w:numPr>
        <w:rPr>
          <w:rFonts w:ascii="Arial" w:cs="Arial" w:eastAsia="Arial" w:hAnsi="Arial"/>
          <w:sz w:val="17"/>
          <w:szCs w:val="17"/>
          <w:b w:val="1"/>
          <w:bCs w:val="1"/>
          <w:color w:val="auto"/>
        </w:rPr>
      </w:pPr>
      <w:r>
        <w:rPr>
          <w:rFonts w:ascii="Arial" w:cs="Arial" w:eastAsia="Arial" w:hAnsi="Arial"/>
          <w:sz w:val="17"/>
          <w:szCs w:val="17"/>
          <w:color w:val="auto"/>
        </w:rPr>
        <w:t>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04"/>
          </w:cols>
          <w:pgMar w:left="436" w:top="274" w:right="459" w:bottom="1440" w:gutter="0" w:footer="0" w:header="0"/>
        </w:sectPr>
      </w:pPr>
    </w:p>
    <w:bookmarkStart w:id="289" w:name="page290"/>
    <w:bookmarkEnd w:id="289"/>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clause (i) of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p>
      <w:pPr>
        <w:spacing w:after="0" w:line="192" w:lineRule="exact"/>
        <w:rPr>
          <w:sz w:val="20"/>
          <w:szCs w:val="20"/>
          <w:color w:val="auto"/>
        </w:rPr>
      </w:pPr>
    </w:p>
    <w:p>
      <w:pPr>
        <w:ind w:left="4" w:right="580" w:firstLine="440"/>
        <w:spacing w:after="0" w:line="263" w:lineRule="auto"/>
        <w:rPr>
          <w:sz w:val="20"/>
          <w:szCs w:val="20"/>
          <w:color w:val="auto"/>
        </w:rPr>
      </w:pPr>
      <w:r>
        <w:rPr>
          <w:rFonts w:ascii="Arial" w:cs="Arial" w:eastAsia="Arial" w:hAnsi="Arial"/>
          <w:sz w:val="18"/>
          <w:szCs w:val="18"/>
          <w:color w:val="auto"/>
        </w:rPr>
        <w:t>THE PARTIES HERETO HEREBY WAIVE ANY RIGHT TO TRIAL BY JURY WITH RESPECT TO ANY ACTION OR LEGAL PROCEEDING RELATED TO OR ARISING OUT OF THIS LOCK-UP AGREEMENT, ANY DOCUMENT EXECUTED IN CONNECTION HEREWITH AND THE MATTERS CONTEMPLATED HEREBY AND THEREBY.</w:t>
      </w:r>
    </w:p>
    <w:p>
      <w:pPr>
        <w:spacing w:after="0" w:line="184" w:lineRule="exact"/>
        <w:rPr>
          <w:sz w:val="20"/>
          <w:szCs w:val="20"/>
          <w:color w:val="auto"/>
        </w:rPr>
      </w:pPr>
    </w:p>
    <w:p>
      <w:pPr>
        <w:ind w:left="4" w:right="240" w:hanging="4"/>
        <w:spacing w:after="0" w:line="279" w:lineRule="auto"/>
        <w:tabs>
          <w:tab w:leader="none" w:pos="264" w:val="left"/>
        </w:tabs>
        <w:numPr>
          <w:ilvl w:val="0"/>
          <w:numId w:val="193"/>
        </w:numPr>
        <w:rPr>
          <w:rFonts w:ascii="Arial" w:cs="Arial" w:eastAsia="Arial" w:hAnsi="Arial"/>
          <w:sz w:val="17"/>
          <w:szCs w:val="17"/>
          <w:b w:val="1"/>
          <w:bCs w:val="1"/>
          <w:color w:val="auto"/>
        </w:rPr>
      </w:pPr>
      <w:r>
        <w:rPr>
          <w:rFonts w:ascii="Arial" w:cs="Arial" w:eastAsia="Arial" w:hAnsi="Arial"/>
          <w:sz w:val="17"/>
          <w:szCs w:val="17"/>
          <w:color w:val="auto"/>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8.8] of the Merger Agreement and to the undersigned at his, her or its address or email address (providing confirmation of transmission) set forth on the signature page hereto (or at such other address for a party as shall be specified by like notice).</w:t>
      </w:r>
    </w:p>
    <w:p>
      <w:pPr>
        <w:spacing w:after="0" w:line="171" w:lineRule="exact"/>
        <w:rPr>
          <w:rFonts w:ascii="Arial" w:cs="Arial" w:eastAsia="Arial" w:hAnsi="Arial"/>
          <w:sz w:val="17"/>
          <w:szCs w:val="17"/>
          <w:b w:val="1"/>
          <w:bCs w:val="1"/>
          <w:color w:val="auto"/>
        </w:rPr>
      </w:pPr>
    </w:p>
    <w:p>
      <w:pPr>
        <w:ind w:left="4" w:right="180" w:hanging="4"/>
        <w:spacing w:after="0" w:line="311" w:lineRule="auto"/>
        <w:tabs>
          <w:tab w:leader="none" w:pos="274"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p>
      <w:pPr>
        <w:spacing w:after="0" w:line="14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04"/>
          </w:cols>
          <w:pgMar w:left="436" w:top="274" w:right="459" w:bottom="1440" w:gutter="0" w:footer="0" w:header="0"/>
        </w:sectPr>
      </w:pPr>
    </w:p>
    <w:bookmarkStart w:id="290" w:name="page291"/>
    <w:bookmarkEnd w:id="290"/>
    <w:p>
      <w:pPr>
        <w:ind w:left="6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3" w:lineRule="exact"/>
        <w:rPr>
          <w:sz w:val="20"/>
          <w:szCs w:val="20"/>
          <w:color w:val="auto"/>
        </w:rPr>
      </w:pPr>
    </w:p>
    <w:p>
      <w:pPr>
        <w:ind w:left="6060"/>
        <w:spacing w:after="0"/>
        <w:tabs>
          <w:tab w:leader="none" w:pos="6280" w:val="left"/>
        </w:tabs>
        <w:rPr>
          <w:sz w:val="20"/>
          <w:szCs w:val="20"/>
          <w:color w:val="auto"/>
        </w:rPr>
      </w:pPr>
      <w:r>
        <w:rPr>
          <w:rFonts w:ascii="Arial" w:cs="Arial" w:eastAsia="Arial" w:hAnsi="Arial"/>
          <w:sz w:val="18"/>
          <w:szCs w:val="18"/>
          <w:color w:val="auto"/>
        </w:rPr>
        <w:t>[</w:t>
        <w:tab/>
        <w:t>]</w:t>
      </w:r>
    </w:p>
    <w:p>
      <w:pPr>
        <w:spacing w:after="0" w:line="9"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Signature (for individuals):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74295</wp:posOffset>
            </wp:positionV>
            <wp:extent cx="25114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-1905</wp:posOffset>
            </wp:positionV>
            <wp:extent cx="18516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-1905</wp:posOffset>
            </wp:positionV>
            <wp:extent cx="18516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 (for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288925</wp:posOffset>
            </wp:positionV>
            <wp:extent cx="25114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-1905</wp:posOffset>
            </wp:positionV>
            <wp:extent cx="18516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-1905</wp:posOffset>
            </wp:positionV>
            <wp:extent cx="18516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-1905</wp:posOffset>
            </wp:positionV>
            <wp:extent cx="18516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-1905</wp:posOffset>
            </wp:positionV>
            <wp:extent cx="18516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-1905</wp:posOffset>
            </wp:positionV>
            <wp:extent cx="18516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OCK</w:t>
      </w:r>
      <w:r>
        <w:rPr>
          <w:rFonts w:ascii="Arial" w:cs="Arial" w:eastAsia="Arial" w:hAnsi="Arial"/>
          <w:sz w:val="18"/>
          <w:szCs w:val="18"/>
          <w:b w:val="1"/>
          <w:bCs w:val="1"/>
          <w:color w:val="auto"/>
        </w:rPr>
        <w:t>-U</w:t>
      </w:r>
      <w:r>
        <w:rPr>
          <w:rFonts w:ascii="Arial" w:cs="Arial" w:eastAsia="Arial" w:hAnsi="Arial"/>
          <w:sz w:val="14"/>
          <w:szCs w:val="14"/>
          <w:b w:val="1"/>
          <w:bCs w:val="1"/>
          <w:color w:val="auto"/>
        </w:rPr>
        <w:t>P</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4"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AEGLEA BIOTHERAPETUICS,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-1905</wp:posOffset>
            </wp:positionV>
            <wp:extent cx="22885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-1905</wp:posOffset>
            </wp:positionV>
            <wp:extent cx="22885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SPYRE THERAPEUTICS,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-1905</wp:posOffset>
            </wp:positionV>
            <wp:extent cx="22885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ind w:right="27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OCK</w:t>
      </w:r>
      <w:r>
        <w:rPr>
          <w:rFonts w:ascii="Arial" w:cs="Arial" w:eastAsia="Arial" w:hAnsi="Arial"/>
          <w:sz w:val="18"/>
          <w:szCs w:val="18"/>
          <w:b w:val="1"/>
          <w:bCs w:val="1"/>
          <w:color w:val="auto"/>
        </w:rPr>
        <w:t>-U</w:t>
      </w:r>
      <w:r>
        <w:rPr>
          <w:rFonts w:ascii="Arial" w:cs="Arial" w:eastAsia="Arial" w:hAnsi="Arial"/>
          <w:sz w:val="14"/>
          <w:szCs w:val="14"/>
          <w:b w:val="1"/>
          <w:bCs w:val="1"/>
          <w:color w:val="auto"/>
        </w:rPr>
        <w:t>P</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19"/>
          </w:cols>
          <w:pgMar w:left="440" w:top="270" w:right="1440"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Form of Certificate of Designation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0" w:right="1440"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 Form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AEGLEA BIOTHERAPEUTICS,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NON-VOTING CONVERTIBLE PREFERRED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UNDERSIGNED DOES HEREBY CERTIFY, on behalf of Aeglea BioTherapeutics,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the following resolution was duly adopted by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in accordance with the provisions of Section 151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at a meeting duly called and held on June 21, 2023, which resolution provides for the creation of a series of the Corporation’s Preferred Stock, par value $0.0001 per share, which is designated as “Series A Non-Voting Convertible Preferred Stock,” with the preferences, rights and limitations set forth therein relating to dividends, conversion, redemption, dissolution and distribution of assets of the Corporation.</w:t>
      </w:r>
    </w:p>
    <w:p>
      <w:pPr>
        <w:spacing w:after="0" w:line="188"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Restated 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provides for a class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stock known as Preferred Stock, consisting of 10,000,000 shares, $0.0001 par value per share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issuable from time to time in one or more series.</w:t>
      </w:r>
    </w:p>
    <w:p>
      <w:pPr>
        <w:spacing w:after="0" w:line="176"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pursuant to authority conferred upon the Board of Directors by the Certificate of Incorporation, (i) a series of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be, and hereby is authorized by the Board of Directors, (ii) the Board of Directors hereby authorizes the issuance of 1,086,341 shares of “Series A Non-Voting Convertible Preferred Stock” pursuant to the terms of (a) the Securities Purchase Agreement, dated as of the date hereof, by and among the Corporation and the initial Holders (as defined below)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and (b) the Agreement and Plan of Merger, dated as of the date hereof, by and among the Corporation, Aspen Merger Sub I, Inc., a Delaware corporation and wholly owned subsidiary of Parent, Sequoia Merger Sub II, LLC, a Delaware limited liability company and wholly owned subsidiary of Parent and Spyre Therapeutics, Inc.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(iii) the Board of Directors hereby fixes the designations, powers, preferences and relative, participating, optional or other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and the qualifications, limitations or restrictions thereof, of such shares of Preferred Stock, in addition to any provisions set forth in the Certificate of Incorporation that are applicable to the Preferred Stock of all classes and series, as follows:</w:t>
      </w:r>
    </w:p>
    <w:p>
      <w:pPr>
        <w:spacing w:after="0" w:line="382"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TERMS OF SERIES A NON-VOTING CONVERTIBLE PREFERRED STOCK</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hereof, the following terms shall have the following meanings:</w:t>
      </w:r>
    </w:p>
    <w:p>
      <w:pPr>
        <w:spacing w:after="0" w:line="117"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Buy-In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6.5.4</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Sale Price</w:t>
      </w:r>
      <w:r>
        <w:rPr>
          <w:rFonts w:ascii="Arial" w:cs="Arial" w:eastAsia="Arial" w:hAnsi="Arial"/>
          <w:sz w:val="18"/>
          <w:szCs w:val="18"/>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20"/>
          </w:cols>
          <w:pgMar w:left="440" w:top="274" w:right="439" w:bottom="1440" w:gutter="0" w:footer="0" w:header="0"/>
        </w:sectPr>
      </w:pPr>
    </w:p>
    <w:bookmarkStart w:id="294" w:name="page295"/>
    <w:bookmarkEnd w:id="29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Corporation’s common stock, par value $0.0001 per share, and stock of any other class of securities into which such securities may hereafter be reclassified or changed.</w:t>
      </w:r>
    </w:p>
    <w:p>
      <w:pPr>
        <w:spacing w:after="0" w:line="17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Shares</w:t>
      </w:r>
      <w:r>
        <w:rPr>
          <w:rFonts w:ascii="Arial" w:cs="Arial" w:eastAsia="Arial" w:hAnsi="Arial"/>
          <w:sz w:val="18"/>
          <w:szCs w:val="18"/>
          <w:color w:val="auto"/>
        </w:rPr>
        <w:t>” means, collectively, the shares of Common Stock issuable upon conversion of the shares of Series A Non-Voting Preferred Stock in accordance with the terms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holder of shares of Series A Non-Voting Preferred Stock.</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the principal Trading Market is open for business.</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ind w:right="340" w:firstLine="987"/>
        <w:spacing w:after="0" w:line="263" w:lineRule="auto"/>
        <w:tabs>
          <w:tab w:leader="none" w:pos="1171"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Designation, Amount and Par Value</w:t>
      </w:r>
      <w:r>
        <w:rPr>
          <w:rFonts w:ascii="Arial" w:cs="Arial" w:eastAsia="Arial" w:hAnsi="Arial"/>
          <w:sz w:val="18"/>
          <w:szCs w:val="18"/>
          <w:color w:val="auto"/>
        </w:rPr>
        <w:t>. The series of Preferred Stock shall be designated as the Corporation’s Series A Non-Voting Convertible Preferred Stock (the “</w:t>
      </w:r>
      <w:r>
        <w:rPr>
          <w:rFonts w:ascii="Arial" w:cs="Arial" w:eastAsia="Arial" w:hAnsi="Arial"/>
          <w:sz w:val="18"/>
          <w:szCs w:val="18"/>
          <w:b w:val="1"/>
          <w:bCs w:val="1"/>
          <w:i w:val="1"/>
          <w:iCs w:val="1"/>
          <w:color w:val="auto"/>
        </w:rPr>
        <w:t>Series A Non-Voting Preferred Stock</w:t>
      </w:r>
      <w:r>
        <w:rPr>
          <w:rFonts w:ascii="Arial" w:cs="Arial" w:eastAsia="Arial" w:hAnsi="Arial"/>
          <w:sz w:val="18"/>
          <w:szCs w:val="18"/>
          <w:color w:val="auto"/>
        </w:rPr>
        <w:t>”) and the number of shares so designated shall be 1,086,341. Each share of Series A Non-Voting Preferred Stock shall have a par value of $0.0001 per share.</w:t>
      </w:r>
    </w:p>
    <w:p>
      <w:pPr>
        <w:spacing w:after="0" w:line="183" w:lineRule="exact"/>
        <w:rPr>
          <w:rFonts w:ascii="Arial" w:cs="Arial" w:eastAsia="Arial" w:hAnsi="Arial"/>
          <w:sz w:val="18"/>
          <w:szCs w:val="18"/>
          <w:color w:val="auto"/>
        </w:rPr>
      </w:pPr>
    </w:p>
    <w:p>
      <w:pPr>
        <w:ind w:firstLine="987"/>
        <w:spacing w:after="0" w:line="269" w:lineRule="auto"/>
        <w:tabs>
          <w:tab w:leader="none" w:pos="1171"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Holders shall be entitled to receive, and the Corporation shall pay, dividends on shares of the Series A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provided, however, in no event shall Holders of Series A Non-Voting Preferred Stock be entitled to receive the “rights” distributed pursuant to that certain Contingent Value Rights Agreement dated as of June 22, 2023 by and between the Corporation and American Stock Transfer &amp; Trust Company, LLC, as may be amended from time to time (the “CVR Agreement”), or any amounts paid under the CVR Agreement. Other than as set forth in the previous sentence, no other dividends shall be paid on shares of Series A Non-Voting Preferred Stock, and the Corporation shall pay no dividends (other than dividends payable in the form of Common Stock) on shares of the Common Stock unless it simultaneously complies with the previous sentence.</w:t>
      </w:r>
    </w:p>
    <w:p>
      <w:pPr>
        <w:spacing w:after="0" w:line="185" w:lineRule="exact"/>
        <w:rPr>
          <w:rFonts w:ascii="Arial" w:cs="Arial" w:eastAsia="Arial" w:hAnsi="Arial"/>
          <w:sz w:val="17"/>
          <w:szCs w:val="17"/>
          <w:color w:val="auto"/>
        </w:rPr>
      </w:pPr>
    </w:p>
    <w:p>
      <w:pPr>
        <w:ind w:left="1160" w:hanging="173"/>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sz w:val="20"/>
          <w:szCs w:val="20"/>
          <w:color w:val="auto"/>
        </w:rPr>
      </w:pPr>
    </w:p>
    <w:p>
      <w:pPr>
        <w:ind w:right="60" w:firstLine="1432"/>
        <w:spacing w:after="0" w:line="311" w:lineRule="auto"/>
        <w:rPr>
          <w:sz w:val="20"/>
          <w:szCs w:val="20"/>
          <w:color w:val="auto"/>
        </w:rPr>
      </w:pPr>
      <w:r>
        <w:rPr>
          <w:rFonts w:ascii="Arial" w:cs="Arial" w:eastAsia="Arial" w:hAnsi="Arial"/>
          <w:sz w:val="16"/>
          <w:szCs w:val="16"/>
          <w:color w:val="auto"/>
        </w:rPr>
        <w:t>4.1 Except as otherwise provided herein or as otherwise required by the DGCL, the Series A Non-Voting Preferred Stock shall have no voting rights. However, as long as any shares of Series A Non-Voting Preferred Stock are outstanding, the Corporation shall not, without the affirmative vote of the holders of a majority of the then outstanding shares of the Series A Non-Voting Preferred Stock: (i) alter or change adversely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80"/>
          </w:cols>
          <w:pgMar w:left="440" w:top="274" w:right="479" w:bottom="1440" w:gutter="0" w:footer="0" w:header="0"/>
        </w:sectPr>
      </w:pPr>
    </w:p>
    <w:bookmarkStart w:id="295" w:name="page296"/>
    <w:bookmarkEnd w:id="29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powers, preferences or rights given to the Series A Non-Voting Preferred Stock or alter or amend this Certificate of Designation, amend or repeal any provision of, or add any provision to, the Certificate of Incorporation or Amended and Restated Bylaws of the Corporation,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Non-Voting Preferred Stock, regardless of whether any of the foregoing actions shall be by means of amendment to the Certificate of Incorporation or by merger, consolidation, recapitalization, reclassification, conversion or otherwise, (ii) issue further shares of Series A Non-Voting Preferred Stock or increase or decrease (other than by conversion) the number of authorized shares of Series A Non-Voting Preferred Stock, (iii) prior to the Stockholder Approval (as defined below) or at any time while at least 30% of the originally issued Series A Non-Voting Preferred Stock remains issued and outstanding, consummate either: (A) any Fundamental Transaction (as defined below) or (B)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or (iv) enter into any agreement with respect to any of the foregoing. Holders of shares of Common Stock acquired upon the conversion of shares of Series A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w:t>
      </w:r>
    </w:p>
    <w:p>
      <w:pPr>
        <w:spacing w:after="0" w:line="171"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 xml:space="preserve">4.2 Any vote required or permitted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may be taken at a meeting of the Holders or through the execution of an action by written consent in lieu of such meeting, provided that the consent is executed by Holders representing a majority of the outstanding shares of Series A Non-Voting Preferred Stock.</w:t>
      </w:r>
    </w:p>
    <w:p>
      <w:pPr>
        <w:spacing w:after="0" w:line="184" w:lineRule="exact"/>
        <w:rPr>
          <w:sz w:val="20"/>
          <w:szCs w:val="20"/>
          <w:color w:val="auto"/>
        </w:rPr>
      </w:pPr>
    </w:p>
    <w:p>
      <w:pPr>
        <w:ind w:left="1160" w:hanging="173"/>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Rank; Liquidation</w:t>
      </w:r>
      <w:r>
        <w:rPr>
          <w:rFonts w:ascii="Arial" w:cs="Arial" w:eastAsia="Arial" w:hAnsi="Arial"/>
          <w:sz w:val="18"/>
          <w:szCs w:val="18"/>
          <w:color w:val="auto"/>
        </w:rPr>
        <w:t>.</w:t>
      </w:r>
    </w:p>
    <w:p>
      <w:pPr>
        <w:spacing w:after="0" w:line="225" w:lineRule="exact"/>
        <w:rPr>
          <w:sz w:val="20"/>
          <w:szCs w:val="20"/>
          <w:color w:val="auto"/>
        </w:rPr>
      </w:pPr>
    </w:p>
    <w:p>
      <w:pPr>
        <w:ind w:right="700" w:firstLine="1432"/>
        <w:spacing w:after="0" w:line="277" w:lineRule="auto"/>
        <w:rPr>
          <w:sz w:val="20"/>
          <w:szCs w:val="20"/>
          <w:color w:val="auto"/>
        </w:rPr>
      </w:pPr>
      <w:r>
        <w:rPr>
          <w:rFonts w:ascii="Arial" w:cs="Arial" w:eastAsia="Arial" w:hAnsi="Arial"/>
          <w:sz w:val="18"/>
          <w:szCs w:val="18"/>
          <w:color w:val="auto"/>
        </w:rPr>
        <w:t>5.1 The Series A Non-Voting Preferred Stock shall rank on parity with the Common Stock as to distributions of assets upon liquidation, dissolution or winding up of the Corporation, whether voluntarily or involuntarily.</w:t>
      </w:r>
    </w:p>
    <w:p>
      <w:pPr>
        <w:spacing w:after="0" w:line="170" w:lineRule="exact"/>
        <w:rPr>
          <w:sz w:val="20"/>
          <w:szCs w:val="20"/>
          <w:color w:val="auto"/>
        </w:rPr>
      </w:pPr>
    </w:p>
    <w:p>
      <w:pPr>
        <w:ind w:right="40" w:firstLine="1432"/>
        <w:spacing w:after="0" w:line="289" w:lineRule="auto"/>
        <w:rPr>
          <w:sz w:val="20"/>
          <w:szCs w:val="20"/>
          <w:color w:val="auto"/>
        </w:rPr>
      </w:pPr>
      <w:r>
        <w:rPr>
          <w:rFonts w:ascii="Arial" w:cs="Arial" w:eastAsia="Arial" w:hAnsi="Arial"/>
          <w:sz w:val="16"/>
          <w:szCs w:val="16"/>
          <w:color w:val="auto"/>
        </w:rPr>
        <w:t>5.2 Upon any liquidation, dissolution or winding-up of the Corporation, whether voluntary or involuntary (a “</w:t>
      </w:r>
      <w:r>
        <w:rPr>
          <w:rFonts w:ascii="Arial" w:cs="Arial" w:eastAsia="Arial" w:hAnsi="Arial"/>
          <w:sz w:val="16"/>
          <w:szCs w:val="16"/>
          <w:b w:val="1"/>
          <w:bCs w:val="1"/>
          <w:i w:val="1"/>
          <w:iCs w:val="1"/>
          <w:color w:val="auto"/>
        </w:rPr>
        <w:t>Liquidation</w:t>
      </w:r>
      <w:r>
        <w:rPr>
          <w:rFonts w:ascii="Arial" w:cs="Arial" w:eastAsia="Arial" w:hAnsi="Arial"/>
          <w:sz w:val="16"/>
          <w:szCs w:val="16"/>
          <w:color w:val="auto"/>
        </w:rPr>
        <w:t xml:space="preserve">”), each Holder shall be entitled to receive out of the assets, whether capital or surplus, of the Corporation the same amount that a holder of Common Stock would receive if the Series A Non-Voting Preferred Stock were fully converted (disregarding for such purpose any Beneficial Ownership Limitations) to Common Stock which amounts shall be paid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holders of Common Stock, plus an additional amount equal to any dividends declared on but unpaid to such shares. If, upon any such Liquidation, the assets of the Corporation shall be insufficient to pay the Holders of shares of the Series A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166" w:lineRule="exact"/>
        <w:rPr>
          <w:sz w:val="20"/>
          <w:szCs w:val="20"/>
          <w:color w:val="auto"/>
        </w:rPr>
      </w:pPr>
    </w:p>
    <w:p>
      <w:pPr>
        <w:ind w:left="1160" w:hanging="173"/>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Automatic Conversion on Stockholder Approval</w:t>
      </w:r>
      <w:r>
        <w:rPr>
          <w:rFonts w:ascii="Arial" w:cs="Arial" w:eastAsia="Arial" w:hAnsi="Arial"/>
          <w:sz w:val="18"/>
          <w:szCs w:val="18"/>
          <w:color w:val="auto"/>
        </w:rPr>
        <w:t>. Effective as of 5:00 p.m. Eastern time on the third Business Day after the date that the Corporation’s stockholders approve the conversion of the Series A Non-Voting Preferred Stock into shares of Common Stock in accordance with the listing rules of the Nasdaq Stock Market, as set forth in Section 4.1 of the Merger Agreement (the “</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each share of Series A Non-Voting Preferred Stock then outstanding shall automatically convert into a number of shares of Common Stock equal to the Conversion Ratio (as defined below), subject to the Beneficial Ownership Limitation (the “</w:t>
      </w:r>
      <w:r>
        <w:rPr>
          <w:rFonts w:ascii="Arial" w:cs="Arial" w:eastAsia="Arial" w:hAnsi="Arial"/>
          <w:sz w:val="18"/>
          <w:szCs w:val="18"/>
          <w:b w:val="1"/>
          <w:bCs w:val="1"/>
          <w:i w:val="1"/>
          <w:iCs w:val="1"/>
          <w:color w:val="auto"/>
        </w:rPr>
        <w:t>Automatic Conversion</w:t>
      </w:r>
      <w:r>
        <w:rPr>
          <w:rFonts w:ascii="Arial" w:cs="Arial" w:eastAsia="Arial" w:hAnsi="Arial"/>
          <w:sz w:val="18"/>
          <w:szCs w:val="18"/>
          <w:color w:val="auto"/>
        </w:rPr>
        <w:t>”). The Corporation shall inform each Holder of the occurrence of the Stockholder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020"/>
          </w:cols>
          <w:pgMar w:left="440" w:top="274" w:right="439" w:bottom="1440" w:gutter="0" w:footer="0" w:header="0"/>
        </w:sectPr>
      </w:pPr>
    </w:p>
    <w:bookmarkStart w:id="296" w:name="page297"/>
    <w:bookmarkEnd w:id="296"/>
    <w:p>
      <w:pPr>
        <w:ind w:left="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within one Business Day of such Stockholder Approval. In determining the application of the Beneficial Ownership Limitations solely with respect to the Automatic Conversion, the Corporation shall calculate beneficial ownership for each Holder assuming beneficial ownership by such Holder of: (x) the number of shares of Common Stock issuable to such Holder in such Automatic Conversion, plus (y) any additional shares of Common Stock for which a Holder has provided the Corporation with prior written notice of beneficial ownership within 30 days prior to the date of Stockholder Approval (a “</w:t>
      </w:r>
      <w:r>
        <w:rPr>
          <w:rFonts w:ascii="Arial" w:cs="Arial" w:eastAsia="Arial" w:hAnsi="Arial"/>
          <w:sz w:val="16"/>
          <w:szCs w:val="16"/>
          <w:b w:val="1"/>
          <w:bCs w:val="1"/>
          <w:i w:val="1"/>
          <w:iCs w:val="1"/>
          <w:color w:val="auto"/>
        </w:rPr>
        <w:t>Beneficial Ownership Statement</w:t>
      </w:r>
      <w:r>
        <w:rPr>
          <w:rFonts w:ascii="Arial" w:cs="Arial" w:eastAsia="Arial" w:hAnsi="Arial"/>
          <w:sz w:val="16"/>
          <w:szCs w:val="16"/>
          <w:color w:val="auto"/>
        </w:rPr>
        <w:t>”) and assuming the conversion of all shares of Series A Non-Voting Preferred Stock held by all other Holders less the aggregate number of shares of Series A Non-Voting Preferred Stock held by all other Holders that will not convert into shares of Common Stock on account of the application of any Beneficial Ownership Limitations applicable to any such other Holders. If a Holder fails to provide the Corporation with a Beneficial Ownership Statement within 30 days prior to the date of Stockholder Approval, then the Corporation shall presume the Holder’s beneficial ownership of Common Stock (excluding the Conversion Shares) to be zero. The shares of Series A Non-Voting Preferred Stock that are converted in the Automatic Conversion are referred to as the “</w:t>
      </w:r>
      <w:r>
        <w:rPr>
          <w:rFonts w:ascii="Arial" w:cs="Arial" w:eastAsia="Arial" w:hAnsi="Arial"/>
          <w:sz w:val="16"/>
          <w:szCs w:val="16"/>
          <w:b w:val="1"/>
          <w:bCs w:val="1"/>
          <w:i w:val="1"/>
          <w:iCs w:val="1"/>
          <w:color w:val="auto"/>
        </w:rPr>
        <w:t>Converted Stock</w:t>
      </w:r>
      <w:r>
        <w:rPr>
          <w:rFonts w:ascii="Arial" w:cs="Arial" w:eastAsia="Arial" w:hAnsi="Arial"/>
          <w:sz w:val="16"/>
          <w:szCs w:val="16"/>
          <w:color w:val="auto"/>
        </w:rPr>
        <w:t>”. The Conversion Shares shall be issued as follows:</w:t>
      </w:r>
    </w:p>
    <w:p>
      <w:pPr>
        <w:spacing w:after="0" w:line="168" w:lineRule="exact"/>
        <w:rPr>
          <w:sz w:val="20"/>
          <w:szCs w:val="20"/>
          <w:color w:val="auto"/>
        </w:rPr>
      </w:pPr>
    </w:p>
    <w:p>
      <w:pPr>
        <w:ind w:left="4" w:right="80" w:firstLine="1983"/>
        <w:spacing w:after="0" w:line="286" w:lineRule="auto"/>
        <w:rPr>
          <w:sz w:val="20"/>
          <w:szCs w:val="20"/>
          <w:color w:val="auto"/>
        </w:rPr>
      </w:pPr>
      <w:r>
        <w:rPr>
          <w:rFonts w:ascii="Arial" w:cs="Arial" w:eastAsia="Arial" w:hAnsi="Arial"/>
          <w:sz w:val="17"/>
          <w:szCs w:val="17"/>
          <w:color w:val="auto"/>
        </w:rPr>
        <w:t>6.1.1 Converted Stock that is registered in book entry form shall be automatically cancelled upon the Automatic Conversion and converted into the corresponding Conversion Shares, which shares shall be issued in book entry form and without any action on the part of the Holders and shall be delivered to the Holders within one Business Day of the effectiveness of the Automatic Conversion.</w:t>
      </w:r>
    </w:p>
    <w:p>
      <w:pPr>
        <w:spacing w:after="0" w:line="165" w:lineRule="exact"/>
        <w:rPr>
          <w:sz w:val="20"/>
          <w:szCs w:val="20"/>
          <w:color w:val="auto"/>
        </w:rPr>
      </w:pPr>
    </w:p>
    <w:p>
      <w:pPr>
        <w:ind w:left="4" w:right="340" w:firstLine="1983"/>
        <w:spacing w:after="0" w:line="259" w:lineRule="auto"/>
        <w:rPr>
          <w:sz w:val="20"/>
          <w:szCs w:val="20"/>
          <w:color w:val="auto"/>
        </w:rPr>
      </w:pPr>
      <w:r>
        <w:rPr>
          <w:rFonts w:ascii="Arial" w:cs="Arial" w:eastAsia="Arial" w:hAnsi="Arial"/>
          <w:sz w:val="18"/>
          <w:szCs w:val="18"/>
          <w:color w:val="auto"/>
        </w:rPr>
        <w:t>6.1.2 Converted Stock that is issued in certificated form shall be deemed converted into the corresponding Conversion Shares on the date of Automatic Conversion and the Holder’s rights as a holder of such shares of Converted Stock shall cease and terminate on such date, excepting only the right to receive the Conversion Shares upon the Holder tendering to the Corporation (or its designated agent) the stock certificate(s) (duly endorsed) representing such certificated Converted Stock.</w:t>
      </w:r>
    </w:p>
    <w:p>
      <w:pPr>
        <w:spacing w:after="0" w:line="187" w:lineRule="exact"/>
        <w:rPr>
          <w:sz w:val="20"/>
          <w:szCs w:val="20"/>
          <w:color w:val="auto"/>
        </w:rPr>
      </w:pPr>
    </w:p>
    <w:p>
      <w:pPr>
        <w:jc w:val="both"/>
        <w:ind w:left="4" w:right="60" w:firstLine="1983"/>
        <w:spacing w:after="0" w:line="259" w:lineRule="auto"/>
        <w:rPr>
          <w:sz w:val="20"/>
          <w:szCs w:val="20"/>
          <w:color w:val="auto"/>
        </w:rPr>
      </w:pPr>
      <w:r>
        <w:rPr>
          <w:rFonts w:ascii="Arial" w:cs="Arial" w:eastAsia="Arial" w:hAnsi="Arial"/>
          <w:sz w:val="18"/>
          <w:szCs w:val="18"/>
          <w:color w:val="auto"/>
        </w:rPr>
        <w:t>6.1.3 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spacing w:after="0" w:line="187" w:lineRule="exact"/>
        <w:rPr>
          <w:sz w:val="20"/>
          <w:szCs w:val="20"/>
          <w:color w:val="auto"/>
        </w:rPr>
      </w:pPr>
    </w:p>
    <w:p>
      <w:pPr>
        <w:ind w:left="4" w:right="20" w:firstLine="1432"/>
        <w:spacing w:after="0" w:line="28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Conversion at Option of Holder</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6.5.3</w:t>
      </w:r>
      <w:r>
        <w:rPr>
          <w:rFonts w:ascii="Arial" w:cs="Arial" w:eastAsia="Arial" w:hAnsi="Arial"/>
          <w:sz w:val="16"/>
          <w:szCs w:val="16"/>
          <w:color w:val="auto"/>
        </w:rPr>
        <w:t>, each share of Series A Non-Voting Preferred Stock then outstanding shall be convertible, at any time and from time to time following 5:00 p.m. Eastern time on the third Business Day after the date that the Stockholder Approval is obtained by the Corporation, at the option of the Holder thereof, into a number of shares of Common Stock equal to the Conversion Ratio, subject to the Beneficial Ownership Limitation (each, an “</w:t>
      </w:r>
      <w:r>
        <w:rPr>
          <w:rFonts w:ascii="Arial" w:cs="Arial" w:eastAsia="Arial" w:hAnsi="Arial"/>
          <w:sz w:val="16"/>
          <w:szCs w:val="16"/>
          <w:b w:val="1"/>
          <w:bCs w:val="1"/>
          <w:i w:val="1"/>
          <w:iCs w:val="1"/>
          <w:color w:val="auto"/>
        </w:rPr>
        <w:t>Optional Conversion</w:t>
      </w:r>
      <w:r>
        <w:rPr>
          <w:rFonts w:ascii="Arial" w:cs="Arial" w:eastAsia="Arial" w:hAnsi="Arial"/>
          <w:sz w:val="16"/>
          <w:szCs w:val="16"/>
          <w:color w:val="auto"/>
        </w:rPr>
        <w:t xml:space="preserve">”). Holders shall effect conversions by providing the Corporation with the form of conversion notice attached hereto as </w:t>
      </w:r>
      <w:r>
        <w:rPr>
          <w:rFonts w:ascii="Arial" w:cs="Arial" w:eastAsia="Arial" w:hAnsi="Arial"/>
          <w:sz w:val="16"/>
          <w:szCs w:val="16"/>
          <w:b w:val="1"/>
          <w:bCs w:val="1"/>
          <w:u w:val="single" w:color="auto"/>
          <w:color w:val="auto"/>
        </w:rPr>
        <w:t>Annex A</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Notice of Conversion</w:t>
      </w:r>
      <w:r>
        <w:rPr>
          <w:rFonts w:ascii="Arial" w:cs="Arial" w:eastAsia="Arial" w:hAnsi="Arial"/>
          <w:sz w:val="16"/>
          <w:szCs w:val="16"/>
          <w:color w:val="auto"/>
        </w:rPr>
        <w:t>”), duly completed and executed. Provided the Corporation’s transfer agent is participating in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Arial" w:cs="Arial" w:eastAsia="Arial" w:hAnsi="Arial"/>
          <w:sz w:val="16"/>
          <w:szCs w:val="16"/>
          <w:b w:val="1"/>
          <w:bCs w:val="1"/>
          <w:i w:val="1"/>
          <w:iCs w:val="1"/>
          <w:color w:val="auto"/>
        </w:rPr>
        <w:t>DWAC Delivery</w:t>
      </w:r>
      <w:r>
        <w:rPr>
          <w:rFonts w:ascii="Arial" w:cs="Arial" w:eastAsia="Arial" w:hAnsi="Arial"/>
          <w:sz w:val="16"/>
          <w:szCs w:val="16"/>
          <w:color w:val="auto"/>
        </w:rPr>
        <w:t>”). The date on which an Optional Conversion shall be deemed effective (the “</w:t>
      </w:r>
      <w:r>
        <w:rPr>
          <w:rFonts w:ascii="Arial" w:cs="Arial" w:eastAsia="Arial" w:hAnsi="Arial"/>
          <w:sz w:val="16"/>
          <w:szCs w:val="16"/>
          <w:b w:val="1"/>
          <w:bCs w:val="1"/>
          <w:i w:val="1"/>
          <w:iCs w:val="1"/>
          <w:color w:val="auto"/>
        </w:rPr>
        <w:t>Conversion Date</w:t>
      </w:r>
      <w:r>
        <w:rPr>
          <w:rFonts w:ascii="Arial" w:cs="Arial" w:eastAsia="Arial" w:hAnsi="Arial"/>
          <w:sz w:val="16"/>
          <w:szCs w:val="16"/>
          <w:color w:val="auto"/>
        </w:rPr>
        <w:t>”) shall be the Trading Day that the Notice of Conversion, completed and executed, is sent via email to, and received during regular business hours by, the Corporation; provided, that the original certificate(s) (if any) representing such shares of Series A Non-Voting Preferred Stock being converted, duly endorsed, and the accompanying Notice of Conversion, are received by the Corporation within two</w:t>
      </w:r>
    </w:p>
    <w:p>
      <w:pPr>
        <w:spacing w:after="0" w:line="4" w:lineRule="exact"/>
        <w:rPr>
          <w:sz w:val="20"/>
          <w:szCs w:val="20"/>
          <w:color w:val="auto"/>
        </w:rPr>
      </w:pPr>
    </w:p>
    <w:p>
      <w:pPr>
        <w:jc w:val="both"/>
        <w:ind w:left="4" w:right="420" w:hanging="4"/>
        <w:spacing w:after="0" w:line="302" w:lineRule="auto"/>
        <w:tabs>
          <w:tab w:leader="none" w:pos="25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Trading Days thereafter. In all other cases, the Conversion Date shall be defined as the Trading Day on which the original certificate(s) (if any) representing such shares of Series A Non-Voting Preferred Stock being converted, duly endorsed, and the accompanying Notice of Conversion, are received by the Corporation. The calculations set forth in the Notice of Conversion shall control in the absence of manifest or mathematical error.</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004"/>
          </w:cols>
          <w:pgMar w:left="436" w:top="274" w:right="459" w:bottom="1440" w:gutter="0" w:footer="0" w:header="0"/>
        </w:sectPr>
      </w:pPr>
    </w:p>
    <w:bookmarkStart w:id="297" w:name="page298"/>
    <w:bookmarkEnd w:id="297"/>
    <w:p>
      <w:pPr>
        <w:jc w:val="both"/>
        <w:ind w:right="38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Conversion Ratio</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Conversion Ratio</w:t>
      </w:r>
      <w:r>
        <w:rPr>
          <w:rFonts w:ascii="Arial" w:cs="Arial" w:eastAsia="Arial" w:hAnsi="Arial"/>
          <w:sz w:val="18"/>
          <w:szCs w:val="18"/>
          <w:color w:val="auto"/>
        </w:rPr>
        <w:t>” for each share of Series A Non-Voting Preferred Stock shall be 1,000 shares of Common Stock issuable upon the conversion (the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of each share of Series A Non-Voting Preferred Stock (corresponding to a ratio of 1,000:1), subject to adjustment as provided herein.</w:t>
      </w:r>
    </w:p>
    <w:p>
      <w:pPr>
        <w:spacing w:after="0" w:line="184" w:lineRule="exact"/>
        <w:rPr>
          <w:sz w:val="20"/>
          <w:szCs w:val="20"/>
          <w:color w:val="auto"/>
        </w:rPr>
      </w:pPr>
    </w:p>
    <w:p>
      <w:pPr>
        <w:ind w:firstLine="1432"/>
        <w:spacing w:after="0" w:line="28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Notwithstanding anything herein to the contrary, the Corporation shall not effect any conversion of any share of Series A Non-Voting Preferred Stock, including pursuant to Section 6.1, and a Holder shall not have the right to convert any portion of the Series A Non-Voting Preferred Stock pursuant to Section 6.2, to the extent that, after giving effect to such attempted conversion set forth on an applicable Notice of Conversion (as defined in the Certificate of Designation) with respect to the Series A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Arial" w:cs="Arial" w:eastAsia="Arial" w:hAnsi="Arial"/>
          <w:sz w:val="16"/>
          <w:szCs w:val="16"/>
          <w:b w:val="1"/>
          <w:bCs w:val="1"/>
          <w:i w:val="1"/>
          <w:iCs w:val="1"/>
          <w:color w:val="auto"/>
        </w:rPr>
        <w:t>Attribution Parties</w:t>
      </w:r>
      <w:r>
        <w:rPr>
          <w:rFonts w:ascii="Arial" w:cs="Arial" w:eastAsia="Arial" w:hAnsi="Arial"/>
          <w:sz w:val="16"/>
          <w:szCs w:val="16"/>
          <w:color w:val="auto"/>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issuable upon conversion of the Series A Non-Voting Preferred Stock subject to the Notice of Conversion or the Automatic Conversion, as applicable, with respect to which such determination is being made, but shall exclude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Non-Voting Preferred Stock, by such Holder or its Attribution Parties since the date as of which such number of outstanding shares of Common Stock was last publicly reported or confirmed to the Holder. The “</w:t>
      </w:r>
      <w:r>
        <w:rPr>
          <w:rFonts w:ascii="Arial" w:cs="Arial" w:eastAsia="Arial" w:hAnsi="Arial"/>
          <w:sz w:val="16"/>
          <w:szCs w:val="16"/>
          <w:b w:val="1"/>
          <w:bCs w:val="1"/>
          <w:i w:val="1"/>
          <w:iCs w:val="1"/>
          <w:color w:val="auto"/>
        </w:rPr>
        <w:t>Beneficial Ownership Limitation</w:t>
      </w:r>
      <w:r>
        <w:rPr>
          <w:rFonts w:ascii="Arial" w:cs="Arial" w:eastAsia="Arial" w:hAnsi="Arial"/>
          <w:sz w:val="16"/>
          <w:szCs w:val="16"/>
          <w:color w:val="auto"/>
        </w:rPr>
        <w:t>” shall initially be set at the discretion of each Holder to a percentage designated by such Holder on its signature page to the Purchase Agreement between 0% and 19.9% of the number of shares of the Common Stock outstanding or deemed to be outstanding as of the applicable measurement date, and such percentage shall be set at 19.9% for any Holder that does not make such designation in the Purchase Agreement. The Corporation shall be entitled to rely on representations made to it by the Holder in any Notice of Conversion regarding its Beneficial Ownership Limitation. Notwithstanding the foregoing, by written notice to the Corporation, (i) the Holder may reset the Beneficial Ownership Limitation percentage to a higher percentage, not to exceed 19.9%, which increase will not be effective until the sixty-first (61st) day after such written notice is delivered to the Corporation, and (ii) the Holder may reset the Beneficial Ownership Limitation percentage to a lower percentage provided that such decrease shall not become effective until the later of (x) 5:00 p.m. Eastern time on the third Business Day after the date of the Stockholder Approval and (y) if Stockholder Approval is not obtained within six months after the initial issuance of the Series A Non-Voting Preferred Stock, the date that is three Business Days after the date that is six months after the initial issuance of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000"/>
          </w:cols>
          <w:pgMar w:left="440" w:top="274" w:right="459" w:bottom="1440" w:gutter="0" w:footer="0" w:header="0"/>
        </w:sectPr>
      </w:pPr>
    </w:p>
    <w:bookmarkStart w:id="298" w:name="page299"/>
    <w:bookmarkEnd w:id="298"/>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Series A Non-Voting Preferred Stock. Upon such a change by a Holder of the Beneficial Ownership Limitation, not to exceed 19.9%, the Beneficial Ownership Limitation may not be further amended by such Holder without first providing the minimum notice required by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Notwithstanding the foregoing,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The provisions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w:t>
      </w:r>
    </w:p>
    <w:p>
      <w:pPr>
        <w:spacing w:after="0" w:line="178"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left="4" w:right="20" w:firstLine="1983"/>
        <w:spacing w:after="0" w:line="285" w:lineRule="auto"/>
        <w:rPr>
          <w:sz w:val="20"/>
          <w:szCs w:val="20"/>
          <w:color w:val="auto"/>
        </w:rPr>
      </w:pPr>
      <w:r>
        <w:rPr>
          <w:rFonts w:ascii="Arial" w:cs="Arial" w:eastAsia="Arial" w:hAnsi="Arial"/>
          <w:sz w:val="16"/>
          <w:szCs w:val="16"/>
          <w:color w:val="auto"/>
        </w:rPr>
        <w:t xml:space="preserve">6.5.1 </w:t>
      </w:r>
      <w:r>
        <w:rPr>
          <w:rFonts w:ascii="Arial" w:cs="Arial" w:eastAsia="Arial" w:hAnsi="Arial"/>
          <w:sz w:val="16"/>
          <w:szCs w:val="16"/>
          <w:u w:val="single" w:color="auto"/>
          <w:color w:val="auto"/>
        </w:rPr>
        <w:t>Delivery of Certificate or Electronic Issuance</w:t>
      </w:r>
      <w:r>
        <w:rPr>
          <w:rFonts w:ascii="Arial" w:cs="Arial" w:eastAsia="Arial" w:hAnsi="Arial"/>
          <w:sz w:val="16"/>
          <w:szCs w:val="16"/>
          <w:color w:val="auto"/>
        </w:rPr>
        <w:t>. Upon Conversion not later than two (2) Trading Days after the applicable Conversion Date, or if the Holder requests the issuance of physical certificate(s), two (2) Trading Days after receipt by the Corporation of the original certificate(s) representing such shares of Series A Non-Voting Preferred Stock being converted, duly endorsed, and the accompanying Notice of Conversion (the “</w:t>
      </w:r>
      <w:r>
        <w:rPr>
          <w:rFonts w:ascii="Arial" w:cs="Arial" w:eastAsia="Arial" w:hAnsi="Arial"/>
          <w:sz w:val="16"/>
          <w:szCs w:val="16"/>
          <w:b w:val="1"/>
          <w:bCs w:val="1"/>
          <w:i w:val="1"/>
          <w:iCs w:val="1"/>
          <w:color w:val="auto"/>
        </w:rPr>
        <w:t>Share Delivery Date</w:t>
      </w:r>
      <w:r>
        <w:rPr>
          <w:rFonts w:ascii="Arial" w:cs="Arial" w:eastAsia="Arial" w:hAnsi="Arial"/>
          <w:sz w:val="16"/>
          <w:szCs w:val="16"/>
          <w:color w:val="auto"/>
        </w:rPr>
        <w:t>”), the Corporation shall either: (a) deliver, or cause to be delivered, to the converting Holder a physical certificate or certificates representing the number of Conversion Shares being acquired upon the conversion of shares of Series A Non-Voting Preferred Stock, or</w:t>
      </w:r>
    </w:p>
    <w:p>
      <w:pPr>
        <w:spacing w:after="0" w:line="2" w:lineRule="exact"/>
        <w:rPr>
          <w:sz w:val="20"/>
          <w:szCs w:val="20"/>
          <w:color w:val="auto"/>
        </w:rPr>
      </w:pPr>
    </w:p>
    <w:p>
      <w:pPr>
        <w:ind w:left="4" w:right="40" w:hanging="4"/>
        <w:spacing w:after="0" w:line="268" w:lineRule="auto"/>
        <w:tabs>
          <w:tab w:leader="none" w:pos="25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A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A Non-Voting Preferred Stock unsuccessfully tendered for conversion to the Corporation.</w:t>
      </w:r>
    </w:p>
    <w:p>
      <w:pPr>
        <w:spacing w:after="0" w:line="181" w:lineRule="exact"/>
        <w:rPr>
          <w:sz w:val="20"/>
          <w:szCs w:val="20"/>
          <w:color w:val="auto"/>
        </w:rPr>
      </w:pPr>
    </w:p>
    <w:p>
      <w:pPr>
        <w:ind w:left="4" w:right="20" w:firstLine="1983"/>
        <w:spacing w:after="0" w:line="285"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Obligation Absolute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subject to Holder’s right to rescind a Notice of Conversion pursuant to </w:t>
      </w:r>
      <w:r>
        <w:rPr>
          <w:rFonts w:ascii="Arial" w:cs="Arial" w:eastAsia="Arial" w:hAnsi="Arial"/>
          <w:sz w:val="16"/>
          <w:szCs w:val="16"/>
          <w:u w:val="single" w:color="auto"/>
          <w:color w:val="auto"/>
        </w:rPr>
        <w:t>Section 6.5.1</w:t>
      </w:r>
      <w:r>
        <w:rPr>
          <w:rFonts w:ascii="Arial" w:cs="Arial" w:eastAsia="Arial" w:hAnsi="Arial"/>
          <w:sz w:val="16"/>
          <w:szCs w:val="16"/>
          <w:color w:val="auto"/>
        </w:rPr>
        <w:t xml:space="preserve">, the Corporation’s obligation to issue and deliver the Conversion Shares upon conversion of Series A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subject to Holder’s right to rescind a Notice of Conversion pursuant to </w:t>
      </w:r>
      <w:r>
        <w:rPr>
          <w:rFonts w:ascii="Arial" w:cs="Arial" w:eastAsia="Arial" w:hAnsi="Arial"/>
          <w:sz w:val="16"/>
          <w:szCs w:val="16"/>
          <w:u w:val="single" w:color="auto"/>
          <w:color w:val="auto"/>
        </w:rPr>
        <w:t>Section 6.5.1</w:t>
      </w:r>
      <w:r>
        <w:rPr>
          <w:rFonts w:ascii="Arial" w:cs="Arial" w:eastAsia="Arial" w:hAnsi="Arial"/>
          <w:sz w:val="16"/>
          <w:szCs w:val="16"/>
          <w:color w:val="auto"/>
        </w:rPr>
        <w:t xml:space="preserve">, in the event a Holder shall elect to convert any or all of its Series A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A Non-Voting Preferred Stock of such Holder shall have been sought and obtained by the Corporation, and the Corporation posts a surety bond for the benefit of such Holder in the amount of 150% of the value of the Conversion Shares into which would be converted the Series A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subject to Holder’s right to rescind a Notice of Conversion pursuant to </w:t>
      </w:r>
      <w:r>
        <w:rPr>
          <w:rFonts w:ascii="Arial" w:cs="Arial" w:eastAsia="Arial" w:hAnsi="Arial"/>
          <w:sz w:val="16"/>
          <w:szCs w:val="16"/>
          <w:u w:val="single" w:color="auto"/>
          <w:color w:val="auto"/>
        </w:rPr>
        <w:t>Section 6.5.1</w:t>
      </w:r>
      <w:r>
        <w:rPr>
          <w:rFonts w:ascii="Arial" w:cs="Arial" w:eastAsia="Arial" w:hAnsi="Arial"/>
          <w:sz w:val="16"/>
          <w:szCs w:val="16"/>
          <w:color w:val="auto"/>
        </w:rPr>
        <w:t>, issue Conversion Shares upon a properly noticed conversion.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024"/>
          </w:cols>
          <w:pgMar w:left="436" w:top="274" w:right="439" w:bottom="1440" w:gutter="0" w:footer="0" w:header="0"/>
        </w:sectPr>
      </w:pPr>
    </w:p>
    <w:bookmarkStart w:id="299" w:name="page300"/>
    <w:bookmarkEnd w:id="299"/>
    <w:p>
      <w:pPr>
        <w:ind w:right="40" w:firstLine="198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6.5.3 </w:t>
      </w:r>
      <w:r>
        <w:rPr>
          <w:rFonts w:ascii="Arial" w:cs="Arial" w:eastAsia="Arial" w:hAnsi="Arial"/>
          <w:sz w:val="17"/>
          <w:szCs w:val="17"/>
          <w:u w:val="single" w:color="auto"/>
          <w:color w:val="auto"/>
        </w:rPr>
        <w:t>Cash Settlement</w:t>
      </w:r>
      <w:r>
        <w:rPr>
          <w:rFonts w:ascii="Arial" w:cs="Arial" w:eastAsia="Arial" w:hAnsi="Arial"/>
          <w:sz w:val="17"/>
          <w:szCs w:val="17"/>
          <w:color w:val="auto"/>
        </w:rPr>
        <w:t xml:space="preserve">. If, at any time after the earlier of Stockholder Approval or six months after the initial issuance of the Series A Non-Voting Preferred Stock, the Corporation fails to deliver to a Holder such certificate or certificates, or electronically deliver (or cause its transfer agent to electronically deliver) such shares in the case of a DWAC Delivery, pursuant to </w:t>
      </w:r>
      <w:r>
        <w:rPr>
          <w:rFonts w:ascii="Arial" w:cs="Arial" w:eastAsia="Arial" w:hAnsi="Arial"/>
          <w:sz w:val="17"/>
          <w:szCs w:val="17"/>
          <w:u w:val="single" w:color="auto"/>
          <w:color w:val="auto"/>
        </w:rPr>
        <w:t>Section 6.5.1</w:t>
      </w:r>
      <w:r>
        <w:rPr>
          <w:rFonts w:ascii="Arial" w:cs="Arial" w:eastAsia="Arial" w:hAnsi="Arial"/>
          <w:sz w:val="17"/>
          <w:szCs w:val="17"/>
          <w:color w:val="auto"/>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then, unless the Holder has rescinded the applicable Notice of Conversion pursuant to </w:t>
      </w:r>
      <w:r>
        <w:rPr>
          <w:rFonts w:ascii="Arial" w:cs="Arial" w:eastAsia="Arial" w:hAnsi="Arial"/>
          <w:sz w:val="17"/>
          <w:szCs w:val="17"/>
          <w:u w:val="single" w:color="auto"/>
          <w:color w:val="auto"/>
        </w:rPr>
        <w:t>Section 6.5.1</w:t>
      </w:r>
      <w:r>
        <w:rPr>
          <w:rFonts w:ascii="Arial" w:cs="Arial" w:eastAsia="Arial" w:hAnsi="Arial"/>
          <w:sz w:val="17"/>
          <w:szCs w:val="17"/>
          <w:color w:val="auto"/>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provided, however that such request shall be presumed to have been made by such Holder if Stockholder Approval shall not have been obtained prior to the date on which the Notice of Conversion is delivered to the Corporation. For purposes of this </w:t>
      </w:r>
      <w:r>
        <w:rPr>
          <w:rFonts w:ascii="Arial" w:cs="Arial" w:eastAsia="Arial" w:hAnsi="Arial"/>
          <w:sz w:val="17"/>
          <w:szCs w:val="17"/>
          <w:u w:val="single" w:color="auto"/>
          <w:color w:val="auto"/>
        </w:rPr>
        <w:t>Section 6.5.3</w:t>
      </w:r>
      <w:r>
        <w:rPr>
          <w:rFonts w:ascii="Arial" w:cs="Arial" w:eastAsia="Arial" w:hAnsi="Arial"/>
          <w:sz w:val="17"/>
          <w:szCs w:val="17"/>
          <w:color w:val="auto"/>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Arial" w:cs="Arial" w:eastAsia="Arial" w:hAnsi="Arial"/>
          <w:sz w:val="17"/>
          <w:szCs w:val="17"/>
          <w:u w:val="single" w:color="auto"/>
          <w:color w:val="auto"/>
        </w:rPr>
        <w:t>Section 6.5.3</w:t>
      </w:r>
      <w:r>
        <w:rPr>
          <w:rFonts w:ascii="Arial" w:cs="Arial" w:eastAsia="Arial" w:hAnsi="Arial"/>
          <w:sz w:val="17"/>
          <w:szCs w:val="17"/>
          <w:color w:val="auto"/>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including due to limitations set forth in </w:t>
      </w:r>
      <w:r>
        <w:rPr>
          <w:rFonts w:ascii="Arial" w:cs="Arial" w:eastAsia="Arial" w:hAnsi="Arial"/>
          <w:sz w:val="17"/>
          <w:szCs w:val="17"/>
          <w:u w:val="single" w:color="auto"/>
          <w:color w:val="auto"/>
        </w:rPr>
        <w:t>Section 6.5.6</w:t>
      </w:r>
      <w:r>
        <w:rPr>
          <w:rFonts w:ascii="Arial" w:cs="Arial" w:eastAsia="Arial" w:hAnsi="Arial"/>
          <w:sz w:val="17"/>
          <w:szCs w:val="17"/>
          <w:color w:val="auto"/>
        </w:rPr>
        <w:t>, the lack of obtaining Stockholder Approval, or due to applicable Trading Market rules.</w:t>
      </w:r>
    </w:p>
    <w:p>
      <w:pPr>
        <w:spacing w:after="0" w:line="190" w:lineRule="exact"/>
        <w:rPr>
          <w:sz w:val="20"/>
          <w:szCs w:val="20"/>
          <w:color w:val="auto"/>
        </w:rPr>
      </w:pPr>
    </w:p>
    <w:p>
      <w:pPr>
        <w:ind w:firstLine="1983"/>
        <w:spacing w:after="0" w:line="267" w:lineRule="auto"/>
        <w:rPr>
          <w:sz w:val="20"/>
          <w:szCs w:val="20"/>
          <w:color w:val="auto"/>
        </w:rPr>
      </w:pPr>
      <w:r>
        <w:rPr>
          <w:rFonts w:ascii="Arial" w:cs="Arial" w:eastAsia="Arial" w:hAnsi="Arial"/>
          <w:sz w:val="17"/>
          <w:szCs w:val="17"/>
          <w:color w:val="auto"/>
        </w:rPr>
        <w:t xml:space="preserve">6.5.4 </w:t>
      </w:r>
      <w:r>
        <w:rPr>
          <w:rFonts w:ascii="Arial" w:cs="Arial" w:eastAsia="Arial" w:hAnsi="Arial"/>
          <w:sz w:val="17"/>
          <w:szCs w:val="17"/>
          <w:u w:val="single" w:color="auto"/>
          <w:color w:val="auto"/>
        </w:rPr>
        <w:t>Buy-In on Failure to Timely Deliver Certificates</w:t>
      </w:r>
      <w:r>
        <w:rPr>
          <w:rFonts w:ascii="Arial" w:cs="Arial" w:eastAsia="Arial" w:hAnsi="Arial"/>
          <w:sz w:val="17"/>
          <w:szCs w:val="17"/>
          <w:color w:val="auto"/>
        </w:rPr>
        <w:t xml:space="preserve">. If the Corporation fails to deliver to a Holder the applicable certificate or certificates or to effect a DWAC Delivery, as applicable, by the Share Delivery Date pursuant to </w:t>
      </w:r>
      <w:r>
        <w:rPr>
          <w:rFonts w:ascii="Arial" w:cs="Arial" w:eastAsia="Arial" w:hAnsi="Arial"/>
          <w:sz w:val="17"/>
          <w:szCs w:val="17"/>
          <w:u w:val="single" w:color="auto"/>
          <w:color w:val="auto"/>
        </w:rPr>
        <w:t>Section 6.5.1</w:t>
      </w:r>
      <w:r>
        <w:rPr>
          <w:rFonts w:ascii="Arial" w:cs="Arial" w:eastAsia="Arial" w:hAnsi="Arial"/>
          <w:sz w:val="17"/>
          <w:szCs w:val="17"/>
          <w:color w:val="auto"/>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Arial" w:cs="Arial" w:eastAsia="Arial" w:hAnsi="Arial"/>
          <w:sz w:val="17"/>
          <w:szCs w:val="17"/>
          <w:b w:val="1"/>
          <w:bCs w:val="1"/>
          <w:i w:val="1"/>
          <w:iCs w:val="1"/>
          <w:color w:val="auto"/>
        </w:rPr>
        <w:t>Buy-In</w:t>
      </w:r>
      <w:r>
        <w:rPr>
          <w:rFonts w:ascii="Arial" w:cs="Arial" w:eastAsia="Arial" w:hAnsi="Arial"/>
          <w:sz w:val="17"/>
          <w:szCs w:val="17"/>
          <w:color w:val="auto"/>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Non-Voting Preferred Stock equal to the number of shares of Series A Non-Voting Preferred Stock submitted for conversion or deliver to such Holder the number of shares of Common Stock that would have been issued if the Corporation had timely complied with its delivery requirements under </w:t>
      </w:r>
      <w:r>
        <w:rPr>
          <w:rFonts w:ascii="Arial" w:cs="Arial" w:eastAsia="Arial" w:hAnsi="Arial"/>
          <w:sz w:val="17"/>
          <w:szCs w:val="17"/>
          <w:u w:val="single" w:color="auto"/>
          <w:color w:val="auto"/>
        </w:rPr>
        <w:t>Section 6.5.1</w:t>
      </w:r>
      <w:r>
        <w:rPr>
          <w:rFonts w:ascii="Arial" w:cs="Arial" w:eastAsia="Arial" w:hAnsi="Arial"/>
          <w:sz w:val="17"/>
          <w:szCs w:val="17"/>
          <w:color w:val="auto"/>
        </w:rPr>
        <w:t>. For example, if a Holder purchases shares of Common Stock having a total purchase price of $11,000 to cover a Buy-In with respect to an attempted conversion of shares of Series A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980"/>
          </w:cols>
          <w:pgMar w:left="440" w:top="274" w:right="479" w:bottom="1440" w:gutter="0" w:footer="0" w:header="0"/>
        </w:sectPr>
      </w:pPr>
    </w:p>
    <w:bookmarkStart w:id="300" w:name="page301"/>
    <w:bookmarkEnd w:id="300"/>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A Non-Voting Preferred Stock as required pursuant to the terms hereof or the cash settlement remedy set forth in </w:t>
      </w:r>
      <w:r>
        <w:rPr>
          <w:rFonts w:ascii="Arial" w:cs="Arial" w:eastAsia="Arial" w:hAnsi="Arial"/>
          <w:sz w:val="16"/>
          <w:szCs w:val="16"/>
          <w:u w:val="single" w:color="auto"/>
          <w:color w:val="auto"/>
        </w:rPr>
        <w:t>Section 6.5.3</w:t>
      </w:r>
      <w:r>
        <w:rPr>
          <w:rFonts w:ascii="Arial" w:cs="Arial" w:eastAsia="Arial" w:hAnsi="Arial"/>
          <w:sz w:val="16"/>
          <w:szCs w:val="16"/>
          <w:color w:val="auto"/>
        </w:rPr>
        <w:t xml:space="preserve">; provided, however, that the Holder shall not be entitled to both (i) require the reissuance of the shares of Series A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Arial" w:cs="Arial" w:eastAsia="Arial" w:hAnsi="Arial"/>
          <w:sz w:val="16"/>
          <w:szCs w:val="16"/>
          <w:u w:val="single" w:color="auto"/>
          <w:color w:val="auto"/>
        </w:rPr>
        <w:t>Section 6.5.1</w:t>
      </w:r>
      <w:r>
        <w:rPr>
          <w:rFonts w:ascii="Arial" w:cs="Arial" w:eastAsia="Arial" w:hAnsi="Arial"/>
          <w:sz w:val="16"/>
          <w:szCs w:val="16"/>
          <w:color w:val="auto"/>
        </w:rPr>
        <w:t>.</w:t>
      </w:r>
    </w:p>
    <w:p>
      <w:pPr>
        <w:spacing w:after="0" w:line="164" w:lineRule="exact"/>
        <w:rPr>
          <w:sz w:val="20"/>
          <w:szCs w:val="20"/>
          <w:color w:val="auto"/>
        </w:rPr>
      </w:pPr>
    </w:p>
    <w:p>
      <w:pPr>
        <w:ind w:firstLine="1983"/>
        <w:spacing w:after="0" w:line="273" w:lineRule="auto"/>
        <w:rPr>
          <w:sz w:val="20"/>
          <w:szCs w:val="20"/>
          <w:color w:val="auto"/>
        </w:rPr>
      </w:pPr>
      <w:r>
        <w:rPr>
          <w:rFonts w:ascii="Arial" w:cs="Arial" w:eastAsia="Arial" w:hAnsi="Arial"/>
          <w:sz w:val="17"/>
          <w:szCs w:val="17"/>
          <w:color w:val="auto"/>
        </w:rPr>
        <w:t xml:space="preserve">6.5.5 </w:t>
      </w: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xml:space="preserve">. The Corporation covenants that at all times it will reserve and keep available out of its authorized and unissued shares of Common Stock for the sole purpose of issuance upon conversion of the Series A Non-Voting Preferred Stock, free from preemptive rights or any other actual contingent purchase rights of Persons other than the Holders of the Series A Non-Voting Preferred Stock, not less than such aggregate number of shares of the Common Stock as shall be issuable (taking into account the adjustments of </w:t>
      </w:r>
      <w:r>
        <w:rPr>
          <w:rFonts w:ascii="Arial" w:cs="Arial" w:eastAsia="Arial" w:hAnsi="Arial"/>
          <w:sz w:val="17"/>
          <w:szCs w:val="17"/>
          <w:u w:val="single" w:color="auto"/>
          <w:color w:val="auto"/>
        </w:rPr>
        <w:t>Section 7</w:t>
      </w:r>
      <w:r>
        <w:rPr>
          <w:rFonts w:ascii="Arial" w:cs="Arial" w:eastAsia="Arial" w:hAnsi="Arial"/>
          <w:sz w:val="17"/>
          <w:szCs w:val="17"/>
          <w:color w:val="auto"/>
        </w:rPr>
        <w:t>) upon the conversion of all outstanding shares of Series A Non-Voting Preferred Stock. The Corporation covenants that all shares of Common Stock that shall be so issuable shall, upon issue, be duly authorized, validly issued, fully paid and non-assessable.</w:t>
      </w:r>
    </w:p>
    <w:p>
      <w:pPr>
        <w:spacing w:after="0" w:line="178" w:lineRule="exact"/>
        <w:rPr>
          <w:sz w:val="20"/>
          <w:szCs w:val="20"/>
          <w:color w:val="auto"/>
        </w:rPr>
      </w:pPr>
    </w:p>
    <w:p>
      <w:pPr>
        <w:ind w:right="80" w:firstLine="1983"/>
        <w:spacing w:after="0" w:line="254" w:lineRule="auto"/>
        <w:rPr>
          <w:sz w:val="20"/>
          <w:szCs w:val="20"/>
          <w:color w:val="auto"/>
        </w:rPr>
      </w:pPr>
      <w:r>
        <w:rPr>
          <w:rFonts w:ascii="Arial" w:cs="Arial" w:eastAsia="Arial" w:hAnsi="Arial"/>
          <w:sz w:val="18"/>
          <w:szCs w:val="18"/>
          <w:color w:val="auto"/>
        </w:rPr>
        <w:t xml:space="preserve">6.5.6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A Non-Voting Preferred Stock, no certificates or scrip for any such fractional shares shall be issued and no cash shall be paid for any such fractional shares. Any fractional shares of Common Stock that a Holder of Series A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A Non-Voting Preferred Stock the Holder is at the time converting into Common Stock and the aggregate number of shares of Common Stock issuable upon such conversion.</w:t>
      </w:r>
    </w:p>
    <w:p>
      <w:pPr>
        <w:spacing w:after="0" w:line="195"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 xml:space="preserve">6.5.7 </w:t>
      </w:r>
      <w:r>
        <w:rPr>
          <w:rFonts w:ascii="Arial" w:cs="Arial" w:eastAsia="Arial" w:hAnsi="Arial"/>
          <w:sz w:val="18"/>
          <w:szCs w:val="18"/>
          <w:u w:val="single" w:color="auto"/>
          <w:color w:val="auto"/>
        </w:rPr>
        <w:t>Transfer Taxes</w:t>
      </w:r>
      <w:r>
        <w:rPr>
          <w:rFonts w:ascii="Arial" w:cs="Arial" w:eastAsia="Arial" w:hAnsi="Arial"/>
          <w:sz w:val="18"/>
          <w:szCs w:val="18"/>
          <w:color w:val="auto"/>
        </w:rPr>
        <w:t>. The issuance of certificates for shares of the Common Stock upon conversion of the Series A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A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95" w:lineRule="exact"/>
        <w:rPr>
          <w:sz w:val="20"/>
          <w:szCs w:val="20"/>
          <w:color w:val="auto"/>
        </w:rPr>
      </w:pPr>
    </w:p>
    <w:p>
      <w:pPr>
        <w:ind w:right="180" w:firstLine="1983"/>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Status as Stockholder</w:t>
      </w:r>
      <w:r>
        <w:rPr>
          <w:rFonts w:ascii="Arial" w:cs="Arial" w:eastAsia="Arial" w:hAnsi="Arial"/>
          <w:sz w:val="18"/>
          <w:szCs w:val="18"/>
          <w:color w:val="auto"/>
        </w:rPr>
        <w:t>. Upon each Conversion Date, (i) the shares of Series A Non-Voting Preferred Stock being converted shall be deemed converted into shares of Common Stock and (ii) the Holder’s rights as a holder of such converted shares of Series A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Non-Voting Preferred Stock. In no event shall the Series A Non-Voting Preferred Stock convert into shares of Common Stock prior to the Stockholder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980"/>
          </w:cols>
          <w:pgMar w:left="440" w:top="274" w:right="479" w:bottom="1440" w:gutter="0" w:footer="0" w:header="0"/>
        </w:sectPr>
      </w:pPr>
    </w:p>
    <w:bookmarkStart w:id="301" w:name="page302"/>
    <w:bookmarkEnd w:id="301"/>
    <w:p>
      <w:pPr>
        <w:ind w:left="1164" w:hanging="173"/>
        <w:spacing w:after="0"/>
        <w:tabs>
          <w:tab w:leader="none" w:pos="1164"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Adjustments</w:t>
      </w:r>
      <w:r>
        <w:rPr>
          <w:rFonts w:ascii="Arial" w:cs="Arial" w:eastAsia="Arial" w:hAnsi="Arial"/>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the Corporation, at any time while this Series A Non-Voting Preferred Stock is outstanding:</w:t>
      </w:r>
    </w:p>
    <w:p>
      <w:pPr>
        <w:spacing w:after="0" w:line="46" w:lineRule="exact"/>
        <w:rPr>
          <w:sz w:val="20"/>
          <w:szCs w:val="20"/>
          <w:color w:val="auto"/>
        </w:rPr>
      </w:pPr>
    </w:p>
    <w:p>
      <w:pPr>
        <w:ind w:left="4" w:right="220" w:hanging="4"/>
        <w:spacing w:after="0" w:line="268" w:lineRule="auto"/>
        <w:tabs>
          <w:tab w:leader="none" w:pos="29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pays a stock dividend or otherwise makes a distribution or distributions payable in shares of Common Stock (which, for avoidance of doubt, shall not include any shares of Common Stock issued by the Corporation upon conversion of this Series A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81" w:lineRule="exact"/>
        <w:rPr>
          <w:sz w:val="20"/>
          <w:szCs w:val="20"/>
          <w:color w:val="auto"/>
        </w:rPr>
      </w:pPr>
    </w:p>
    <w:p>
      <w:pPr>
        <w:ind w:left="4" w:firstLine="1432"/>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Series A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w:t>
      </w:r>
    </w:p>
    <w:p>
      <w:pPr>
        <w:spacing w:after="0" w:line="2" w:lineRule="exact"/>
        <w:rPr>
          <w:sz w:val="20"/>
          <w:szCs w:val="20"/>
          <w:color w:val="auto"/>
        </w:rPr>
      </w:pPr>
    </w:p>
    <w:p>
      <w:pPr>
        <w:ind w:left="4" w:hanging="4"/>
        <w:spacing w:after="0" w:line="283" w:lineRule="auto"/>
        <w:tabs>
          <w:tab w:leader="none" w:pos="29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Corporation effects any reclassification of the Common Stock or any compulsory share exchange pursuant (other than as a result of a dividend, subdivision or combination covered by </w:t>
      </w:r>
      <w:r>
        <w:rPr>
          <w:rFonts w:ascii="Arial" w:cs="Arial" w:eastAsia="Arial" w:hAnsi="Arial"/>
          <w:sz w:val="16"/>
          <w:szCs w:val="16"/>
          <w:u w:val="single" w:color="auto"/>
          <w:color w:val="auto"/>
        </w:rPr>
        <w:t>Section 7.1</w:t>
      </w:r>
      <w:r>
        <w:rPr>
          <w:rFonts w:ascii="Arial" w:cs="Arial" w:eastAsia="Arial" w:hAnsi="Arial"/>
          <w:sz w:val="16"/>
          <w:szCs w:val="16"/>
          <w:color w:val="auto"/>
        </w:rPr>
        <w:t>) to which the Common Stock is effectively converted into or exchanged for other securities, cash or property (in any such case, a “</w:t>
      </w:r>
      <w:r>
        <w:rPr>
          <w:rFonts w:ascii="Arial" w:cs="Arial" w:eastAsia="Arial" w:hAnsi="Arial"/>
          <w:sz w:val="16"/>
          <w:szCs w:val="16"/>
          <w:b w:val="1"/>
          <w:bCs w:val="1"/>
          <w:i w:val="1"/>
          <w:iCs w:val="1"/>
          <w:color w:val="auto"/>
        </w:rPr>
        <w:t>Fundamental Transaction</w:t>
      </w:r>
      <w:r>
        <w:rPr>
          <w:rFonts w:ascii="Arial" w:cs="Arial" w:eastAsia="Arial" w:hAnsi="Arial"/>
          <w:sz w:val="16"/>
          <w:szCs w:val="16"/>
          <w:color w:val="auto"/>
        </w:rPr>
        <w:t>”), then, upon any subsequent conversion of this Series A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Arial" w:cs="Arial" w:eastAsia="Arial" w:hAnsi="Arial"/>
          <w:sz w:val="16"/>
          <w:szCs w:val="16"/>
          <w:b w:val="1"/>
          <w:bCs w:val="1"/>
          <w:i w:val="1"/>
          <w:iCs w:val="1"/>
          <w:color w:val="auto"/>
        </w:rPr>
        <w:t>Alternate Consideration</w:t>
      </w:r>
      <w:r>
        <w:rPr>
          <w:rFonts w:ascii="Arial" w:cs="Arial" w:eastAsia="Arial" w:hAnsi="Arial"/>
          <w:sz w:val="16"/>
          <w:szCs w:val="16"/>
          <w:color w:val="auto"/>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A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insuring that this Series A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Notwithstanding anything to the contrary herein, the Corporation’s disposition of certain assets pursuant to the CVR Agreement shall not constitute a Fundamental Transaction.</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004"/>
          </w:cols>
          <w:pgMar w:left="436" w:top="274" w:right="459" w:bottom="1440" w:gutter="0" w:footer="0" w:header="0"/>
        </w:sectPr>
      </w:pPr>
    </w:p>
    <w:bookmarkStart w:id="302" w:name="page303"/>
    <w:bookmarkEnd w:id="302"/>
    <w:p>
      <w:pPr>
        <w:jc w:val="both"/>
        <w:ind w:right="80" w:firstLine="1432"/>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Arial" w:cs="Arial" w:eastAsia="Arial" w:hAnsi="Arial"/>
          <w:sz w:val="17"/>
          <w:szCs w:val="17"/>
          <w:u w:val="single" w:color="auto"/>
          <w:color w:val="auto"/>
        </w:rPr>
        <w:t>Calculations</w:t>
      </w:r>
      <w:r>
        <w:rPr>
          <w:rFonts w:ascii="Arial" w:cs="Arial" w:eastAsia="Arial" w:hAnsi="Arial"/>
          <w:sz w:val="17"/>
          <w:szCs w:val="17"/>
          <w:color w:val="auto"/>
        </w:rPr>
        <w:t xml:space="preserve">. All calculations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made to the nearest cent or the nearest 1/100th of a share, as the case may be. For purposes of this </w:t>
      </w:r>
      <w:r>
        <w:rPr>
          <w:rFonts w:ascii="Arial" w:cs="Arial" w:eastAsia="Arial" w:hAnsi="Arial"/>
          <w:sz w:val="17"/>
          <w:szCs w:val="17"/>
          <w:u w:val="single" w:color="auto"/>
          <w:color w:val="auto"/>
        </w:rPr>
        <w:t>Section 7</w:t>
      </w:r>
      <w:r>
        <w:rPr>
          <w:rFonts w:ascii="Arial" w:cs="Arial" w:eastAsia="Arial" w:hAnsi="Arial"/>
          <w:sz w:val="17"/>
          <w:szCs w:val="17"/>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65" w:lineRule="exact"/>
        <w:rPr>
          <w:sz w:val="20"/>
          <w:szCs w:val="20"/>
          <w:color w:val="auto"/>
        </w:rPr>
      </w:pPr>
    </w:p>
    <w:p>
      <w:pPr>
        <w:jc w:val="both"/>
        <w:ind w:right="240" w:firstLine="987"/>
        <w:spacing w:after="0" w:line="263" w:lineRule="auto"/>
        <w:tabs>
          <w:tab w:leader="none" w:pos="1171"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xml:space="preserve">. The shares of Series A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Arial" w:cs="Arial" w:eastAsia="Arial" w:hAnsi="Arial"/>
          <w:sz w:val="18"/>
          <w:szCs w:val="18"/>
          <w:u w:val="single" w:color="auto"/>
          <w:color w:val="auto"/>
        </w:rPr>
        <w:t>Section 6.5.3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60" w:firstLine="987"/>
        <w:spacing w:after="0" w:line="293" w:lineRule="auto"/>
        <w:tabs>
          <w:tab w:leader="none" w:pos="1171"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A Holder may transfer any shares of Series A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A Non-Voting Preferred Stock may reasonably request in order to carry out the intent and accomplish the purposes of this </w:t>
      </w:r>
      <w:r>
        <w:rPr>
          <w:rFonts w:ascii="Arial" w:cs="Arial" w:eastAsia="Arial" w:hAnsi="Arial"/>
          <w:sz w:val="16"/>
          <w:szCs w:val="16"/>
          <w:u w:val="single" w:color="auto"/>
          <w:color w:val="auto"/>
        </w:rPr>
        <w:t>Section 9</w:t>
      </w:r>
      <w:r>
        <w:rPr>
          <w:rFonts w:ascii="Arial" w:cs="Arial" w:eastAsia="Arial" w:hAnsi="Arial"/>
          <w:sz w:val="16"/>
          <w:szCs w:val="16"/>
          <w:color w:val="auto"/>
        </w:rPr>
        <w:t>. The transferee of any shares of Series A Non-Voting Preferred Stock shall be subject to the Beneficial Ownership Limitation applicable to the transferor as of the time of such transfer.</w:t>
      </w:r>
    </w:p>
    <w:p>
      <w:pPr>
        <w:spacing w:after="0" w:line="164" w:lineRule="exact"/>
        <w:rPr>
          <w:rFonts w:ascii="Arial" w:cs="Arial" w:eastAsia="Arial" w:hAnsi="Arial"/>
          <w:sz w:val="16"/>
          <w:szCs w:val="16"/>
          <w:color w:val="auto"/>
        </w:rPr>
      </w:pPr>
    </w:p>
    <w:p>
      <w:pPr>
        <w:ind w:right="40" w:firstLine="987"/>
        <w:spacing w:after="0" w:line="291" w:lineRule="auto"/>
        <w:tabs>
          <w:tab w:leader="none" w:pos="1261"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Series A Non-Voting Preferred Stock Register</w:t>
      </w:r>
      <w:r>
        <w:rPr>
          <w:rFonts w:ascii="Arial" w:cs="Arial" w:eastAsia="Arial" w:hAnsi="Arial"/>
          <w:sz w:val="16"/>
          <w:szCs w:val="16"/>
          <w:color w:val="auto"/>
        </w:rPr>
        <w:t xml:space="preserve">. The Corporation shall maintain at its principal executive offices (or such other office or agency of the Corporation as it may designate by notice to the Holders in accordance with </w:t>
      </w:r>
      <w:r>
        <w:rPr>
          <w:rFonts w:ascii="Arial" w:cs="Arial" w:eastAsia="Arial" w:hAnsi="Arial"/>
          <w:sz w:val="16"/>
          <w:szCs w:val="16"/>
          <w:u w:val="single" w:color="auto"/>
          <w:color w:val="auto"/>
        </w:rPr>
        <w:t>Section 11</w:t>
      </w:r>
      <w:r>
        <w:rPr>
          <w:rFonts w:ascii="Arial" w:cs="Arial" w:eastAsia="Arial" w:hAnsi="Arial"/>
          <w:sz w:val="16"/>
          <w:szCs w:val="16"/>
          <w:color w:val="auto"/>
        </w:rPr>
        <w:t>), a register for the Series A Non-Voting Preferred Stock, in which the Corporation shall record (i) the name, address, and electronic mail address of each holder in whose name the shares of Series A Non-Voting Preferred Stock have been issued and (ii) the name, address, and electronic mail address of each transferee of any shares of Series A Non-Voting Preferred Stock. The Corporation may deem and treat the registered Holder of shares of Series A Non-Voting Preferred Stock as the absolute owner thereof for the purpose of any conversion thereof and for all other purposes. The Corporation shall keep the register open and available at all times during business hours for inspection by any holder of Series A Non-Voting Preferred Stock or his, her or its legal representatives.</w:t>
      </w:r>
    </w:p>
    <w:p>
      <w:pPr>
        <w:spacing w:after="0" w:line="166" w:lineRule="exact"/>
        <w:rPr>
          <w:rFonts w:ascii="Arial" w:cs="Arial" w:eastAsia="Arial" w:hAnsi="Arial"/>
          <w:sz w:val="16"/>
          <w:szCs w:val="16"/>
          <w:color w:val="auto"/>
        </w:rPr>
      </w:pPr>
    </w:p>
    <w:p>
      <w:pPr>
        <w:ind w:right="80" w:firstLine="987"/>
        <w:spacing w:after="0" w:line="259" w:lineRule="auto"/>
        <w:tabs>
          <w:tab w:leader="none" w:pos="125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the provisions of this Certificate of Designation to be given to a Holder of shares of Series A Non-Voting Preferred Stock shall be mailed, postage prepaid, to the post office address last shown on the records of the Corporation, or given by electronic communication in compliance with the provisions of the Delaware General Corporation Law, and shall be deemed sent upon such mailing or electronic transmission.</w:t>
      </w:r>
    </w:p>
    <w:p>
      <w:pPr>
        <w:spacing w:after="0" w:line="186" w:lineRule="exact"/>
        <w:rPr>
          <w:rFonts w:ascii="Arial" w:cs="Arial" w:eastAsia="Arial" w:hAnsi="Arial"/>
          <w:sz w:val="18"/>
          <w:szCs w:val="18"/>
          <w:color w:val="auto"/>
        </w:rPr>
      </w:pPr>
    </w:p>
    <w:p>
      <w:pPr>
        <w:ind w:right="300" w:firstLine="987"/>
        <w:spacing w:after="0" w:line="257" w:lineRule="auto"/>
        <w:tabs>
          <w:tab w:leader="none" w:pos="1261"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Book-Entry; Certificates</w:t>
      </w:r>
      <w:r>
        <w:rPr>
          <w:rFonts w:ascii="Arial" w:cs="Arial" w:eastAsia="Arial" w:hAnsi="Arial"/>
          <w:sz w:val="18"/>
          <w:szCs w:val="18"/>
          <w:color w:val="auto"/>
        </w:rPr>
        <w:t>. The Series A Non-Voting Preferred Stock will be issued in book-entry form; provided that, if a Holder requests that such Holder’s shares of Series A Non-Voting Preferred Stock be issued in certificated form, the Corporation will instead issue a stock certificate to such Holder representing such Holder’s shares of Series A Non-Voting Preferred Stock. To the extent that any shares of Series A Non-Voting Preferred Stock are issued in book-entry form, references herein to “certificates” shall instead refer to the book-entry notation relating to such shares.</w:t>
      </w:r>
    </w:p>
    <w:p>
      <w:pPr>
        <w:spacing w:after="0" w:line="187" w:lineRule="exact"/>
        <w:rPr>
          <w:rFonts w:ascii="Arial" w:cs="Arial" w:eastAsia="Arial" w:hAnsi="Arial"/>
          <w:sz w:val="18"/>
          <w:szCs w:val="18"/>
          <w:color w:val="auto"/>
        </w:rPr>
      </w:pPr>
    </w:p>
    <w:p>
      <w:pPr>
        <w:ind w:firstLine="987"/>
        <w:spacing w:after="0" w:line="254" w:lineRule="auto"/>
        <w:tabs>
          <w:tab w:leader="none" w:pos="1261"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Non-Voting Preferred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000"/>
          </w:cols>
          <w:pgMar w:left="440" w:top="274" w:right="459" w:bottom="1440" w:gutter="0" w:footer="0" w:header="0"/>
        </w:sectPr>
      </w:pPr>
    </w:p>
    <w:bookmarkStart w:id="303" w:name="page304"/>
    <w:bookmarkEnd w:id="303"/>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granted hereunder may be waived as to all shares of Series A Non-Voting Preferred Stock (and the Holders thereof) upon the written consent of the Holders of not less than a majority of the shares of Series A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spacing w:after="0" w:line="176" w:lineRule="exact"/>
        <w:rPr>
          <w:sz w:val="20"/>
          <w:szCs w:val="20"/>
          <w:color w:val="auto"/>
        </w:rPr>
      </w:pPr>
    </w:p>
    <w:p>
      <w:pPr>
        <w:ind w:right="20" w:firstLine="987"/>
        <w:spacing w:after="0" w:line="286" w:lineRule="auto"/>
        <w:tabs>
          <w:tab w:leader="none" w:pos="1261"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165" w:lineRule="exact"/>
        <w:rPr>
          <w:rFonts w:ascii="Arial" w:cs="Arial" w:eastAsia="Arial" w:hAnsi="Arial"/>
          <w:sz w:val="17"/>
          <w:szCs w:val="17"/>
          <w:color w:val="auto"/>
        </w:rPr>
      </w:pPr>
    </w:p>
    <w:p>
      <w:pPr>
        <w:ind w:firstLine="987"/>
        <w:spacing w:after="0" w:line="275" w:lineRule="auto"/>
        <w:tabs>
          <w:tab w:leader="none" w:pos="1261"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Status of Converted Series A Non-Voting Preferred Stock</w:t>
      </w:r>
      <w:r>
        <w:rPr>
          <w:rFonts w:ascii="Arial" w:cs="Arial" w:eastAsia="Arial" w:hAnsi="Arial"/>
          <w:sz w:val="17"/>
          <w:szCs w:val="17"/>
          <w:color w:val="auto"/>
        </w:rPr>
        <w:t>. If any shares of Series A Non-Voting Preferred Stock shall be converted or redeemed by the Corporation, such shares shall, to the fullest extent permitted by applicable law, be retired and cancelled upon such acquisition, and shall not be reissued as a share of Series A Non-Voting Preferred Stock. Any share of Series A Non-Voting Preferred Stock so acquired shall, upon its retirement and cancellation, and upon the taking of any action required by applicable law, resume the status of authorized but unissued shares of preferred stock and shall no longer be designated as Series A Non-Voting Preferred Stock.</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0880"/>
          </w:cols>
          <w:pgMar w:left="440" w:top="274" w:right="579" w:bottom="1440" w:gutter="0" w:footer="0" w:header="0"/>
        </w:sectPr>
      </w:pPr>
    </w:p>
    <w:bookmarkStart w:id="304" w:name="page305"/>
    <w:bookmarkEnd w:id="30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Aeglea BioTherapeutics, Inc. has caused this Certificate of Designation of Preferences, Rights and Limitations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 Non-Voting Convertible Preferred Stock to be duly executed by its Chief Executive Officer on June 22, 2023.</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ectPr>
          <w:pgSz w:w="11900" w:h="16838" w:orient="portrait"/>
          <w:cols w:equalWidth="0" w:num="1">
            <w:col w:w="10740"/>
          </w:cols>
          <w:pgMar w:left="440" w:top="270" w:right="719" w:bottom="1440" w:gutter="0" w:footer="0" w:header="0"/>
        </w:sectPr>
      </w:pPr>
    </w:p>
    <w:bookmarkStart w:id="305" w:name="page306"/>
    <w:bookmarkEnd w:id="30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NOTICE OF CONVERSION</w:t>
      </w:r>
    </w:p>
    <w:p>
      <w:pPr>
        <w:spacing w:after="0" w:line="225" w:lineRule="exact"/>
        <w:rPr>
          <w:sz w:val="20"/>
          <w:szCs w:val="20"/>
          <w:color w:val="auto"/>
        </w:rPr>
      </w:pPr>
    </w:p>
    <w:p>
      <w:pPr>
        <w:jc w:val="center"/>
        <w:ind w:left="520" w:right="160"/>
        <w:spacing w:after="0" w:line="277" w:lineRule="auto"/>
        <w:rPr>
          <w:sz w:val="20"/>
          <w:szCs w:val="20"/>
          <w:color w:val="auto"/>
        </w:rPr>
      </w:pPr>
      <w:r>
        <w:rPr>
          <w:rFonts w:ascii="Arial" w:cs="Arial" w:eastAsia="Arial" w:hAnsi="Arial"/>
          <w:sz w:val="18"/>
          <w:szCs w:val="18"/>
          <w:color w:val="auto"/>
        </w:rPr>
        <w:t>(TO BE EXECUTED BY THE REGISTERED HOLDER IN ORDER TO CONVERT SHARES OF SERIES A NON-VOTING CONVERTIBLE PREFERRED STOCK)</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Holder hereby irrevocably elects to convert the number of shares of Series A Non-Voting Preferred Stock indicated below, represented in book-entry form, into shares of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Aeglea BioTherapeutics,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Non-Voting Convertible Preferred Stock (the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filed by the Corporation with the Secretary of State of the State of Delaware on June 22, 2023.</w:t>
      </w:r>
    </w:p>
    <w:p>
      <w:pPr>
        <w:spacing w:after="0" w:line="16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As of the date hereof, the number of shares of Common Stock beneficially owned by the undersigned Holder (together with such Holder’s Attribution Parties), including the number of shares of Common Stock issuable upon conversion of the Series A Non-Voting Preferred Stock subject to this Notice of Conversion, but excluding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of the Certificate of Designation, is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_____. For purposes hereof, beneficial ownership shall be calculated in accordance with Section 13(d) of the Exchange Act and the applicable</w:t>
      </w:r>
    </w:p>
    <w:p>
      <w:pPr>
        <w:spacing w:after="0" w:line="2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regulations of the Commission. In addition, for purposes hereof, “group” has the meaning set forth in Section 13(d) of the Exchange Act and the applicable regulations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CONVERSION CALCULATIONS: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A Non-Voting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A Non-Voting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DWAC Delivery, please provide the following: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Broker No.: ________________</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No.: _______________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bookmarkStart w:id="306" w:name="page307"/>
    <w:bookmarkEnd w:id="30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Form of CVR Agreement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0" w:right="1440"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Privileged and 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Final Form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CONTINGENT VALUE RIGHTS AGREEMENT</w:t>
      </w:r>
    </w:p>
    <w:p>
      <w:pPr>
        <w:spacing w:after="0" w:line="225" w:lineRule="exact"/>
        <w:rPr>
          <w:sz w:val="20"/>
          <w:szCs w:val="20"/>
          <w:color w:val="auto"/>
        </w:rPr>
      </w:pPr>
    </w:p>
    <w:p>
      <w:pPr>
        <w:jc w:val="both"/>
        <w:ind w:right="340" w:firstLine="440"/>
        <w:spacing w:after="0" w:line="266" w:lineRule="auto"/>
        <w:rPr>
          <w:sz w:val="20"/>
          <w:szCs w:val="20"/>
          <w:color w:val="auto"/>
        </w:rPr>
      </w:pPr>
      <w:r>
        <w:rPr>
          <w:rFonts w:ascii="Arial" w:cs="Arial" w:eastAsia="Arial" w:hAnsi="Arial"/>
          <w:sz w:val="18"/>
          <w:szCs w:val="18"/>
          <w:b w:val="1"/>
          <w:bCs w:val="1"/>
          <w:color w:val="auto"/>
        </w:rPr>
        <w:t xml:space="preserve">THIS CONTINGENT VALUE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 2023, is entered into by and between Aeglea</w:t>
      </w:r>
      <w:r>
        <w:rPr>
          <w:rFonts w:ascii="Arial" w:cs="Arial" w:eastAsia="Arial" w:hAnsi="Arial"/>
          <w:sz w:val="18"/>
          <w:szCs w:val="18"/>
          <w:b w:val="1"/>
          <w:bCs w:val="1"/>
          <w:color w:val="auto"/>
        </w:rPr>
        <w:t xml:space="preserve"> </w:t>
      </w:r>
      <w:r>
        <w:rPr>
          <w:rFonts w:ascii="Arial" w:cs="Arial" w:eastAsia="Arial" w:hAnsi="Arial"/>
          <w:sz w:val="18"/>
          <w:szCs w:val="18"/>
          <w:color w:val="auto"/>
        </w:rPr>
        <w:t>BioTherapeutics,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American Stock Transfer &amp; Trust Company LLC, a Delaware limited liability company, as Rights Agent (as defined 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Aspen Merger Sub I, Inc., a Delaware corporation and wholly owned subsidiary of the Company (“</w:t>
      </w:r>
      <w:r>
        <w:rPr>
          <w:rFonts w:ascii="Arial" w:cs="Arial" w:eastAsia="Arial" w:hAnsi="Arial"/>
          <w:sz w:val="17"/>
          <w:szCs w:val="17"/>
          <w:b w:val="1"/>
          <w:bCs w:val="1"/>
          <w:color w:val="auto"/>
        </w:rPr>
        <w:t>First Merger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w:t>
      </w:r>
      <w:r>
        <w:rPr>
          <w:rFonts w:ascii="Arial" w:cs="Arial" w:eastAsia="Arial" w:hAnsi="Arial"/>
          <w:sz w:val="16"/>
          <w:szCs w:val="16"/>
          <w:color w:val="auto"/>
        </w:rPr>
        <w:t>”), Sequoia Merger Sub II, LLC, a Delaware limited liability company and wholly owned subsidiary of the Company (“</w:t>
      </w:r>
      <w:r>
        <w:rPr>
          <w:rFonts w:ascii="Arial" w:cs="Arial" w:eastAsia="Arial" w:hAnsi="Arial"/>
          <w:sz w:val="16"/>
          <w:szCs w:val="16"/>
          <w:b w:val="1"/>
          <w:bCs w:val="1"/>
          <w:color w:val="auto"/>
        </w:rPr>
        <w:t>Second Merger Sub</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SPYRE THERAPEUTICS,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Spyre</w:t>
      </w:r>
      <w:r>
        <w:rPr>
          <w:rFonts w:ascii="Arial" w:cs="Arial" w:eastAsia="Arial" w:hAnsi="Arial"/>
          <w:sz w:val="17"/>
          <w:szCs w:val="17"/>
          <w:color w:val="auto"/>
        </w:rPr>
        <w:t>”), have entered into an Agreement and Plan of Merger, dated as of [•], 2023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First Merger Sub will merge with and into Spyre (the “</w:t>
      </w:r>
      <w:r>
        <w:rPr>
          <w:rFonts w:ascii="Arial" w:cs="Arial" w:eastAsia="Arial" w:hAnsi="Arial"/>
          <w:sz w:val="16"/>
          <w:szCs w:val="16"/>
          <w:b w:val="1"/>
          <w:bCs w:val="1"/>
          <w:color w:val="auto"/>
        </w:rPr>
        <w:t>First Merger</w:t>
      </w:r>
      <w:r>
        <w:rPr>
          <w:rFonts w:ascii="Arial" w:cs="Arial" w:eastAsia="Arial" w:hAnsi="Arial"/>
          <w:sz w:val="16"/>
          <w:szCs w:val="16"/>
          <w:color w:val="auto"/>
        </w:rPr>
        <w:t>”), with Spyre surviving the First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wholly-owned subsidiary of the Company and immediately following the First Merger and as part of the same overall transaction, Spyre will merge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and into Second Merger Sub (the “</w:t>
      </w:r>
      <w:r>
        <w:rPr>
          <w:rFonts w:ascii="Arial" w:cs="Arial" w:eastAsia="Arial" w:hAnsi="Arial"/>
          <w:sz w:val="17"/>
          <w:szCs w:val="17"/>
          <w:b w:val="1"/>
          <w:b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b w:val="1"/>
          <w:bCs w:val="1"/>
          <w:color w:val="auto"/>
        </w:rPr>
        <w:t>Merger</w:t>
      </w:r>
      <w:r>
        <w:rPr>
          <w:rFonts w:ascii="Arial" w:cs="Arial" w:eastAsia="Arial" w:hAnsi="Arial"/>
          <w:sz w:val="17"/>
          <w:szCs w:val="17"/>
          <w:color w:val="auto"/>
        </w:rPr>
        <w:t>”), with Second Merger Sub surviving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Second Merger as a wholly owned subsidiary of the Company (the “</w:t>
      </w:r>
      <w:r>
        <w:rPr>
          <w:rFonts w:ascii="Arial" w:cs="Arial" w:eastAsia="Arial" w:hAnsi="Arial"/>
          <w:sz w:val="18"/>
          <w:szCs w:val="18"/>
          <w:b w:val="1"/>
          <w:bCs w:val="1"/>
          <w:color w:val="auto"/>
        </w:rPr>
        <w:t>Surviving Company</w:t>
      </w:r>
      <w:r>
        <w:rPr>
          <w:rFonts w:ascii="Arial" w:cs="Arial" w:eastAsia="Arial" w:hAnsi="Arial"/>
          <w:sz w:val="18"/>
          <w:szCs w:val="18"/>
          <w:color w:val="auto"/>
        </w:rPr>
        <w:t>”);</w:t>
      </w:r>
    </w:p>
    <w:p>
      <w:pPr>
        <w:spacing w:after="0" w:line="207"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Agreement, and in accordance with the terms and conditions thereof, the Company has agreed to provide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(as defined herein) contingent value rights as hereinafter described;</w:t>
      </w:r>
    </w:p>
    <w:p>
      <w:pPr>
        <w:spacing w:after="0" w:line="162" w:lineRule="exact"/>
        <w:rPr>
          <w:sz w:val="20"/>
          <w:szCs w:val="20"/>
          <w:color w:val="auto"/>
        </w:rPr>
      </w:pPr>
    </w:p>
    <w:p>
      <w:pPr>
        <w:ind w:right="5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done all things reasonably necessary to make the contingent value rights, when issued pursuant to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hereunder, the valid obligations of the Company and to make this Agreement a valid and binding agreement of the Company, in accordance with its terms; and</w:t>
      </w:r>
    </w:p>
    <w:p>
      <w:pPr>
        <w:spacing w:after="0" w:line="17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consummation of the transactions referred to above,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for the proportionate benefit of all Holders,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Section 1.1 Definitions</w:t>
      </w:r>
      <w:r>
        <w:rPr>
          <w:rFonts w:ascii="Arial" w:cs="Arial" w:eastAsia="Arial" w:hAnsi="Arial"/>
          <w:sz w:val="16"/>
          <w:szCs w:val="16"/>
          <w:color w:val="auto"/>
        </w:rPr>
        <w:t>. Capitalized terms used but not otherwise defined herein have the meanings ascribed thereto in the Merger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have the meanings ascribed to them as follows:</w:t>
      </w:r>
    </w:p>
    <w:p>
      <w:pPr>
        <w:spacing w:after="0" w:line="207" w:lineRule="exact"/>
        <w:rPr>
          <w:sz w:val="20"/>
          <w:szCs w:val="20"/>
          <w:color w:val="auto"/>
        </w:rPr>
      </w:pPr>
    </w:p>
    <w:p>
      <w:pPr>
        <w:jc w:val="center"/>
        <w:ind w:left="580" w:right="30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Holders</w:t>
      </w:r>
      <w:r>
        <w:rPr>
          <w:rFonts w:ascii="Arial" w:cs="Arial" w:eastAsia="Arial" w:hAnsi="Arial"/>
          <w:sz w:val="18"/>
          <w:szCs w:val="18"/>
          <w:color w:val="auto"/>
        </w:rPr>
        <w:t>” means, at the time of determination, the Holders of at least 30% of the outstanding CVRs, as reflected on the CVR Register. D-2</w:t>
      </w:r>
    </w:p>
    <w:p>
      <w:pPr>
        <w:sectPr>
          <w:pgSz w:w="11900" w:h="16838" w:orient="portrait"/>
          <w:cols w:equalWidth="0" w:num="1">
            <w:col w:w="11020"/>
          </w:cols>
          <w:pgMar w:left="440" w:top="274" w:right="439" w:bottom="1440" w:gutter="0" w:footer="0" w:header="0"/>
        </w:sectPr>
      </w:pPr>
    </w:p>
    <w:bookmarkStart w:id="308" w:name="page309"/>
    <w:bookmarkEnd w:id="308"/>
    <w:p>
      <w:pPr>
        <w:ind w:right="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Adjustment Amount</w:t>
      </w:r>
      <w:r>
        <w:rPr>
          <w:rFonts w:ascii="Arial" w:cs="Arial" w:eastAsia="Arial" w:hAnsi="Arial"/>
          <w:sz w:val="18"/>
          <w:szCs w:val="18"/>
          <w:color w:val="auto"/>
        </w:rPr>
        <w:t>” means the amount (negative or positive) of any assets or Liabilities existing or incurred during the CVR Term that would have been required to be included in the calculation of Net Cash to the extent not taken account in the calculation of Net Cash in connection with calculating the Exchange Ratio provided that such assets or Liabilities shall not exceed $1,000,000.</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xml:space="preserve">” means the successive periods of three (3) consecutive calendar months ending on March 31, June 30, September 30 or December 31, for so long as this Agreement is in effect;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(a) the first Calendar Quarter shall commence on the date of this Agreement and shall end on the first September 30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$0.0001 par value, of the Company.</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Legacy Business</w:t>
      </w:r>
      <w:r>
        <w:rPr>
          <w:rFonts w:ascii="Arial" w:cs="Arial" w:eastAsia="Arial" w:hAnsi="Arial"/>
          <w:sz w:val="18"/>
          <w:szCs w:val="18"/>
          <w:color w:val="auto"/>
        </w:rPr>
        <w:t>” means the business of the Company as conducted at any time prior to the date of this Agreement, including but not limited to business related to the Potentially Transferable Assets.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CVR</w:t>
      </w:r>
      <w:r>
        <w:rPr>
          <w:rFonts w:ascii="Arial" w:cs="Arial" w:eastAsia="Arial" w:hAnsi="Arial"/>
          <w:sz w:val="17"/>
          <w:szCs w:val="17"/>
          <w:color w:val="auto"/>
        </w:rPr>
        <w:t>” means a contingent contractual right of Holders to receive CVR Payments pursuant to the Merger Agreement and this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CVR Cash Payment</w:t>
      </w:r>
      <w:r>
        <w:rPr>
          <w:rFonts w:ascii="Arial" w:cs="Arial" w:eastAsia="Arial" w:hAnsi="Arial"/>
          <w:sz w:val="17"/>
          <w:szCs w:val="17"/>
          <w:color w:val="auto"/>
        </w:rPr>
        <w:t>” means the Net Proceeds, plus the Adjustment Amount, received by the Company in a given Calendar Quarter.</w:t>
      </w:r>
    </w:p>
    <w:p>
      <w:pPr>
        <w:spacing w:after="0" w:line="237"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Fees</w:t>
      </w:r>
      <w:r>
        <w:rPr>
          <w:rFonts w:ascii="Arial" w:cs="Arial" w:eastAsia="Arial" w:hAnsi="Arial"/>
          <w:sz w:val="18"/>
          <w:szCs w:val="18"/>
          <w:color w:val="auto"/>
        </w:rPr>
        <w:t>” means all fees and other amounts associated with the execution, delivery and performance of this Agreement or otherwise associated with any action contemplated by Section 1.10 of the Merger Agreement.</w:t>
      </w:r>
    </w:p>
    <w:p>
      <w:pPr>
        <w:spacing w:after="0" w:line="16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Payment</w:t>
      </w:r>
      <w:r>
        <w:rPr>
          <w:rFonts w:ascii="Arial" w:cs="Arial" w:eastAsia="Arial" w:hAnsi="Arial"/>
          <w:sz w:val="18"/>
          <w:szCs w:val="18"/>
          <w:color w:val="auto"/>
        </w:rPr>
        <w:t>” means any CVR Cash Payment; provided that the Company, in its reasonable discretion as resolved by the Company’s Board of Directors, may withhold up to 15% of any CVR Cash Payment to provide for the satisfaction of (i) indemnity obligations under any Disposition Agreement in excess of any escrow fund established therein, in each case to the extent not already deducted as Permitted Deductions, and (ii) any Loss arising out of any third-party claims, demands, actions, or other proceedings relating to or in connection with any Potentially Transferable Assets during the CVR Term; provided, further, that any such withheld amount shall be distributed (net of any Permitted Deductions satisfied therefrom) to the Holders no later than three (3) years following the date such amount would have otherwise been distributed to the Holders in the CVR Payment from which such amount was deducted.</w:t>
      </w:r>
    </w:p>
    <w:p>
      <w:pPr>
        <w:spacing w:after="0" w:line="189" w:lineRule="exact"/>
        <w:rPr>
          <w:sz w:val="20"/>
          <w:szCs w:val="20"/>
          <w:color w:val="auto"/>
        </w:rPr>
      </w:pPr>
    </w:p>
    <w:p>
      <w:pPr>
        <w:ind w:right="3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CVR Payment Amount</w:t>
      </w:r>
      <w:r>
        <w:rPr>
          <w:rFonts w:ascii="Arial" w:cs="Arial" w:eastAsia="Arial" w:hAnsi="Arial"/>
          <w:sz w:val="17"/>
          <w:szCs w:val="17"/>
          <w:color w:val="auto"/>
        </w:rPr>
        <w:t>” means with respect to each CVR Payment and each Holder, an amount equal to such CVR Payment divided by the total number of CVRs and then multiplied by the total number of CVRs held by such Holder as reflected on the CVR Register.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000"/>
          </w:cols>
          <w:pgMar w:left="440" w:top="270" w:right="45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CVR Payment Period</w:t>
      </w:r>
      <w:r>
        <w:rPr>
          <w:rFonts w:ascii="Arial" w:cs="Arial" w:eastAsia="Arial" w:hAnsi="Arial"/>
          <w:sz w:val="17"/>
          <w:szCs w:val="17"/>
          <w:color w:val="auto"/>
        </w:rPr>
        <w:t>” means a period equal to a Calendar Quarter ending at any time after the effective date of a Disposition Agreement.</w:t>
      </w:r>
    </w:p>
    <w:p>
      <w:pPr>
        <w:spacing w:after="0" w:line="237" w:lineRule="exact"/>
        <w:rPr>
          <w:sz w:val="20"/>
          <w:szCs w:val="20"/>
          <w:color w:val="auto"/>
        </w:rPr>
      </w:pPr>
    </w:p>
    <w:p>
      <w:pPr>
        <w:ind w:right="4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CVR Payment Statement</w:t>
      </w:r>
      <w:r>
        <w:rPr>
          <w:rFonts w:ascii="Arial" w:cs="Arial" w:eastAsia="Arial" w:hAnsi="Arial"/>
          <w:sz w:val="16"/>
          <w:szCs w:val="16"/>
          <w:color w:val="auto"/>
        </w:rPr>
        <w:t>” means, for a given CVR Payment Period during the CVR Term, a written statement of the Company, signed on behalf of the Company, setting forth in reasonable detail the calculation of the applicable CVR Payment for such CVR Payment Period.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“CVR Register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Term</w:t>
      </w:r>
      <w:r>
        <w:rPr>
          <w:rFonts w:ascii="Arial" w:cs="Arial" w:eastAsia="Arial" w:hAnsi="Arial"/>
          <w:sz w:val="18"/>
          <w:szCs w:val="18"/>
          <w:color w:val="auto"/>
        </w:rPr>
        <w:t>” means the period beginning on the Closing and ending upon the third anniversary of this Agreement.</w:t>
      </w:r>
    </w:p>
    <w:p>
      <w:pPr>
        <w:spacing w:after="0" w:line="225"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the sale, license, transfer or disposition of any Potentially Transferable Asset (including any such sale or disposition of equity securities in any Subsidiary established by the Company to hold any right, title or interest in or to any Potentially Transferable Asset), in each case during the Disposition Period.</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Agreement</w:t>
      </w:r>
      <w:r>
        <w:rPr>
          <w:rFonts w:ascii="Arial" w:cs="Arial" w:eastAsia="Arial" w:hAnsi="Arial"/>
          <w:sz w:val="18"/>
          <w:szCs w:val="18"/>
          <w:color w:val="auto"/>
        </w:rPr>
        <w:t>” means a definitive written agreement providing for a transaction or series of transactions between the Company or its Affiliates and any Person who is not an Affiliate of the Company regarding a Disposition.</w:t>
      </w:r>
    </w:p>
    <w:p>
      <w:pPr>
        <w:spacing w:after="0" w:line="162"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 Period</w:t>
      </w:r>
      <w:r>
        <w:rPr>
          <w:rFonts w:ascii="Arial" w:cs="Arial" w:eastAsia="Arial" w:hAnsi="Arial"/>
          <w:sz w:val="18"/>
          <w:szCs w:val="18"/>
          <w:color w:val="auto"/>
        </w:rPr>
        <w:t>” means the period beginning on the execution date of the Merger Agreement and ending on the first anniversary of the Closing.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or any successor thereto.</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Proceeds</w:t>
      </w:r>
      <w:r>
        <w:rPr>
          <w:rFonts w:ascii="Arial" w:cs="Arial" w:eastAsia="Arial" w:hAnsi="Arial"/>
          <w:sz w:val="18"/>
          <w:szCs w:val="18"/>
          <w:color w:val="auto"/>
        </w:rPr>
        <w:t>” means, without duplication, the sum of all cash consideration and the value of any marketable securities actually received by the Company or its Affiliates during the CVR Term in consideration for a Disposition pursuant to a Disposition Agreement. The value of any marketable securities (whether debt or equity) shall be equal to the volume weighted average of their closing market prices for the thirty (30) trading days ending the day prior to the date of payment to, or receipt by, the Company or its relevant Affiliate.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at the relevant time, a Person in whose name CVRs are registered in the CVR Register.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Cash</w:t>
      </w:r>
      <w:r>
        <w:rPr>
          <w:rFonts w:ascii="Arial" w:cs="Arial" w:eastAsia="Arial" w:hAnsi="Arial"/>
          <w:sz w:val="17"/>
          <w:szCs w:val="17"/>
          <w:color w:val="auto"/>
        </w:rPr>
        <w:t>” means unrestricted free cash and cash equivalents, plus (i) all prepaid expenses and receivables expected to provide benefit to the combined company within 12 months of Closing, minus (ii) total short and long term liabilities accrued at Closing, minus (iii) fees and expenses incurred with respect to the Contemplated Transactions, including for the avoidance of doubt, the Transaction Expenses of Parent to the extent unpaid as of the Closing and any Black Scholes make-whole payments to warrant holders, minus (iv) the cash cost of change in control and severance payments arising in connection with the Merger (including any Black Scholes make-whole payments to warrant holders), minus (v) wind-down costs associated with the Company Legacy Business, including lease liabilities and the termination of any ongoing clinical trials.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000"/>
          </w:cols>
          <w:pgMar w:left="440" w:top="270" w:right="459" w:bottom="1440" w:gutter="0" w:footer="0" w:header="0"/>
        </w:sectPr>
      </w:pPr>
    </w:p>
    <w:bookmarkStart w:id="310" w:name="page311"/>
    <w:bookmarkEnd w:id="310"/>
    <w:p>
      <w:pPr>
        <w:ind w:right="160" w:firstLine="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Net Proceeds</w:t>
      </w:r>
      <w:r>
        <w:rPr>
          <w:rFonts w:ascii="Arial" w:cs="Arial" w:eastAsia="Arial" w:hAnsi="Arial"/>
          <w:sz w:val="16"/>
          <w:szCs w:val="16"/>
          <w:color w:val="auto"/>
        </w:rPr>
        <w:t>” means, for any CVR Payment Period, the Gross Proceeds minus Permitted Deductions for such CVR Payment Period, all as calculated, to the extent in accordance with GAAP, in a manner consistent with the Company’s accounting practices and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the chief executive officer and the chief financial officer of the Company, in their respective official capacities.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the Company or the Rights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Deductions</w:t>
      </w:r>
      <w:r>
        <w:rPr>
          <w:rFonts w:ascii="Arial" w:cs="Arial" w:eastAsia="Arial" w:hAnsi="Arial"/>
          <w:sz w:val="18"/>
          <w:szCs w:val="18"/>
          <w:color w:val="auto"/>
        </w:rPr>
        <w:t>” means the sum of, without duplication:</w:t>
      </w:r>
    </w:p>
    <w:p>
      <w:pPr>
        <w:spacing w:after="0" w:line="229" w:lineRule="exact"/>
        <w:rPr>
          <w:sz w:val="20"/>
          <w:szCs w:val="20"/>
          <w:color w:val="auto"/>
        </w:rPr>
      </w:pPr>
    </w:p>
    <w:p>
      <w:pPr>
        <w:ind w:firstLine="987"/>
        <w:spacing w:after="0" w:line="254" w:lineRule="auto"/>
        <w:tabs>
          <w:tab w:leader="none" w:pos="1246"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any applicable Taxes (including any applicable value added or sales taxes) imposed on Gross Proceeds and payable by the Company or any of its Affiliates (regardless of whether the due date for such Taxes arises during or after the Disposition Period) and, without duplication, any income or other similar Taxes payable by the Company or any of its Affiliates that would not have been incurred by the Company or any of its Affiliates but for the Gross Proceeds; provided that, for purposes of calculating income Taxes incurred by the Company or its Affiliates in respect of the Gross Proceeds, any such income Taxes shall be computed based on the gain recognized by the Company or its Affiliates from the Disposition after reduction for any net operating loss carryforwards or other Tax attributes of the Company or its Affiliates as of the Closing Date that are available to offset such gain after taking into account any limits of the usability of such attributes, including under Section 382 of the Code as determined by the Company’s tax advisers;</w:t>
      </w:r>
    </w:p>
    <w:p>
      <w:pPr>
        <w:spacing w:after="0" w:line="191" w:lineRule="exact"/>
        <w:rPr>
          <w:rFonts w:ascii="Arial" w:cs="Arial" w:eastAsia="Arial" w:hAnsi="Arial"/>
          <w:sz w:val="18"/>
          <w:szCs w:val="18"/>
          <w:b w:val="1"/>
          <w:bCs w:val="1"/>
          <w:color w:val="auto"/>
        </w:rPr>
      </w:pPr>
    </w:p>
    <w:p>
      <w:pPr>
        <w:ind w:firstLine="987"/>
        <w:spacing w:after="0" w:line="279" w:lineRule="auto"/>
        <w:tabs>
          <w:tab w:leader="none" w:pos="1256" w:val="left"/>
        </w:tabs>
        <w:numPr>
          <w:ilvl w:val="0"/>
          <w:numId w:val="204"/>
        </w:numPr>
        <w:rPr>
          <w:rFonts w:ascii="Arial" w:cs="Arial" w:eastAsia="Arial" w:hAnsi="Arial"/>
          <w:sz w:val="17"/>
          <w:szCs w:val="17"/>
          <w:b w:val="1"/>
          <w:bCs w:val="1"/>
          <w:color w:val="auto"/>
        </w:rPr>
      </w:pPr>
      <w:r>
        <w:rPr>
          <w:rFonts w:ascii="Arial" w:cs="Arial" w:eastAsia="Arial" w:hAnsi="Arial"/>
          <w:sz w:val="17"/>
          <w:szCs w:val="17"/>
          <w:color w:val="auto"/>
        </w:rPr>
        <w:t>any reasonable out of pocket expenses incurred by the Company or any of its Affiliates in respect of its performance of this Agreement following the Closing Date or in respect of its performance of any Contract in connection with any Potentially Transferable Asset,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spacing w:after="0" w:line="171" w:lineRule="exact"/>
        <w:rPr>
          <w:rFonts w:ascii="Arial" w:cs="Arial" w:eastAsia="Arial" w:hAnsi="Arial"/>
          <w:sz w:val="17"/>
          <w:szCs w:val="17"/>
          <w:b w:val="1"/>
          <w:bCs w:val="1"/>
          <w:color w:val="auto"/>
        </w:rPr>
      </w:pPr>
    </w:p>
    <w:p>
      <w:pPr>
        <w:ind w:right="120" w:firstLine="987"/>
        <w:spacing w:after="0" w:line="259" w:lineRule="auto"/>
        <w:tabs>
          <w:tab w:leader="none" w:pos="1236"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any reasonable out of pocket expenses incurred or accrued by the Company or any of its Affiliates in connection with the negotiation, entry into and closing of any Disposition of any Potentially Transferable Asset, including any brokerage fee, finder’s fee, opinion fee, success fee, transaction fee, service fee or other fee, commission or expense owed to any broker, finder, investment bank, auditor, accountant, counsel, advisor or other third party in relation thereto;</w:t>
      </w:r>
    </w:p>
    <w:p>
      <w:pPr>
        <w:spacing w:after="0" w:line="186" w:lineRule="exact"/>
        <w:rPr>
          <w:rFonts w:ascii="Arial" w:cs="Arial" w:eastAsia="Arial" w:hAnsi="Arial"/>
          <w:sz w:val="18"/>
          <w:szCs w:val="18"/>
          <w:b w:val="1"/>
          <w:bCs w:val="1"/>
          <w:color w:val="auto"/>
        </w:rPr>
      </w:pPr>
    </w:p>
    <w:p>
      <w:pPr>
        <w:ind w:firstLine="987"/>
        <w:spacing w:after="0" w:line="263" w:lineRule="auto"/>
        <w:tabs>
          <w:tab w:leader="none" w:pos="1256"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any Losses incurred or reasonably expected to be incurred by the Company or any of its Affiliates arising out of any third-party claims, demands, actions, or other proceedings relating to or in connection with any Disposition, including indemnification obligations of the Company or any of its Affiliates set forth in any Disposition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0980"/>
          </w:cols>
          <w:pgMar w:left="440" w:top="270" w:right="479" w:bottom="1440" w:gutter="0" w:footer="0" w:header="0"/>
        </w:sectPr>
      </w:pPr>
    </w:p>
    <w:bookmarkStart w:id="311" w:name="page312"/>
    <w:bookmarkEnd w:id="311"/>
    <w:p>
      <w:pPr>
        <w:ind w:right="60" w:firstLine="987"/>
        <w:spacing w:after="0" w:line="277" w:lineRule="auto"/>
        <w:tabs>
          <w:tab w:leader="none" w:pos="1236"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Liabilities borne by the Company or any of its Affiliates pursuant to Contracts related to Potentially Transferable Assets, including costs arising from the termination thereof; and</w:t>
      </w:r>
    </w:p>
    <w:p>
      <w:pPr>
        <w:spacing w:after="0" w:line="170" w:lineRule="exact"/>
        <w:rPr>
          <w:rFonts w:ascii="Arial" w:cs="Arial" w:eastAsia="Arial" w:hAnsi="Arial"/>
          <w:sz w:val="18"/>
          <w:szCs w:val="18"/>
          <w:b w:val="1"/>
          <w:bCs w:val="1"/>
          <w:color w:val="auto"/>
        </w:rPr>
      </w:pPr>
    </w:p>
    <w:p>
      <w:pPr>
        <w:ind w:left="1220" w:hanging="233"/>
        <w:spacing w:after="0"/>
        <w:tabs>
          <w:tab w:leader="none" w:pos="122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 xml:space="preserve">any fees required to be paid pursuant to </w:t>
      </w:r>
      <w:r>
        <w:rPr>
          <w:rFonts w:ascii="Arial" w:cs="Arial" w:eastAsia="Arial" w:hAnsi="Arial"/>
          <w:sz w:val="18"/>
          <w:szCs w:val="18"/>
          <w:u w:val="single" w:color="auto"/>
          <w:color w:val="auto"/>
        </w:rPr>
        <w:t>Section 3.1(h)</w:t>
      </w:r>
      <w:r>
        <w:rPr>
          <w:rFonts w:ascii="Arial" w:cs="Arial" w:eastAsia="Arial" w:hAnsi="Arial"/>
          <w:sz w:val="18"/>
          <w:szCs w:val="18"/>
          <w:color w:val="auto"/>
        </w:rPr>
        <w:t>.</w:t>
      </w:r>
    </w:p>
    <w:p>
      <w:pPr>
        <w:spacing w:after="0" w:line="221"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w:t>
      </w:r>
      <w:r>
        <w:rPr>
          <w:rFonts w:ascii="Arial" w:cs="Arial" w:eastAsia="Arial" w:hAnsi="Arial"/>
          <w:sz w:val="17"/>
          <w:szCs w:val="17"/>
          <w:color w:val="auto"/>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165" w:lineRule="exact"/>
        <w:rPr>
          <w:sz w:val="20"/>
          <w:szCs w:val="20"/>
          <w:color w:val="auto"/>
        </w:rPr>
      </w:pPr>
    </w:p>
    <w:p>
      <w:pPr>
        <w:ind w:right="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Potentially Transferable Assets</w:t>
      </w:r>
      <w:r>
        <w:rPr>
          <w:rFonts w:ascii="Arial" w:cs="Arial" w:eastAsia="Arial" w:hAnsi="Arial"/>
          <w:sz w:val="16"/>
          <w:szCs w:val="16"/>
          <w:color w:val="auto"/>
        </w:rPr>
        <w:t>” means the tangible and intangible assets (including intellectual property) primarily used in or primarily related to the research and development programs of the Company, including pegtarviliase for Homocystinuria and pegzilarginase for Arginase 1 Deficiency.</w:t>
      </w:r>
    </w:p>
    <w:p>
      <w:pPr>
        <w:spacing w:after="0" w:line="116" w:lineRule="exact"/>
        <w:rPr>
          <w:sz w:val="20"/>
          <w:szCs w:val="20"/>
          <w:color w:val="auto"/>
        </w:rPr>
      </w:pPr>
    </w:p>
    <w:p>
      <w:pPr>
        <w:ind w:right="3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Rights Agent</w:t>
      </w:r>
      <w:r>
        <w:rPr>
          <w:rFonts w:ascii="Arial" w:cs="Arial" w:eastAsia="Arial" w:hAnsi="Arial"/>
          <w:sz w:val="16"/>
          <w:szCs w:val="16"/>
          <w:color w:val="auto"/>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spacing w:after="0" w:line="116"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means, without duplication, with respect to a Party, the aggregate amount (without duplication) of all costs, fees and expenses incurred by such Party or any of its Subsidiaries (including Merger Subs), or for which such Party or any of its Subsidiaries are or may become liable in connection with the Contemplated transactions and the negotiation, preparation and execution of the Merger Agreement or any other agreement, document, instrument, filing, certificate, schedule, exhibit, letter or other document prepared or executed in connection with the Contemplated Transactions, including (a) any fees and expenses of legal counsel and accountants, the maximum amount of fees and expenses payable to financial advisors, investment bankers, brokers, consultants, tax advisors and other advisors of such Party and (b) the CVR Fees.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CONTINGENT VALUE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Holders of CVRs; Appointment of Rights Agent.</w:t>
      </w:r>
    </w:p>
    <w:p>
      <w:pPr>
        <w:spacing w:after="0" w:line="229" w:lineRule="exact"/>
        <w:rPr>
          <w:sz w:val="20"/>
          <w:szCs w:val="20"/>
          <w:color w:val="auto"/>
        </w:rPr>
      </w:pPr>
    </w:p>
    <w:p>
      <w:pPr>
        <w:ind w:right="20" w:firstLine="987"/>
        <w:spacing w:after="0" w:line="263" w:lineRule="auto"/>
        <w:tabs>
          <w:tab w:leader="none" w:pos="1246"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The CVRs represent the rights of Holders to receive CVR Payments pursuant to this Agreement. The initial Holders will be the holders of Common Stock as of immediately prior to the First Effective Time. One CVR will be issued with respect to each share of Common Stock that is outstanding as of immediately prior to the First Effective Time.</w:t>
      </w:r>
    </w:p>
    <w:p>
      <w:pPr>
        <w:spacing w:after="0" w:line="183" w:lineRule="exact"/>
        <w:rPr>
          <w:rFonts w:ascii="Arial" w:cs="Arial" w:eastAsia="Arial" w:hAnsi="Arial"/>
          <w:sz w:val="18"/>
          <w:szCs w:val="18"/>
          <w:b w:val="1"/>
          <w:bCs w:val="1"/>
          <w:color w:val="auto"/>
        </w:rPr>
      </w:pPr>
    </w:p>
    <w:p>
      <w:pPr>
        <w:ind w:right="360" w:firstLine="987"/>
        <w:spacing w:after="0" w:line="277" w:lineRule="auto"/>
        <w:tabs>
          <w:tab w:leader="none" w:pos="1256"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The Company hereby appoints the Rights Agent to act as Rights Agent for the Company in accordance with the express terms and conditions set forth in this Agreement, and the Rights Agent hereby accepts such appointment.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000"/>
          </w:cols>
          <w:pgMar w:left="440" w:top="274" w:right="459" w:bottom="1440" w:gutter="0" w:footer="0" w:header="0"/>
        </w:sectPr>
      </w:pPr>
    </w:p>
    <w:bookmarkStart w:id="312" w:name="page313"/>
    <w:bookmarkEnd w:id="312"/>
    <w:p>
      <w:pPr>
        <w:ind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 Non-transferable</w:t>
      </w:r>
      <w:r>
        <w:rPr>
          <w:rFonts w:ascii="Arial" w:cs="Arial" w:eastAsia="Arial" w:hAnsi="Arial"/>
          <w:sz w:val="18"/>
          <w:szCs w:val="18"/>
          <w:color w:val="auto"/>
        </w:rPr>
        <w:t>. The CVRs may not be sold, assigned, transferred, pledged, encumbered or in any other manner transferred or</w:t>
      </w:r>
      <w:r>
        <w:rPr>
          <w:rFonts w:ascii="Arial" w:cs="Arial" w:eastAsia="Arial" w:hAnsi="Arial"/>
          <w:sz w:val="18"/>
          <w:szCs w:val="18"/>
          <w:b w:val="1"/>
          <w:bCs w:val="1"/>
          <w:color w:val="auto"/>
        </w:rPr>
        <w:t xml:space="preserve"> </w:t>
      </w:r>
      <w:r>
        <w:rPr>
          <w:rFonts w:ascii="Arial" w:cs="Arial" w:eastAsia="Arial" w:hAnsi="Arial"/>
          <w:sz w:val="18"/>
          <w:szCs w:val="18"/>
          <w:color w:val="auto"/>
        </w:rPr>
        <w:t>disposed of, in whole or in part, other than through a Permitted Transfer. The CVRs will not be listed on any quotation system or traded on any securities exchange.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2.3 No Certificate; Registration; Registration of Transfer; Change of Address</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The CVRs will be issued in book-entry form only and will not be evidenced by a certificate or other instrument.</w:t>
      </w:r>
    </w:p>
    <w:p>
      <w:pPr>
        <w:spacing w:after="0" w:line="221" w:lineRule="exact"/>
        <w:rPr>
          <w:rFonts w:ascii="Arial" w:cs="Arial" w:eastAsia="Arial" w:hAnsi="Arial"/>
          <w:sz w:val="18"/>
          <w:szCs w:val="18"/>
          <w:b w:val="1"/>
          <w:bCs w:val="1"/>
          <w:color w:val="auto"/>
        </w:rPr>
      </w:pPr>
    </w:p>
    <w:p>
      <w:pPr>
        <w:ind w:right="80" w:firstLine="987"/>
        <w:spacing w:after="0" w:line="272" w:lineRule="auto"/>
        <w:tabs>
          <w:tab w:leader="none" w:pos="1256"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The Rights Agent shall create and maintain a register (the “</w:t>
      </w:r>
      <w:r>
        <w:rPr>
          <w:rFonts w:ascii="Arial" w:cs="Arial" w:eastAsia="Arial" w:hAnsi="Arial"/>
          <w:sz w:val="17"/>
          <w:szCs w:val="17"/>
          <w:b w:val="1"/>
          <w:bCs w:val="1"/>
          <w:color w:val="auto"/>
        </w:rPr>
        <w:t>CVR Register</w:t>
      </w:r>
      <w:r>
        <w:rPr>
          <w:rFonts w:ascii="Arial" w:cs="Arial" w:eastAsia="Arial" w:hAnsi="Arial"/>
          <w:sz w:val="17"/>
          <w:szCs w:val="17"/>
          <w:color w:val="auto"/>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shares of Common Stock held by DTC on behalf of the street holders of the shares of Common Stock held by such holders as of immediately prior to the First Effective Time. The Rights Agent will have no responsibility whatsoever directly or indirectly to the street name holders with respect to transfers of CVRs. With respect to any payments or issuances to be made under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below, the Rights Agent will accomplish the payment to any former street name holders of shares of Common Stock by sending one lump-sum payment or issuance to DTC. The Rights Agent will have no responsibilities whatsoever with regard to the distribution of payments or shares of Common Stock by DTC to such street name holders.</w:t>
      </w:r>
    </w:p>
    <w:p>
      <w:pPr>
        <w:spacing w:after="0" w:line="175" w:lineRule="exact"/>
        <w:rPr>
          <w:rFonts w:ascii="Arial" w:cs="Arial" w:eastAsia="Arial" w:hAnsi="Arial"/>
          <w:sz w:val="17"/>
          <w:szCs w:val="17"/>
          <w:b w:val="1"/>
          <w:bCs w:val="1"/>
          <w:color w:val="auto"/>
        </w:rPr>
      </w:pPr>
    </w:p>
    <w:p>
      <w:pPr>
        <w:ind w:right="20" w:firstLine="987"/>
        <w:spacing w:after="0" w:line="287" w:lineRule="auto"/>
        <w:tabs>
          <w:tab w:leader="none" w:pos="1236" w:val="left"/>
        </w:tabs>
        <w:numPr>
          <w:ilvl w:val="0"/>
          <w:numId w:val="207"/>
        </w:numPr>
        <w:rPr>
          <w:rFonts w:ascii="Arial" w:cs="Arial" w:eastAsia="Arial" w:hAnsi="Arial"/>
          <w:sz w:val="16"/>
          <w:szCs w:val="16"/>
          <w:b w:val="1"/>
          <w:bCs w:val="1"/>
          <w:color w:val="auto"/>
        </w:rPr>
      </w:pPr>
      <w:r>
        <w:rPr>
          <w:rFonts w:ascii="Arial" w:cs="Arial" w:eastAsia="Arial" w:hAnsi="Arial"/>
          <w:sz w:val="16"/>
          <w:szCs w:val="16"/>
          <w:color w:val="auto"/>
        </w:rPr>
        <w:t xml:space="preserve">Subject to the restrictions on transferability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Arial" w:cs="Arial" w:eastAsia="Arial" w:hAnsi="Arial"/>
          <w:sz w:val="16"/>
          <w:szCs w:val="16"/>
          <w:u w:val="single" w:color="auto"/>
          <w:color w:val="auto"/>
        </w:rPr>
        <w:t>Section 2.2</w:t>
      </w:r>
      <w:r>
        <w:rPr>
          <w:rFonts w:ascii="Arial" w:cs="Arial" w:eastAsia="Arial" w:hAnsi="Arial"/>
          <w:sz w:val="16"/>
          <w:szCs w:val="16"/>
          <w:color w:val="auto"/>
        </w:rPr>
        <w:t>),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w:t>
      </w:r>
    </w:p>
    <w:p>
      <w:pPr>
        <w:spacing w:after="0" w:line="171" w:lineRule="exact"/>
        <w:rPr>
          <w:rFonts w:ascii="Arial" w:cs="Arial" w:eastAsia="Arial" w:hAnsi="Arial"/>
          <w:sz w:val="16"/>
          <w:szCs w:val="16"/>
          <w:b w:val="1"/>
          <w:bCs w:val="1"/>
          <w:color w:val="auto"/>
        </w:rPr>
      </w:pPr>
    </w:p>
    <w:p>
      <w:pPr>
        <w:ind w:right="60" w:firstLine="987"/>
        <w:spacing w:after="0" w:line="263" w:lineRule="auto"/>
        <w:tabs>
          <w:tab w:leader="none" w:pos="1256"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020"/>
          </w:cols>
          <w:pgMar w:left="440" w:top="270" w:right="439" w:bottom="1440" w:gutter="0" w:footer="0" w:header="0"/>
        </w:sectPr>
      </w:pPr>
    </w:p>
    <w:bookmarkStart w:id="313" w:name="page314"/>
    <w:bookmarkEnd w:id="31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spacing w:after="0" w:line="184" w:lineRule="exact"/>
        <w:rPr>
          <w:sz w:val="20"/>
          <w:szCs w:val="20"/>
          <w:color w:val="auto"/>
        </w:rPr>
      </w:pPr>
    </w:p>
    <w:p>
      <w:pPr>
        <w:ind w:right="140" w:firstLine="987"/>
        <w:spacing w:after="0" w:line="279" w:lineRule="auto"/>
        <w:tabs>
          <w:tab w:leader="none" w:pos="1236" w:val="left"/>
        </w:tabs>
        <w:numPr>
          <w:ilvl w:val="0"/>
          <w:numId w:val="208"/>
        </w:numPr>
        <w:rPr>
          <w:rFonts w:ascii="Arial" w:cs="Arial" w:eastAsia="Arial" w:hAnsi="Arial"/>
          <w:sz w:val="17"/>
          <w:szCs w:val="17"/>
          <w:b w:val="1"/>
          <w:bCs w:val="1"/>
          <w:color w:val="auto"/>
        </w:rPr>
      </w:pPr>
      <w:r>
        <w:rPr>
          <w:rFonts w:ascii="Arial" w:cs="Arial" w:eastAsia="Arial" w:hAnsi="Arial"/>
          <w:sz w:val="17"/>
          <w:szCs w:val="17"/>
          <w:color w:val="auto"/>
        </w:rPr>
        <w:t>The Company will provide written instructions to the Rights Agent for the distribution of CVRs to holders of Common Stock as of immediately prior to the First Effective Time (the “</w:t>
      </w:r>
      <w:r>
        <w:rPr>
          <w:rFonts w:ascii="Arial" w:cs="Arial" w:eastAsia="Arial" w:hAnsi="Arial"/>
          <w:sz w:val="17"/>
          <w:szCs w:val="17"/>
          <w:b w:val="1"/>
          <w:bCs w:val="1"/>
          <w:color w:val="auto"/>
        </w:rPr>
        <w:t>Record Time</w:t>
      </w:r>
      <w:r>
        <w:rPr>
          <w:rFonts w:ascii="Arial" w:cs="Arial" w:eastAsia="Arial" w:hAnsi="Arial"/>
          <w:sz w:val="17"/>
          <w:szCs w:val="17"/>
          <w:color w:val="auto"/>
        </w:rPr>
        <w:t>”). Subject to the terms and conditions of this Agreement and the Company’s prompt confirmation of the First Effective Time, the Rights Agent shall effect the distribution of the CVRs, less any applicable tax withholding, to each holder of Common Stock as of the Record Time by the mailing of a statement of holding reflecting such CVRs.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2.4 Payment Procedures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68" w:lineRule="auto"/>
        <w:tabs>
          <w:tab w:leader="none" w:pos="1246"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 xml:space="preserve">No later than forty-five (45) days following the end of each Calendar Quarter during the CVR Term beginning with the Calendar Quarter ending on September 30, 2023, commencing with the first CVR Payment Period in which the Company or its Affiliates receives Gross Proceeds, the Company shall deliver to the Rights Agent a CVR Payment Statement for such CVR Payment Period. Concurrent with the delivery of each CVR Payment Statement, on the terms and conditions of this Agreement, the Company shall pay the Rights Agent in U.S. dollars an amount equal to ninety percent (90%) of the CVR Payment plus the Adjustment Amount, if applicable (subject to the proviso in the definition of the term “CVR Payment”), for the applicable CVR Payment Period. Such CVR Payment will be transferred by wire transfer of immediately available funds to an account designated in writing by the Rights Agent not less than twenty (20) Business Days prior to the date of the applicable payment. Upon receipt of the wire transfer referred to in the foregoing sentence, the Rights Agent shall promptly (and in any event, within ten (10) Business Days) pay, by check mailed, first-class postage prepaid, to the address of each Holder set forth in the CVR Register at such time, an amount equal to such Holder’s CVR Payment Amount. The Rights Agent shall promptly, and in any event within ten (10) Business Days after receipt of a CVR Payment Statement under this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send each Holder at its registered address a copy of such statement. For the avoidance of doubt the Company shall have no further liability in respect of the relevant CVR Payment upon delivery of such CVR Payment in accordance with this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the satisfaction of each of the Company’s obligations set forth in this </w:t>
      </w:r>
      <w:r>
        <w:rPr>
          <w:rFonts w:ascii="Arial" w:cs="Arial" w:eastAsia="Arial" w:hAnsi="Arial"/>
          <w:sz w:val="17"/>
          <w:szCs w:val="17"/>
          <w:u w:val="single" w:color="auto"/>
          <w:color w:val="auto"/>
        </w:rPr>
        <w:t>Section 2.4(a)</w:t>
      </w:r>
      <w:r>
        <w:rPr>
          <w:rFonts w:ascii="Arial" w:cs="Arial" w:eastAsia="Arial" w:hAnsi="Arial"/>
          <w:sz w:val="17"/>
          <w:szCs w:val="17"/>
          <w:color w:val="auto"/>
        </w:rPr>
        <w:t>.</w:t>
      </w:r>
    </w:p>
    <w:p>
      <w:pPr>
        <w:spacing w:after="0" w:line="186" w:lineRule="exact"/>
        <w:rPr>
          <w:rFonts w:ascii="Arial" w:cs="Arial" w:eastAsia="Arial" w:hAnsi="Arial"/>
          <w:sz w:val="17"/>
          <w:szCs w:val="17"/>
          <w:b w:val="1"/>
          <w:bCs w:val="1"/>
          <w:color w:val="auto"/>
        </w:rPr>
      </w:pPr>
    </w:p>
    <w:p>
      <w:pPr>
        <w:ind w:firstLine="987"/>
        <w:spacing w:after="0" w:line="271" w:lineRule="auto"/>
        <w:tabs>
          <w:tab w:leader="none" w:pos="1256"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The Rights Agent shall solicit from each Holder an IRS Form W-9 or applicable IRS Form W-8 at such time or times as is necessary to permit any payment under this Agreement to be made without U.S. federal backup withholding. That notwithstanding, the Company shall be entitled to deduct and withhold, and hereby authorizes the Rights Agent to deduct and withhold, any tax or similar governmental charge or levy, that is required to be deducted or withheld under applicable law from any amounts payable pursuant to this Agreement (“</w:t>
      </w:r>
      <w:r>
        <w:rPr>
          <w:rFonts w:ascii="Arial" w:cs="Arial" w:eastAsia="Arial" w:hAnsi="Arial"/>
          <w:sz w:val="17"/>
          <w:szCs w:val="17"/>
          <w:b w:val="1"/>
          <w:bCs w:val="1"/>
          <w:color w:val="auto"/>
        </w:rPr>
        <w:t>Withholding Taxes</w:t>
      </w:r>
      <w:r>
        <w:rPr>
          <w:rFonts w:ascii="Arial" w:cs="Arial" w:eastAsia="Arial" w:hAnsi="Arial"/>
          <w:sz w:val="17"/>
          <w:szCs w:val="17"/>
          <w:color w:val="auto"/>
        </w:rPr>
        <w:t>”). To the extent the amounts are so withheld by the Company or the Rights Agent, as the case may be, and paid over to the appropriate Governmental Body, such withheld amounts shall be treated for all purposes of this Agreement as having been paid to the person in respect of whom such deduction and withholding was made. In the event the Company becomes aware that a payment under this Agreement is subject to Withholding Taxes (other than U.S. federal backup withholding), the Company shall use commercially reasonable efforts to provide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0980"/>
          </w:cols>
          <w:pgMar w:left="440" w:top="274" w:right="479" w:bottom="1440" w:gutter="0" w:footer="0" w:header="0"/>
        </w:sectPr>
      </w:pPr>
    </w:p>
    <w:bookmarkStart w:id="314" w:name="page315"/>
    <w:bookmarkEnd w:id="314"/>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written notice to the Rights Agent and the Rights Agent shall use commercially reasonable efforts to provide written notice of such Withholding Taxes to the applicable Holders and the parties shall use commercially reasonable efforts to cooperate with one another to minimize taxes required by applicable law to be withheld or deducted from any payments made under this Agreement. For the avoidance of doubt, in the event that notice has been provided to an applicable Holder pursuant to this </w:t>
      </w:r>
      <w:r>
        <w:rPr>
          <w:rFonts w:ascii="Arial" w:cs="Arial" w:eastAsia="Arial" w:hAnsi="Arial"/>
          <w:sz w:val="18"/>
          <w:szCs w:val="18"/>
          <w:u w:val="single" w:color="auto"/>
          <w:color w:val="auto"/>
        </w:rPr>
        <w:t>Section 2.4(b)</w:t>
      </w:r>
      <w:r>
        <w:rPr>
          <w:rFonts w:ascii="Arial" w:cs="Arial" w:eastAsia="Arial" w:hAnsi="Arial"/>
          <w:sz w:val="18"/>
          <w:szCs w:val="18"/>
          <w:color w:val="auto"/>
        </w:rPr>
        <w:t>, no further notice shall be required to be given for any future payments of such Withholding Tax.</w:t>
      </w:r>
    </w:p>
    <w:p>
      <w:pPr>
        <w:spacing w:after="0" w:line="188" w:lineRule="exact"/>
        <w:rPr>
          <w:sz w:val="20"/>
          <w:szCs w:val="20"/>
          <w:color w:val="auto"/>
        </w:rPr>
      </w:pPr>
    </w:p>
    <w:p>
      <w:pPr>
        <w:ind w:right="160" w:firstLine="987"/>
        <w:spacing w:after="0" w:line="259" w:lineRule="auto"/>
        <w:tabs>
          <w:tab w:leader="none" w:pos="1236"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Any portion of a CVR Payment that remains undistributed to the Holders six (6)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w:t>
      </w:r>
    </w:p>
    <w:p>
      <w:pPr>
        <w:spacing w:after="0" w:line="186" w:lineRule="exact"/>
        <w:rPr>
          <w:rFonts w:ascii="Arial" w:cs="Arial" w:eastAsia="Arial" w:hAnsi="Arial"/>
          <w:sz w:val="18"/>
          <w:szCs w:val="18"/>
          <w:b w:val="1"/>
          <w:bCs w:val="1"/>
          <w:color w:val="auto"/>
        </w:rPr>
      </w:pPr>
    </w:p>
    <w:p>
      <w:pPr>
        <w:ind w:right="100" w:firstLine="987"/>
        <w:spacing w:after="0" w:line="272" w:lineRule="auto"/>
        <w:tabs>
          <w:tab w:leader="none" w:pos="1256"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If any CVR Payment (or portion thereof) remains unclaimed by a Holder two (2) years after the applicable Calendar Quarter end (or immediately prior to such earlier date on which such CVR Payment would 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2.5 No Voting, Dividends or Interest; No Equity or Ownership Interest</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211"/>
        </w:numPr>
        <w:rPr>
          <w:rFonts w:ascii="Arial" w:cs="Arial" w:eastAsia="Arial" w:hAnsi="Arial"/>
          <w:sz w:val="16"/>
          <w:szCs w:val="16"/>
          <w:b w:val="1"/>
          <w:bCs w:val="1"/>
          <w:color w:val="auto"/>
        </w:rPr>
      </w:pPr>
      <w:r>
        <w:rPr>
          <w:rFonts w:ascii="Arial" w:cs="Arial" w:eastAsia="Arial" w:hAnsi="Arial"/>
          <w:sz w:val="16"/>
          <w:szCs w:val="16"/>
          <w:color w:val="auto"/>
        </w:rPr>
        <w:t>The CVRs will not have any voting or dividend rights, and interest will not accrue on any amounts payable in respect of CVRs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right="520" w:firstLine="987"/>
        <w:spacing w:after="0" w:line="277" w:lineRule="auto"/>
        <w:tabs>
          <w:tab w:leader="none" w:pos="1256"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The CVRs will not represent any equity or ownership interest in the Company or in any constituent company to the Merger. It is hereby acknowledged and agreed that a CVR shall not constitute a security of the Company.</w:t>
      </w:r>
    </w:p>
    <w:p>
      <w:pPr>
        <w:spacing w:after="0" w:line="170" w:lineRule="exact"/>
        <w:rPr>
          <w:rFonts w:ascii="Arial" w:cs="Arial" w:eastAsia="Arial" w:hAnsi="Arial"/>
          <w:sz w:val="18"/>
          <w:szCs w:val="18"/>
          <w:b w:val="1"/>
          <w:bCs w:val="1"/>
          <w:color w:val="auto"/>
        </w:rPr>
      </w:pPr>
    </w:p>
    <w:p>
      <w:pPr>
        <w:ind w:firstLine="987"/>
        <w:spacing w:after="0" w:line="259" w:lineRule="auto"/>
        <w:tabs>
          <w:tab w:leader="none" w:pos="1236"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spacing w:after="0" w:line="186" w:lineRule="exact"/>
        <w:rPr>
          <w:rFonts w:ascii="Arial" w:cs="Arial" w:eastAsia="Arial" w:hAnsi="Arial"/>
          <w:sz w:val="18"/>
          <w:szCs w:val="18"/>
          <w:b w:val="1"/>
          <w:bCs w:val="1"/>
          <w:color w:val="auto"/>
        </w:rPr>
      </w:pPr>
    </w:p>
    <w:p>
      <w:pPr>
        <w:ind w:right="220" w:firstLine="987"/>
        <w:spacing w:after="0" w:line="263" w:lineRule="auto"/>
        <w:tabs>
          <w:tab w:leader="none" w:pos="1256"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000"/>
          </w:cols>
          <w:pgMar w:left="440" w:top="274" w:right="459" w:bottom="1440" w:gutter="0" w:footer="0" w:header="0"/>
        </w:sectPr>
      </w:pPr>
    </w:p>
    <w:bookmarkStart w:id="315" w:name="page316"/>
    <w:bookmarkEnd w:id="31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and the Company and its Affiliates intend solely the express provisions of this Agreement to govern their contractual relationship with respect to the CVRs. It is acknowledged and agreed that this </w:t>
      </w:r>
      <w:r>
        <w:rPr>
          <w:rFonts w:ascii="Arial" w:cs="Arial" w:eastAsia="Arial" w:hAnsi="Arial"/>
          <w:sz w:val="18"/>
          <w:szCs w:val="18"/>
          <w:u w:val="single" w:color="auto"/>
          <w:color w:val="auto"/>
        </w:rPr>
        <w:t>Section 2.5(d)</w:t>
      </w:r>
      <w:r>
        <w:rPr>
          <w:rFonts w:ascii="Arial" w:cs="Arial" w:eastAsia="Arial" w:hAnsi="Arial"/>
          <w:sz w:val="18"/>
          <w:szCs w:val="18"/>
          <w:color w:val="auto"/>
        </w:rPr>
        <w:t xml:space="preserve"> is an essential and material term of this Agreement.</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7"/>
          <w:szCs w:val="17"/>
          <w:b w:val="1"/>
          <w:bCs w:val="1"/>
          <w:color w:val="auto"/>
        </w:rPr>
        <w:t>Section 2.6 Ability to Abandon CVR</w:t>
      </w:r>
      <w:r>
        <w:rPr>
          <w:rFonts w:ascii="Arial" w:cs="Arial" w:eastAsia="Arial" w:hAnsi="Arial"/>
          <w:sz w:val="17"/>
          <w:szCs w:val="17"/>
          <w:color w:val="auto"/>
        </w:rPr>
        <w:t>. A Holder may at any time, at such Holder’s option, abandon all of such Holder’s remaining rights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represented by CVRs by transferring such CVRs to the Company or a Person nominated in writing by the Company (with written notice thereof from the Company to the Rights Agent) without consideration in compensation therefor, and such rights will be cancelled, with the Rights Agent being promptly notified in writing by the Holder of such transfer and cancellation. Nothing in this Agreement is intended to prohibit the Company or its Affiliates from offering to acquire or acquiring CVRs, in private transactions or otherwise, for consideration in its sole discretion.</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RIGHTS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3.1 Certain Duties and Responsibilities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91" w:lineRule="auto"/>
        <w:tabs>
          <w:tab w:leader="none" w:pos="1246" w:val="left"/>
        </w:tabs>
        <w:numPr>
          <w:ilvl w:val="0"/>
          <w:numId w:val="213"/>
        </w:numPr>
        <w:rPr>
          <w:rFonts w:ascii="Arial" w:cs="Arial" w:eastAsia="Arial" w:hAnsi="Arial"/>
          <w:sz w:val="16"/>
          <w:szCs w:val="16"/>
          <w:b w:val="1"/>
          <w:bCs w:val="1"/>
          <w:color w:val="auto"/>
        </w:rPr>
      </w:pPr>
      <w:r>
        <w:rPr>
          <w:rFonts w:ascii="Arial" w:cs="Arial" w:eastAsia="Arial" w:hAnsi="Arial"/>
          <w:sz w:val="16"/>
          <w:szCs w:val="16"/>
          <w:color w:val="auto"/>
        </w:rPr>
        <w:t>The Rights Agent will not have any liability for any actions taken or not taken in connection with this Agreement, except to the extent such liability arises as a result of the willful misconduct, fraud,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166" w:lineRule="exact"/>
        <w:rPr>
          <w:rFonts w:ascii="Arial" w:cs="Arial" w:eastAsia="Arial" w:hAnsi="Arial"/>
          <w:sz w:val="16"/>
          <w:szCs w:val="16"/>
          <w:b w:val="1"/>
          <w:bCs w:val="1"/>
          <w:color w:val="auto"/>
        </w:rPr>
      </w:pPr>
    </w:p>
    <w:p>
      <w:pPr>
        <w:ind w:right="100" w:firstLine="987"/>
        <w:spacing w:after="0" w:line="273" w:lineRule="auto"/>
        <w:tabs>
          <w:tab w:leader="none" w:pos="1256"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Spyre.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0940"/>
          </w:cols>
          <w:pgMar w:left="440" w:top="274" w:right="519" w:bottom="1440" w:gutter="0" w:footer="0" w:header="0"/>
        </w:sectPr>
      </w:pPr>
    </w:p>
    <w:bookmarkStart w:id="316" w:name="page317"/>
    <w:bookmarkEnd w:id="31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3.2 Certain Rights of Rights Agent</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7" w:lineRule="auto"/>
        <w:tabs>
          <w:tab w:leader="none" w:pos="1246"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170" w:lineRule="exact"/>
        <w:rPr>
          <w:rFonts w:ascii="Arial" w:cs="Arial" w:eastAsia="Arial" w:hAnsi="Arial"/>
          <w:sz w:val="18"/>
          <w:szCs w:val="18"/>
          <w:b w:val="1"/>
          <w:bCs w:val="1"/>
          <w:color w:val="auto"/>
        </w:rPr>
      </w:pPr>
    </w:p>
    <w:p>
      <w:pPr>
        <w:jc w:val="both"/>
        <w:ind w:right="160" w:firstLine="987"/>
        <w:spacing w:after="0" w:line="311" w:lineRule="auto"/>
        <w:tabs>
          <w:tab w:leader="none" w:pos="1256"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 xml:space="preserve">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or with respect to </w:t>
      </w:r>
      <w:r>
        <w:rPr>
          <w:rFonts w:ascii="Arial" w:cs="Arial" w:eastAsia="Arial" w:hAnsi="Arial"/>
          <w:sz w:val="16"/>
          <w:szCs w:val="16"/>
          <w:u w:val="single" w:color="auto"/>
          <w:color w:val="auto"/>
        </w:rPr>
        <w:t>Section 2.3(d)</w:t>
      </w:r>
      <w:r>
        <w:rPr>
          <w:rFonts w:ascii="Arial" w:cs="Arial" w:eastAsia="Arial" w:hAnsi="Arial"/>
          <w:sz w:val="16"/>
          <w:szCs w:val="16"/>
          <w:color w:val="auto"/>
        </w:rPr>
        <w:t>, the Acting Holders.</w:t>
      </w:r>
    </w:p>
    <w:p>
      <w:pPr>
        <w:spacing w:after="0" w:line="148" w:lineRule="exact"/>
        <w:rPr>
          <w:rFonts w:ascii="Arial" w:cs="Arial" w:eastAsia="Arial" w:hAnsi="Arial"/>
          <w:sz w:val="16"/>
          <w:szCs w:val="16"/>
          <w:b w:val="1"/>
          <w:bCs w:val="1"/>
          <w:color w:val="auto"/>
        </w:rPr>
      </w:pPr>
    </w:p>
    <w:p>
      <w:pPr>
        <w:ind w:right="20" w:firstLine="987"/>
        <w:spacing w:after="0" w:line="257" w:lineRule="auto"/>
        <w:tabs>
          <w:tab w:leader="none" w:pos="1236"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incur no liability and be held harmless by the Company for or in respect of any action taken or omitted to be taken by it under the provisions of this Agreement in reliance upon such Officer’s Certificate.</w:t>
      </w:r>
    </w:p>
    <w:p>
      <w:pPr>
        <w:spacing w:after="0" w:line="187" w:lineRule="exact"/>
        <w:rPr>
          <w:rFonts w:ascii="Arial" w:cs="Arial" w:eastAsia="Arial" w:hAnsi="Arial"/>
          <w:sz w:val="18"/>
          <w:szCs w:val="18"/>
          <w:b w:val="1"/>
          <w:bCs w:val="1"/>
          <w:color w:val="auto"/>
        </w:rPr>
      </w:pPr>
    </w:p>
    <w:p>
      <w:pPr>
        <w:ind w:right="120" w:firstLine="987"/>
        <w:spacing w:after="0" w:line="259" w:lineRule="auto"/>
        <w:tabs>
          <w:tab w:leader="none" w:pos="1256"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186" w:lineRule="exact"/>
        <w:rPr>
          <w:rFonts w:ascii="Arial" w:cs="Arial" w:eastAsia="Arial" w:hAnsi="Arial"/>
          <w:sz w:val="18"/>
          <w:szCs w:val="18"/>
          <w:b w:val="1"/>
          <w:bCs w:val="1"/>
          <w:color w:val="auto"/>
        </w:rPr>
      </w:pPr>
    </w:p>
    <w:p>
      <w:pPr>
        <w:ind w:left="1240" w:hanging="253"/>
        <w:spacing w:after="0"/>
        <w:tabs>
          <w:tab w:leader="none" w:pos="124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Any permissive rights of the Rights Agent hereunder will not be construed as a duty.</w:t>
      </w:r>
    </w:p>
    <w:p>
      <w:pPr>
        <w:spacing w:after="0" w:line="225" w:lineRule="exact"/>
        <w:rPr>
          <w:rFonts w:ascii="Arial" w:cs="Arial" w:eastAsia="Arial" w:hAnsi="Arial"/>
          <w:sz w:val="18"/>
          <w:szCs w:val="18"/>
          <w:b w:val="1"/>
          <w:bCs w:val="1"/>
          <w:color w:val="auto"/>
        </w:rPr>
      </w:pPr>
    </w:p>
    <w:p>
      <w:pPr>
        <w:ind w:left="1220" w:hanging="233"/>
        <w:spacing w:after="0"/>
        <w:tabs>
          <w:tab w:leader="none" w:pos="1220" w:val="left"/>
        </w:tabs>
        <w:numPr>
          <w:ilvl w:val="0"/>
          <w:numId w:val="214"/>
        </w:numPr>
        <w:rPr>
          <w:rFonts w:ascii="Arial" w:cs="Arial" w:eastAsia="Arial" w:hAnsi="Arial"/>
          <w:sz w:val="17"/>
          <w:szCs w:val="17"/>
          <w:b w:val="1"/>
          <w:bCs w:val="1"/>
          <w:color w:val="auto"/>
        </w:rPr>
      </w:pPr>
      <w:r>
        <w:rPr>
          <w:rFonts w:ascii="Arial" w:cs="Arial" w:eastAsia="Arial" w:hAnsi="Arial"/>
          <w:sz w:val="17"/>
          <w:szCs w:val="17"/>
          <w:color w:val="auto"/>
        </w:rPr>
        <w:t>The Rights Agent will not be required to give any note or surety in respect of the execution of its powers or otherwise under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b w:val="1"/>
          <w:bCs w:val="1"/>
          <w:color w:val="auto"/>
        </w:rPr>
      </w:pPr>
    </w:p>
    <w:p>
      <w:pPr>
        <w:ind w:right="40" w:firstLine="987"/>
        <w:spacing w:after="0" w:line="270" w:lineRule="auto"/>
        <w:tabs>
          <w:tab w:leader="none" w:pos="1246" w:val="left"/>
        </w:tabs>
        <w:numPr>
          <w:ilvl w:val="0"/>
          <w:numId w:val="214"/>
        </w:numPr>
        <w:rPr>
          <w:rFonts w:ascii="Arial" w:cs="Arial" w:eastAsia="Arial" w:hAnsi="Arial"/>
          <w:sz w:val="17"/>
          <w:szCs w:val="17"/>
          <w:b w:val="1"/>
          <w:bCs w:val="1"/>
          <w:color w:val="auto"/>
        </w:rPr>
      </w:pPr>
      <w:r>
        <w:rPr>
          <w:rFonts w:ascii="Arial" w:cs="Arial" w:eastAsia="Arial" w:hAnsi="Arial"/>
          <w:sz w:val="17"/>
          <w:szCs w:val="17"/>
          <w:color w:val="auto"/>
        </w:rPr>
        <w:t>The Company agrees to indemnify the Rights Agent for, and to hold the Rights Agent harmless from and against, any loss, liability, damage, judgment, fine, penalty, cost or expense (each, a “</w:t>
      </w:r>
      <w:r>
        <w:rPr>
          <w:rFonts w:ascii="Arial" w:cs="Arial" w:eastAsia="Arial" w:hAnsi="Arial"/>
          <w:sz w:val="17"/>
          <w:szCs w:val="17"/>
          <w:b w:val="1"/>
          <w:bCs w:val="1"/>
          <w:color w:val="auto"/>
        </w:rPr>
        <w:t>Loss</w:t>
      </w:r>
      <w:r>
        <w:rPr>
          <w:rFonts w:ascii="Arial" w:cs="Arial" w:eastAsia="Arial" w:hAnsi="Arial"/>
          <w:sz w:val="17"/>
          <w:szCs w:val="17"/>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Arial" w:cs="Arial" w:eastAsia="Arial" w:hAnsi="Arial"/>
          <w:sz w:val="17"/>
          <w:szCs w:val="17"/>
          <w:u w:val="single" w:color="auto"/>
          <w:color w:val="auto"/>
        </w:rPr>
        <w:t>Section 3.2(g)</w:t>
      </w:r>
      <w:r>
        <w:rPr>
          <w:rFonts w:ascii="Arial" w:cs="Arial" w:eastAsia="Arial" w:hAnsi="Arial"/>
          <w:sz w:val="17"/>
          <w:szCs w:val="17"/>
          <w:color w:val="auto"/>
        </w:rPr>
        <w:t xml:space="preserve"> shall not apply with respect to income, receipt, franchise or similar Taxes imposed with respect to payments to the Rights Agent for its services pursuant to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000"/>
          </w:cols>
          <w:pgMar w:left="440" w:top="270" w:right="459" w:bottom="1440" w:gutter="0" w:footer="0" w:header="0"/>
        </w:sectPr>
      </w:pPr>
    </w:p>
    <w:bookmarkStart w:id="317" w:name="page318"/>
    <w:bookmarkEnd w:id="317"/>
    <w:p>
      <w:pPr>
        <w:ind w:right="20" w:firstLine="987"/>
        <w:spacing w:after="0" w:line="289" w:lineRule="auto"/>
        <w:tabs>
          <w:tab w:leader="none" w:pos="1256" w:val="left"/>
        </w:tabs>
        <w:numPr>
          <w:ilvl w:val="0"/>
          <w:numId w:val="21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on payments to the Rights Agent for its services pursuant to this Agreement)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3.2(g)</w:t>
      </w:r>
      <w:r>
        <w:rPr>
          <w:rFonts w:ascii="Arial" w:cs="Arial" w:eastAsia="Arial" w:hAnsi="Arial"/>
          <w:sz w:val="16"/>
          <w:szCs w:val="16"/>
          <w:color w:val="auto"/>
        </w:rPr>
        <w:t>, if the Company is found by a court of competent jurisdiction to be liable to the Rights Agent or the Holders, as applicable in such suit.</w:t>
      </w:r>
    </w:p>
    <w:p>
      <w:pPr>
        <w:spacing w:after="0" w:line="166" w:lineRule="exact"/>
        <w:rPr>
          <w:rFonts w:ascii="Arial" w:cs="Arial" w:eastAsia="Arial" w:hAnsi="Arial"/>
          <w:sz w:val="16"/>
          <w:szCs w:val="16"/>
          <w:b w:val="1"/>
          <w:bCs w:val="1"/>
          <w:color w:val="auto"/>
        </w:rPr>
      </w:pPr>
    </w:p>
    <w:p>
      <w:pPr>
        <w:jc w:val="both"/>
        <w:ind w:right="100" w:firstLine="987"/>
        <w:spacing w:after="0" w:line="263" w:lineRule="auto"/>
        <w:tabs>
          <w:tab w:leader="none" w:pos="120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183" w:lineRule="exact"/>
        <w:rPr>
          <w:rFonts w:ascii="Arial" w:cs="Arial" w:eastAsia="Arial" w:hAnsi="Arial"/>
          <w:sz w:val="18"/>
          <w:szCs w:val="18"/>
          <w:b w:val="1"/>
          <w:bCs w:val="1"/>
          <w:color w:val="auto"/>
        </w:rPr>
      </w:pPr>
    </w:p>
    <w:p>
      <w:pPr>
        <w:ind w:right="120" w:firstLine="987"/>
        <w:spacing w:after="0" w:line="259" w:lineRule="auto"/>
        <w:tabs>
          <w:tab w:leader="none" w:pos="121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The Rights Agent shall not be subject to, nor be required to comply with, or determine if any Person has complied with, the Merger Agreement or any other agreement between or among any of the Company, Spyre or Holders, even though reference thereto may be made in this Agreement, or to comply with any notice, instruction, direction, request or other communication, paper or document other than as expressly set forth in this Agreement.</w:t>
      </w:r>
    </w:p>
    <w:p>
      <w:pPr>
        <w:spacing w:after="0" w:line="186" w:lineRule="exact"/>
        <w:rPr>
          <w:rFonts w:ascii="Arial" w:cs="Arial" w:eastAsia="Arial" w:hAnsi="Arial"/>
          <w:sz w:val="18"/>
          <w:szCs w:val="18"/>
          <w:b w:val="1"/>
          <w:bCs w:val="1"/>
          <w:color w:val="auto"/>
        </w:rPr>
      </w:pPr>
    </w:p>
    <w:p>
      <w:pPr>
        <w:ind w:firstLine="987"/>
        <w:spacing w:after="0" w:line="255" w:lineRule="auto"/>
        <w:tabs>
          <w:tab w:leader="none" w:pos="125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spacing w:after="0" w:line="192" w:lineRule="exact"/>
        <w:rPr>
          <w:rFonts w:ascii="Arial" w:cs="Arial" w:eastAsia="Arial" w:hAnsi="Arial"/>
          <w:sz w:val="18"/>
          <w:szCs w:val="18"/>
          <w:b w:val="1"/>
          <w:bCs w:val="1"/>
          <w:color w:val="auto"/>
        </w:rPr>
      </w:pPr>
    </w:p>
    <w:p>
      <w:pPr>
        <w:ind w:right="160" w:firstLine="987"/>
        <w:spacing w:after="0" w:line="257" w:lineRule="auto"/>
        <w:tabs>
          <w:tab w:leader="none" w:pos="120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Spyre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87" w:lineRule="exact"/>
        <w:rPr>
          <w:rFonts w:ascii="Arial" w:cs="Arial" w:eastAsia="Arial" w:hAnsi="Arial"/>
          <w:sz w:val="18"/>
          <w:szCs w:val="18"/>
          <w:b w:val="1"/>
          <w:bCs w:val="1"/>
          <w:color w:val="auto"/>
        </w:rPr>
      </w:pPr>
    </w:p>
    <w:p>
      <w:pPr>
        <w:ind w:firstLine="987"/>
        <w:spacing w:after="0" w:line="263" w:lineRule="auto"/>
        <w:tabs>
          <w:tab w:leader="none" w:pos="1306"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000"/>
          </w:cols>
          <w:pgMar w:left="440" w:top="274" w:right="459" w:bottom="1440" w:gutter="0" w:footer="0" w:header="0"/>
        </w:sectPr>
      </w:pPr>
    </w:p>
    <w:bookmarkStart w:id="318" w:name="page319"/>
    <w:bookmarkEnd w:id="318"/>
    <w:p>
      <w:pPr>
        <w:ind w:left="-40" w:right="60" w:firstLine="987"/>
        <w:spacing w:after="0" w:line="301" w:lineRule="auto"/>
        <w:tabs>
          <w:tab w:leader="none" w:pos="1216" w:val="left"/>
        </w:tabs>
        <w:numPr>
          <w:ilvl w:val="0"/>
          <w:numId w:val="21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57" w:lineRule="exact"/>
        <w:rPr>
          <w:rFonts w:ascii="Arial" w:cs="Arial" w:eastAsia="Arial" w:hAnsi="Arial"/>
          <w:sz w:val="16"/>
          <w:szCs w:val="16"/>
          <w:b w:val="1"/>
          <w:bCs w:val="1"/>
          <w:color w:val="auto"/>
        </w:rPr>
      </w:pPr>
    </w:p>
    <w:p>
      <w:pPr>
        <w:ind w:left="-40" w:right="40" w:firstLine="987"/>
        <w:spacing w:after="0" w:line="279" w:lineRule="auto"/>
        <w:tabs>
          <w:tab w:leader="none" w:pos="1206" w:val="left"/>
        </w:tabs>
        <w:numPr>
          <w:ilvl w:val="0"/>
          <w:numId w:val="216"/>
        </w:numPr>
        <w:rPr>
          <w:rFonts w:ascii="Arial" w:cs="Arial" w:eastAsia="Arial" w:hAnsi="Arial"/>
          <w:sz w:val="17"/>
          <w:szCs w:val="17"/>
          <w:b w:val="1"/>
          <w:bCs w:val="1"/>
          <w:color w:val="auto"/>
        </w:rPr>
      </w:pPr>
      <w:r>
        <w:rPr>
          <w:rFonts w:ascii="Arial" w:cs="Arial" w:eastAsia="Arial" w:hAnsi="Arial"/>
          <w:sz w:val="17"/>
          <w:szCs w:val="17"/>
          <w:color w:val="auto"/>
        </w:rPr>
        <w:t>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spacing w:after="0" w:line="171" w:lineRule="exact"/>
        <w:rPr>
          <w:rFonts w:ascii="Arial" w:cs="Arial" w:eastAsia="Arial" w:hAnsi="Arial"/>
          <w:sz w:val="17"/>
          <w:szCs w:val="17"/>
          <w:b w:val="1"/>
          <w:bCs w:val="1"/>
          <w:color w:val="auto"/>
        </w:rPr>
      </w:pPr>
    </w:p>
    <w:p>
      <w:pPr>
        <w:ind w:left="-40" w:firstLine="987"/>
        <w:spacing w:after="0" w:line="263" w:lineRule="auto"/>
        <w:tabs>
          <w:tab w:leader="none" w:pos="1216"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183" w:lineRule="exact"/>
        <w:rPr>
          <w:rFonts w:ascii="Arial" w:cs="Arial" w:eastAsia="Arial" w:hAnsi="Arial"/>
          <w:sz w:val="18"/>
          <w:szCs w:val="18"/>
          <w:b w:val="1"/>
          <w:bCs w:val="1"/>
          <w:color w:val="auto"/>
        </w:rPr>
      </w:pPr>
    </w:p>
    <w:p>
      <w:pPr>
        <w:ind w:left="-40" w:firstLine="987"/>
        <w:spacing w:after="0" w:line="308" w:lineRule="auto"/>
        <w:tabs>
          <w:tab w:leader="none" w:pos="1216" w:val="left"/>
        </w:tabs>
        <w:numPr>
          <w:ilvl w:val="0"/>
          <w:numId w:val="216"/>
        </w:numPr>
        <w:rPr>
          <w:rFonts w:ascii="Arial" w:cs="Arial" w:eastAsia="Arial" w:hAnsi="Arial"/>
          <w:sz w:val="17"/>
          <w:szCs w:val="17"/>
          <w:b w:val="1"/>
          <w:bCs w:val="1"/>
          <w:color w:val="auto"/>
        </w:rPr>
      </w:pPr>
      <w:r>
        <w:rPr>
          <w:rFonts w:ascii="Arial" w:cs="Arial" w:eastAsia="Arial" w:hAnsi="Arial"/>
          <w:sz w:val="17"/>
          <w:szCs w:val="17"/>
          <w:color w:val="auto"/>
        </w:rPr>
        <w:t xml:space="preserve">The obligations of the Company and the rights of the Rights Agent under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survive the expiration of the CVRs and the termination of this Agreement and the resignation, replacement or removal of the Rights Agent.</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Section 3.3 Resignation and Removal; Appointment of Successor</w:t>
      </w:r>
      <w:r>
        <w:rPr>
          <w:rFonts w:ascii="Arial" w:cs="Arial" w:eastAsia="Arial" w:hAnsi="Arial"/>
          <w:sz w:val="18"/>
          <w:szCs w:val="18"/>
          <w:color w:val="auto"/>
        </w:rPr>
        <w:t>.</w:t>
      </w:r>
    </w:p>
    <w:p>
      <w:pPr>
        <w:spacing w:after="0" w:line="229" w:lineRule="exact"/>
        <w:rPr>
          <w:sz w:val="20"/>
          <w:szCs w:val="20"/>
          <w:color w:val="auto"/>
        </w:rPr>
      </w:pPr>
    </w:p>
    <w:p>
      <w:pPr>
        <w:ind w:left="-40" w:right="300" w:firstLine="987"/>
        <w:spacing w:after="0" w:line="286" w:lineRule="auto"/>
        <w:tabs>
          <w:tab w:leader="none" w:pos="1206" w:val="left"/>
        </w:tabs>
        <w:numPr>
          <w:ilvl w:val="0"/>
          <w:numId w:val="217"/>
        </w:numPr>
        <w:rPr>
          <w:rFonts w:ascii="Arial" w:cs="Arial" w:eastAsia="Arial" w:hAnsi="Arial"/>
          <w:sz w:val="17"/>
          <w:szCs w:val="17"/>
          <w:b w:val="1"/>
          <w:bCs w:val="1"/>
          <w:color w:val="auto"/>
        </w:rPr>
      </w:pPr>
      <w:r>
        <w:rPr>
          <w:rFonts w:ascii="Arial" w:cs="Arial" w:eastAsia="Arial" w:hAnsi="Arial"/>
          <w:sz w:val="17"/>
          <w:szCs w:val="17"/>
          <w:color w:val="auto"/>
        </w:rPr>
        <w:t>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165" w:lineRule="exact"/>
        <w:rPr>
          <w:rFonts w:ascii="Arial" w:cs="Arial" w:eastAsia="Arial" w:hAnsi="Arial"/>
          <w:sz w:val="17"/>
          <w:szCs w:val="17"/>
          <w:b w:val="1"/>
          <w:bCs w:val="1"/>
          <w:color w:val="auto"/>
        </w:rPr>
      </w:pPr>
    </w:p>
    <w:p>
      <w:pPr>
        <w:jc w:val="both"/>
        <w:ind w:left="-40" w:right="20" w:firstLine="987"/>
        <w:spacing w:after="0" w:line="263" w:lineRule="auto"/>
        <w:tabs>
          <w:tab w:leader="none" w:pos="1216"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183" w:lineRule="exact"/>
        <w:rPr>
          <w:rFonts w:ascii="Arial" w:cs="Arial" w:eastAsia="Arial" w:hAnsi="Arial"/>
          <w:sz w:val="18"/>
          <w:szCs w:val="18"/>
          <w:b w:val="1"/>
          <w:bCs w:val="1"/>
          <w:color w:val="auto"/>
        </w:rPr>
      </w:pPr>
    </w:p>
    <w:p>
      <w:pPr>
        <w:ind w:left="-40" w:firstLine="987"/>
        <w:spacing w:after="0" w:line="255" w:lineRule="auto"/>
        <w:tabs>
          <w:tab w:leader="none" w:pos="1196"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 xml:space="preserve">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w:t>
      </w:r>
      <w:r>
        <w:rPr>
          <w:rFonts w:ascii="Arial" w:cs="Arial" w:eastAsia="Arial" w:hAnsi="Arial"/>
          <w:sz w:val="18"/>
          <w:szCs w:val="18"/>
          <w:color w:val="auto"/>
        </w:rPr>
        <w:t>, become the Rights Agent for all purposes hereunder.</w:t>
      </w:r>
    </w:p>
    <w:p>
      <w:pPr>
        <w:spacing w:after="0" w:line="192" w:lineRule="exact"/>
        <w:rPr>
          <w:rFonts w:ascii="Arial" w:cs="Arial" w:eastAsia="Arial" w:hAnsi="Arial"/>
          <w:sz w:val="18"/>
          <w:szCs w:val="18"/>
          <w:b w:val="1"/>
          <w:bCs w:val="1"/>
          <w:color w:val="auto"/>
        </w:rPr>
      </w:pPr>
    </w:p>
    <w:p>
      <w:pPr>
        <w:ind w:left="-40" w:firstLine="987"/>
        <w:spacing w:after="0" w:line="259" w:lineRule="auto"/>
        <w:tabs>
          <w:tab w:leader="none" w:pos="1216"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 xml:space="preserve">The Company will give notice to the Holders of each resignation or removal of the Rights Agent and each appointment of a successor Rights Agent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0920"/>
          </w:cols>
          <w:pgMar w:left="480" w:top="274" w:right="499" w:bottom="1440" w:gutter="0" w:footer="0" w:header="0"/>
        </w:sectPr>
      </w:pPr>
    </w:p>
    <w:bookmarkStart w:id="319" w:name="page320"/>
    <w:bookmarkEnd w:id="319"/>
    <w:p>
      <w:pPr>
        <w:ind w:right="180" w:firstLine="987"/>
        <w:spacing w:after="0" w:line="263" w:lineRule="auto"/>
        <w:tabs>
          <w:tab w:leader="none" w:pos="1236"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in this </w:t>
      </w:r>
      <w:r>
        <w:rPr>
          <w:rFonts w:ascii="Arial" w:cs="Arial" w:eastAsia="Arial" w:hAnsi="Arial"/>
          <w:sz w:val="18"/>
          <w:szCs w:val="18"/>
          <w:u w:val="single" w:color="auto"/>
          <w:color w:val="auto"/>
        </w:rPr>
        <w:t>Section 3.3</w:t>
      </w:r>
      <w:r>
        <w:rPr>
          <w:rFonts w:ascii="Arial" w:cs="Arial" w:eastAsia="Arial" w:hAnsi="Arial"/>
          <w:sz w:val="18"/>
          <w:szCs w:val="18"/>
          <w:color w:val="auto"/>
        </w:rPr>
        <w:t>, unless consented to in writing by the Acting Holders, the Company will not appoint as a successor Rights Agent any Person that is not a stock transfer agent of national reputation or the corporate trust department of a commercial bank.</w:t>
      </w:r>
    </w:p>
    <w:p>
      <w:pPr>
        <w:spacing w:after="0" w:line="183" w:lineRule="exact"/>
        <w:rPr>
          <w:rFonts w:ascii="Arial" w:cs="Arial" w:eastAsia="Arial" w:hAnsi="Arial"/>
          <w:sz w:val="18"/>
          <w:szCs w:val="18"/>
          <w:b w:val="1"/>
          <w:bCs w:val="1"/>
          <w:color w:val="auto"/>
        </w:rPr>
      </w:pPr>
    </w:p>
    <w:p>
      <w:pPr>
        <w:ind w:right="40" w:firstLine="987"/>
        <w:spacing w:after="0" w:line="259" w:lineRule="auto"/>
        <w:tabs>
          <w:tab w:leader="none" w:pos="1216"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3.4 Acceptance of Appointment by Successor</w:t>
      </w:r>
      <w:r>
        <w:rPr>
          <w:rFonts w:ascii="Arial" w:cs="Arial" w:eastAsia="Arial" w:hAnsi="Arial"/>
          <w:sz w:val="18"/>
          <w:szCs w:val="18"/>
          <w:color w:val="auto"/>
        </w:rPr>
        <w:t>.</w:t>
      </w:r>
    </w:p>
    <w:p>
      <w:pPr>
        <w:spacing w:after="0" w:line="229"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Section 4.1 List of Holders</w:t>
      </w:r>
      <w:r>
        <w:rPr>
          <w:rFonts w:ascii="Arial" w:cs="Arial" w:eastAsia="Arial" w:hAnsi="Arial"/>
          <w:sz w:val="18"/>
          <w:szCs w:val="18"/>
          <w:color w:val="auto"/>
        </w:rPr>
        <w:t>. The Company will furnish or cause to be furnished to the Rights Agent, in such form as the Company receives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transfer agent (or other agent performing similar services for the Company), the names and addresses of the Holders within ten (10) Business Days following the Closing Date.</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Section 4.2 No Obligations of Public Company</w:t>
      </w:r>
      <w:r>
        <w:rPr>
          <w:rFonts w:ascii="Arial" w:cs="Arial" w:eastAsia="Arial" w:hAnsi="Arial"/>
          <w:sz w:val="18"/>
          <w:szCs w:val="18"/>
          <w:color w:val="auto"/>
        </w:rPr>
        <w:t>. Notwithstanding anything herein to the contrary, and for the avoidance of doubt, (a)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Period, the Company shall use commercially reasonable efforts to monetize the tangible and intangible assets (including intellectual property) primarily used in or primarily related to the pegtarviliase for Homocystinuria and pegzilarginase for Arginase 1 Deficiency programs, (b) none of the Company or any of its Affiliates (or any directors, officer, employee, or other representative of the foregoing) owes any fiduciary duty or similar duty to any Holder in respect of the Potentially Transferable Assets, and (c) following the Disposition Period, the Company shall be permitted to take any action in respect of the Potentially Transferable Assets in order to satisfy any wind-down and termination Liabilities of the Potentially Transferable Assets.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0980"/>
          </w:cols>
          <w:pgMar w:left="440" w:top="274" w:right="479" w:bottom="1440" w:gutter="0" w:footer="0" w:header="0"/>
        </w:sectPr>
      </w:pPr>
    </w:p>
    <w:bookmarkStart w:id="320" w:name="page321"/>
    <w:bookmarkEnd w:id="320"/>
    <w:p>
      <w:pPr>
        <w:ind w:right="8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4.3 Prohibited Actions</w:t>
      </w:r>
      <w:r>
        <w:rPr>
          <w:rFonts w:ascii="Arial" w:cs="Arial" w:eastAsia="Arial" w:hAnsi="Arial"/>
          <w:sz w:val="17"/>
          <w:szCs w:val="17"/>
          <w:color w:val="auto"/>
        </w:rPr>
        <w:t>. Unless approved by the Acting Holders, prior to the end of the Disposition Period, the Company shall not grant</w:t>
      </w:r>
      <w:r>
        <w:rPr>
          <w:rFonts w:ascii="Arial" w:cs="Arial" w:eastAsia="Arial" w:hAnsi="Arial"/>
          <w:sz w:val="17"/>
          <w:szCs w:val="17"/>
          <w:b w:val="1"/>
          <w:bCs w:val="1"/>
          <w:color w:val="auto"/>
        </w:rPr>
        <w:t xml:space="preserve"> </w:t>
      </w:r>
      <w:r>
        <w:rPr>
          <w:rFonts w:ascii="Arial" w:cs="Arial" w:eastAsia="Arial" w:hAnsi="Arial"/>
          <w:sz w:val="17"/>
          <w:szCs w:val="17"/>
          <w:color w:val="auto"/>
        </w:rPr>
        <w:t>any lien, security interest, pledge or similar interest in any Potentially Transferable Assets or any Net Proceeds or the Adjustment Amount. Unless approved by the Acting Holders, prior to end of the Disposition Period, the Company shall not, and shall not permit its Affiliates to, grant, assign, transfer or otherwise convey any Potentially Transferable Assets (including any option to obtain rights) to any third party.</w:t>
      </w:r>
    </w:p>
    <w:p>
      <w:pPr>
        <w:spacing w:after="0" w:line="16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Section 4.4 Books and Records</w:t>
      </w:r>
      <w:r>
        <w:rPr>
          <w:rFonts w:ascii="Arial" w:cs="Arial" w:eastAsia="Arial" w:hAnsi="Arial"/>
          <w:sz w:val="18"/>
          <w:szCs w:val="18"/>
          <w:color w:val="auto"/>
        </w:rPr>
        <w:t>. Until the end of the CVR Term, the Company shall, and shall cause its Affiliates to, keep true, complete and</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records in sufficient detail to enable the Rights Agent to confirm each CVR Payment payable hereunder in accordance with the terms specified in this Agreement.</w:t>
      </w:r>
    </w:p>
    <w:p>
      <w:pPr>
        <w:spacing w:after="0" w:line="17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b w:val="1"/>
          <w:bCs w:val="1"/>
          <w:color w:val="auto"/>
        </w:rPr>
        <w:t>Section 4.5 Audits</w:t>
      </w:r>
      <w:r>
        <w:rPr>
          <w:rFonts w:ascii="Arial" w:cs="Arial" w:eastAsia="Arial" w:hAnsi="Arial"/>
          <w:sz w:val="16"/>
          <w:szCs w:val="16"/>
          <w:color w:val="auto"/>
        </w:rPr>
        <w:t>. Until the expiration of this Agreement and for a period of one (1) year thereafter, the Company shall keep complete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accurate records in sufficient detail to permit the Rights Agent to confirm the accuracy of the payments due hereunder. The Rights Agent or the Acting Holders, without duplication, shall each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Rights Agent or the Acting Holders, as applicable, unless after an accounting period has been audited by the Rights Agent or the Acting Holders, as applicable, the Company restates its financial results for such accounting period, in which event the Rights Agent or the Acting Holders, as applicable, may conduct a second audit of such accounting period in accordance with this </w:t>
      </w:r>
      <w:r>
        <w:rPr>
          <w:rFonts w:ascii="Arial" w:cs="Arial" w:eastAsia="Arial" w:hAnsi="Arial"/>
          <w:sz w:val="16"/>
          <w:szCs w:val="16"/>
          <w:u w:val="single" w:color="auto"/>
          <w:color w:val="auto"/>
        </w:rPr>
        <w:t>Section 4.5</w:t>
      </w:r>
      <w:r>
        <w:rPr>
          <w:rFonts w:ascii="Arial" w:cs="Arial" w:eastAsia="Arial" w:hAnsi="Arial"/>
          <w:sz w:val="16"/>
          <w:szCs w:val="16"/>
          <w:color w:val="auto"/>
        </w:rPr>
        <w:t>. Adjustments (including remittances of underpayments or overpayments disclosed by such audit) shall be made by the Parties to reflect the results of such audit, which adjustments shall be paid promptly following receipt of an invoice therefor. The Rights Agent or the Acting Holders, as applicable, shall bear the full cost and expense of such audit unless such audit discloses an underpayment by the Company of twenty percent (20%) or more of the CVR Payments due under this Agreement for the audited period, in which case the Company shall bear the full cost and expense of such audit.</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0920"/>
          </w:cols>
          <w:pgMar w:left="440" w:top="270" w:right="539" w:bottom="1440" w:gutter="0" w:footer="0" w:header="0"/>
        </w:sectPr>
      </w:pPr>
    </w:p>
    <w:bookmarkStart w:id="321" w:name="page322"/>
    <w:bookmarkEnd w:id="32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5.1 Amendments Without Consent of Holders or Rights Agent</w:t>
      </w:r>
      <w:r>
        <w:rPr>
          <w:rFonts w:ascii="Arial" w:cs="Arial" w:eastAsia="Arial" w:hAnsi="Arial"/>
          <w:sz w:val="18"/>
          <w:szCs w:val="18"/>
          <w:color w:val="auto"/>
        </w:rPr>
        <w:t>.</w:t>
      </w:r>
    </w:p>
    <w:p>
      <w:pPr>
        <w:spacing w:after="0" w:line="229" w:lineRule="exact"/>
        <w:rPr>
          <w:sz w:val="20"/>
          <w:szCs w:val="20"/>
          <w:color w:val="auto"/>
        </w:rPr>
      </w:pPr>
    </w:p>
    <w:p>
      <w:pPr>
        <w:ind w:left="4" w:right="460" w:firstLine="987"/>
        <w:spacing w:after="0" w:line="263" w:lineRule="auto"/>
        <w:tabs>
          <w:tab w:leader="none" w:pos="1250" w:val="left"/>
        </w:tabs>
        <w:numPr>
          <w:ilvl w:val="1"/>
          <w:numId w:val="219"/>
        </w:numPr>
        <w:rPr>
          <w:rFonts w:ascii="Arial" w:cs="Arial" w:eastAsia="Arial" w:hAnsi="Arial"/>
          <w:sz w:val="18"/>
          <w:szCs w:val="18"/>
          <w:b w:val="1"/>
          <w:bCs w:val="1"/>
          <w:color w:val="auto"/>
        </w:rPr>
      </w:pPr>
      <w:r>
        <w:rPr>
          <w:rFonts w:ascii="Arial" w:cs="Arial" w:eastAsia="Arial" w:hAnsi="Arial"/>
          <w:sz w:val="18"/>
          <w:szCs w:val="18"/>
          <w:color w:val="auto"/>
        </w:rPr>
        <w:t>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spacing w:after="0" w:line="183" w:lineRule="exact"/>
        <w:rPr>
          <w:rFonts w:ascii="Arial" w:cs="Arial" w:eastAsia="Arial" w:hAnsi="Arial"/>
          <w:sz w:val="18"/>
          <w:szCs w:val="18"/>
          <w:b w:val="1"/>
          <w:bCs w:val="1"/>
          <w:color w:val="auto"/>
        </w:rPr>
      </w:pPr>
    </w:p>
    <w:p>
      <w:pPr>
        <w:ind w:left="4" w:right="60" w:firstLine="1428"/>
        <w:spacing w:after="0" w:line="277" w:lineRule="auto"/>
        <w:tabs>
          <w:tab w:leader="none" w:pos="1651"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170" w:lineRule="exact"/>
        <w:rPr>
          <w:rFonts w:ascii="Arial" w:cs="Arial" w:eastAsia="Arial" w:hAnsi="Arial"/>
          <w:sz w:val="18"/>
          <w:szCs w:val="18"/>
          <w:b w:val="1"/>
          <w:bCs w:val="1"/>
          <w:color w:val="auto"/>
        </w:rPr>
      </w:pPr>
    </w:p>
    <w:p>
      <w:pPr>
        <w:ind w:left="4" w:firstLine="1428"/>
        <w:spacing w:after="0" w:line="277" w:lineRule="auto"/>
        <w:tabs>
          <w:tab w:leader="none" w:pos="1701"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to evidence the succession of another person to the Company and the assumption of any such successor of the covenants of the Company outlined herein in a transaction contemplated by </w:t>
      </w:r>
      <w:r>
        <w:rPr>
          <w:rFonts w:ascii="Arial" w:cs="Arial" w:eastAsia="Arial" w:hAnsi="Arial"/>
          <w:sz w:val="18"/>
          <w:szCs w:val="18"/>
          <w:u w:val="single" w:color="auto"/>
          <w:color w:val="auto"/>
        </w:rPr>
        <w:t>Section 6.1;</w:t>
      </w:r>
    </w:p>
    <w:p>
      <w:pPr>
        <w:spacing w:after="0" w:line="170" w:lineRule="exact"/>
        <w:rPr>
          <w:rFonts w:ascii="Arial" w:cs="Arial" w:eastAsia="Arial" w:hAnsi="Arial"/>
          <w:sz w:val="18"/>
          <w:szCs w:val="18"/>
          <w:b w:val="1"/>
          <w:bCs w:val="1"/>
          <w:color w:val="auto"/>
        </w:rPr>
      </w:pPr>
    </w:p>
    <w:p>
      <w:pPr>
        <w:ind w:left="4" w:right="200" w:firstLine="1428"/>
        <w:spacing w:after="0" w:line="263" w:lineRule="auto"/>
        <w:tabs>
          <w:tab w:leader="none" w:pos="1751"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 xml:space="preserve">to add to the covenants of the Company such further covenants, restrictions, conditions or provisions as the Company and the Rights Agent will consider to be for the protection and benefit of the Holders;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each case, such provisions do not adversely affect the interests of the Holders;</w:t>
      </w:r>
    </w:p>
    <w:p>
      <w:pPr>
        <w:spacing w:after="0" w:line="183" w:lineRule="exact"/>
        <w:rPr>
          <w:rFonts w:ascii="Arial" w:cs="Arial" w:eastAsia="Arial" w:hAnsi="Arial"/>
          <w:sz w:val="18"/>
          <w:szCs w:val="18"/>
          <w:b w:val="1"/>
          <w:bCs w:val="1"/>
          <w:color w:val="auto"/>
        </w:rPr>
      </w:pPr>
    </w:p>
    <w:p>
      <w:pPr>
        <w:jc w:val="both"/>
        <w:ind w:left="4" w:right="120" w:firstLine="1428"/>
        <w:spacing w:after="0" w:line="263" w:lineRule="auto"/>
        <w:tabs>
          <w:tab w:leader="none" w:pos="1741"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each case, such provisions do not adversely affect the interests of the Holders;</w:t>
      </w:r>
    </w:p>
    <w:p>
      <w:pPr>
        <w:spacing w:after="0" w:line="183" w:lineRule="exact"/>
        <w:rPr>
          <w:rFonts w:ascii="Arial" w:cs="Arial" w:eastAsia="Arial" w:hAnsi="Arial"/>
          <w:sz w:val="18"/>
          <w:szCs w:val="18"/>
          <w:b w:val="1"/>
          <w:bCs w:val="1"/>
          <w:color w:val="auto"/>
        </w:rPr>
      </w:pPr>
    </w:p>
    <w:p>
      <w:pPr>
        <w:ind w:left="4" w:right="620" w:firstLine="1428"/>
        <w:spacing w:after="0" w:line="308" w:lineRule="auto"/>
        <w:tabs>
          <w:tab w:leader="none" w:pos="1691" w:val="left"/>
        </w:tabs>
        <w:numPr>
          <w:ilvl w:val="2"/>
          <w:numId w:val="219"/>
        </w:numPr>
        <w:rPr>
          <w:rFonts w:ascii="Arial" w:cs="Arial" w:eastAsia="Arial" w:hAnsi="Arial"/>
          <w:sz w:val="17"/>
          <w:szCs w:val="17"/>
          <w:b w:val="1"/>
          <w:bCs w:val="1"/>
          <w:color w:val="auto"/>
        </w:rPr>
      </w:pPr>
      <w:r>
        <w:rPr>
          <w:rFonts w:ascii="Arial" w:cs="Arial" w:eastAsia="Arial" w:hAnsi="Arial"/>
          <w:sz w:val="17"/>
          <w:szCs w:val="17"/>
          <w:color w:val="auto"/>
        </w:rPr>
        <w:t>as may be necessary or appropriate to ensure that the CVRs are not subject to registration under the Securities Act or the Exchange Act and the rules and regulations promulgated thereunder, or any applicable state securities or “blue sky” laws;</w:t>
      </w:r>
    </w:p>
    <w:p>
      <w:pPr>
        <w:spacing w:after="0" w:line="146" w:lineRule="exact"/>
        <w:rPr>
          <w:rFonts w:ascii="Arial" w:cs="Arial" w:eastAsia="Arial" w:hAnsi="Arial"/>
          <w:sz w:val="17"/>
          <w:szCs w:val="17"/>
          <w:b w:val="1"/>
          <w:bCs w:val="1"/>
          <w:color w:val="auto"/>
        </w:rPr>
      </w:pPr>
    </w:p>
    <w:p>
      <w:pPr>
        <w:ind w:left="4" w:right="680" w:firstLine="1428"/>
        <w:spacing w:after="0" w:line="277" w:lineRule="auto"/>
        <w:tabs>
          <w:tab w:leader="none" w:pos="1741"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as may be necessary or appropriate to ensure that the Company is not required to produce a prospectus or an admission document in order to comply with applicable Law;</w:t>
      </w:r>
    </w:p>
    <w:p>
      <w:pPr>
        <w:spacing w:after="0" w:line="170" w:lineRule="exact"/>
        <w:rPr>
          <w:rFonts w:ascii="Arial" w:cs="Arial" w:eastAsia="Arial" w:hAnsi="Arial"/>
          <w:sz w:val="18"/>
          <w:szCs w:val="18"/>
          <w:b w:val="1"/>
          <w:bCs w:val="1"/>
          <w:color w:val="auto"/>
        </w:rPr>
      </w:pPr>
    </w:p>
    <w:p>
      <w:pPr>
        <w:ind w:left="1784" w:hanging="352"/>
        <w:spacing w:after="0"/>
        <w:tabs>
          <w:tab w:leader="none" w:pos="1784" w:val="left"/>
        </w:tabs>
        <w:numPr>
          <w:ilvl w:val="2"/>
          <w:numId w:val="219"/>
        </w:numPr>
        <w:rPr>
          <w:rFonts w:ascii="Arial" w:cs="Arial" w:eastAsia="Arial" w:hAnsi="Arial"/>
          <w:sz w:val="17"/>
          <w:szCs w:val="17"/>
          <w:b w:val="1"/>
          <w:bCs w:val="1"/>
          <w:color w:val="auto"/>
        </w:rPr>
      </w:pPr>
      <w:r>
        <w:rPr>
          <w:rFonts w:ascii="Arial" w:cs="Arial" w:eastAsia="Arial" w:hAnsi="Arial"/>
          <w:sz w:val="17"/>
          <w:szCs w:val="17"/>
          <w:color w:val="auto"/>
        </w:rPr>
        <w:t xml:space="preserve">to cancel the applicable CVRs (i) in the event that any Holder has abandoned its rights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or</w:t>
      </w:r>
    </w:p>
    <w:p>
      <w:pPr>
        <w:spacing w:after="0" w:line="34" w:lineRule="exact"/>
        <w:rPr>
          <w:rFonts w:ascii="Arial" w:cs="Arial" w:eastAsia="Arial" w:hAnsi="Arial"/>
          <w:sz w:val="17"/>
          <w:szCs w:val="17"/>
          <w:b w:val="1"/>
          <w:bCs w:val="1"/>
          <w:color w:val="auto"/>
        </w:rPr>
      </w:pPr>
    </w:p>
    <w:p>
      <w:pPr>
        <w:ind w:left="264" w:hanging="264"/>
        <w:spacing w:after="0"/>
        <w:tabs>
          <w:tab w:leader="none" w:pos="2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following a transfer of such CVRs to the Company or its Affiliates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844" w:hanging="412"/>
        <w:spacing w:after="0"/>
        <w:tabs>
          <w:tab w:leader="none" w:pos="1844" w:val="left"/>
        </w:tabs>
        <w:numPr>
          <w:ilvl w:val="2"/>
          <w:numId w:val="220"/>
        </w:numPr>
        <w:rPr>
          <w:rFonts w:ascii="Arial" w:cs="Arial" w:eastAsia="Arial" w:hAnsi="Arial"/>
          <w:sz w:val="18"/>
          <w:szCs w:val="18"/>
          <w:b w:val="1"/>
          <w:bCs w:val="1"/>
          <w:color w:val="auto"/>
        </w:rPr>
      </w:pPr>
      <w:r>
        <w:rPr>
          <w:rFonts w:ascii="Arial" w:cs="Arial" w:eastAsia="Arial" w:hAnsi="Arial"/>
          <w:sz w:val="18"/>
          <w:szCs w:val="18"/>
          <w:color w:val="auto"/>
        </w:rPr>
        <w:t>as may be necessary or appropriate to ensure that the Company complies with applicable Law; or</w:t>
      </w:r>
    </w:p>
    <w:p>
      <w:pPr>
        <w:spacing w:after="0" w:line="225" w:lineRule="exact"/>
        <w:rPr>
          <w:rFonts w:ascii="Arial" w:cs="Arial" w:eastAsia="Arial" w:hAnsi="Arial"/>
          <w:sz w:val="18"/>
          <w:szCs w:val="18"/>
          <w:b w:val="1"/>
          <w:bCs w:val="1"/>
          <w:color w:val="auto"/>
        </w:rPr>
      </w:pPr>
    </w:p>
    <w:p>
      <w:pPr>
        <w:ind w:left="4" w:right="440" w:firstLine="1428"/>
        <w:spacing w:after="0" w:line="308" w:lineRule="auto"/>
        <w:tabs>
          <w:tab w:leader="none" w:pos="1741" w:val="left"/>
        </w:tabs>
        <w:numPr>
          <w:ilvl w:val="2"/>
          <w:numId w:val="220"/>
        </w:numPr>
        <w:rPr>
          <w:rFonts w:ascii="Arial" w:cs="Arial" w:eastAsia="Arial" w:hAnsi="Arial"/>
          <w:sz w:val="17"/>
          <w:szCs w:val="17"/>
          <w:b w:val="1"/>
          <w:bCs w:val="1"/>
          <w:color w:val="auto"/>
        </w:rPr>
      </w:pPr>
      <w:r>
        <w:rPr>
          <w:rFonts w:ascii="Arial" w:cs="Arial" w:eastAsia="Arial" w:hAnsi="Arial"/>
          <w:sz w:val="17"/>
          <w:szCs w:val="17"/>
          <w:color w:val="auto"/>
        </w:rPr>
        <w:t xml:space="preserve">to effect any other amendment to this Agreement for the purpose of adding, eliminating or changing any provisions of this Agreements,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in each case, such additions, eliminations or changes do not adversely affect the interests of the Holders.</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0984"/>
          </w:cols>
          <w:pgMar w:left="436" w:top="270" w:right="479" w:bottom="1440" w:gutter="0" w:footer="0" w:header="0"/>
        </w:sectPr>
      </w:pPr>
    </w:p>
    <w:bookmarkStart w:id="322" w:name="page323"/>
    <w:bookmarkEnd w:id="322"/>
    <w:p>
      <w:pPr>
        <w:ind w:right="400" w:firstLine="987"/>
        <w:spacing w:after="0" w:line="308" w:lineRule="auto"/>
        <w:tabs>
          <w:tab w:leader="none" w:pos="1256" w:val="left"/>
        </w:tabs>
        <w:numPr>
          <w:ilvl w:val="0"/>
          <w:numId w:val="22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Promptly after the execution by the Company of any amendment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 Company will (or will cause the Rights Agent to) notify the Holders in general terms of the substance of such amendment in accordance with </w:t>
      </w:r>
      <w:r>
        <w:rPr>
          <w:rFonts w:ascii="Arial" w:cs="Arial" w:eastAsia="Arial" w:hAnsi="Arial"/>
          <w:sz w:val="17"/>
          <w:szCs w:val="17"/>
          <w:u w:val="single" w:color="auto"/>
          <w:color w:val="auto"/>
        </w:rPr>
        <w:t>Section 7.2</w:t>
      </w:r>
      <w:r>
        <w:rPr>
          <w:rFonts w:ascii="Arial" w:cs="Arial" w:eastAsia="Arial" w:hAnsi="Arial"/>
          <w:sz w:val="17"/>
          <w:szCs w:val="17"/>
          <w:color w:val="auto"/>
        </w:rPr>
        <w: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5.2 Amendments with Consent of Holders</w:t>
      </w:r>
      <w:r>
        <w:rPr>
          <w:rFonts w:ascii="Arial" w:cs="Arial" w:eastAsia="Arial" w:hAnsi="Arial"/>
          <w:sz w:val="18"/>
          <w:szCs w:val="18"/>
          <w:color w:val="auto"/>
        </w:rPr>
        <w:t>.</w:t>
      </w:r>
    </w:p>
    <w:p>
      <w:pPr>
        <w:spacing w:after="0" w:line="229" w:lineRule="exact"/>
        <w:rPr>
          <w:sz w:val="20"/>
          <w:szCs w:val="20"/>
          <w:color w:val="auto"/>
        </w:rPr>
      </w:pPr>
    </w:p>
    <w:p>
      <w:pPr>
        <w:ind w:right="60" w:firstLine="987"/>
        <w:spacing w:after="0" w:line="259" w:lineRule="auto"/>
        <w:tabs>
          <w:tab w:leader="none" w:pos="1246"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 xml:space="preserve">In addition to any amendments to this Agreement that may be made by the Company without the consent of any Holder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with the consent of the Acting Holders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w:t>
      </w:r>
    </w:p>
    <w:p>
      <w:pPr>
        <w:spacing w:after="0" w:line="186" w:lineRule="exact"/>
        <w:rPr>
          <w:rFonts w:ascii="Arial" w:cs="Arial" w:eastAsia="Arial" w:hAnsi="Arial"/>
          <w:sz w:val="18"/>
          <w:szCs w:val="18"/>
          <w:b w:val="1"/>
          <w:bCs w:val="1"/>
          <w:color w:val="auto"/>
        </w:rPr>
      </w:pPr>
    </w:p>
    <w:p>
      <w:pPr>
        <w:ind w:right="200" w:firstLine="987"/>
        <w:spacing w:after="0" w:line="263" w:lineRule="auto"/>
        <w:tabs>
          <w:tab w:leader="none" w:pos="1256"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 xml:space="preserve">Promptly after the execution by the Company and the Rights Agent of any amendment pursuant to the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the Company will (or will cause the Rights Agent to) notify the Holders in general terms of the substance of such amendment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8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Section 5.3 Effect of Amendments</w:t>
      </w:r>
      <w:r>
        <w:rPr>
          <w:rFonts w:ascii="Arial" w:cs="Arial" w:eastAsia="Arial" w:hAnsi="Arial"/>
          <w:sz w:val="18"/>
          <w:szCs w:val="18"/>
          <w:color w:val="auto"/>
        </w:rPr>
        <w:t>. Upon the execution of any amendment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5</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modified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Arial" w:cs="Arial" w:eastAsia="Arial" w:hAnsi="Arial"/>
          <w:sz w:val="18"/>
          <w:szCs w:val="18"/>
          <w:u w:val="single" w:color="auto"/>
          <w:color w:val="auto"/>
        </w:rPr>
        <w:t>ARTICLE 5</w:t>
      </w:r>
      <w:r>
        <w:rPr>
          <w:rFonts w:ascii="Arial" w:cs="Arial" w:eastAsia="Arial" w:hAnsi="Arial"/>
          <w:sz w:val="18"/>
          <w:szCs w:val="18"/>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6.1 The Company May Not Consolidate, Etc</w:t>
      </w:r>
      <w:r>
        <w:rPr>
          <w:rFonts w:ascii="Arial" w:cs="Arial" w:eastAsia="Arial" w:hAnsi="Arial"/>
          <w:sz w:val="18"/>
          <w:szCs w:val="18"/>
          <w:color w:val="auto"/>
        </w:rPr>
        <w:t>.</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During the CVR Term, the Company shall not consolidate with or merge into any other Person or convey, transfer or lease its properties and assets substantially as an entirety to any Person, unless:</w:t>
      </w:r>
    </w:p>
    <w:p>
      <w:pPr>
        <w:spacing w:after="0" w:line="170" w:lineRule="exact"/>
        <w:rPr>
          <w:sz w:val="20"/>
          <w:szCs w:val="20"/>
          <w:color w:val="auto"/>
        </w:rPr>
      </w:pPr>
    </w:p>
    <w:p>
      <w:pPr>
        <w:ind w:right="40" w:firstLine="987"/>
        <w:spacing w:after="0" w:line="259" w:lineRule="auto"/>
        <w:tabs>
          <w:tab w:leader="none" w:pos="1246"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The Person formed by such consolidation or into which the Company is merged or the Person that acquires by conveyance or transfer, or that leases, the properties and assets of the Company substantially as an entirety (the “</w:t>
      </w:r>
      <w:r>
        <w:rPr>
          <w:rFonts w:ascii="Arial" w:cs="Arial" w:eastAsia="Arial" w:hAnsi="Arial"/>
          <w:sz w:val="18"/>
          <w:szCs w:val="18"/>
          <w:b w:val="1"/>
          <w:bCs w:val="1"/>
          <w:color w:val="auto"/>
        </w:rPr>
        <w:t>Surviving Person</w:t>
      </w:r>
      <w:r>
        <w:rPr>
          <w:rFonts w:ascii="Arial" w:cs="Arial" w:eastAsia="Arial" w:hAnsi="Arial"/>
          <w:sz w:val="18"/>
          <w:szCs w:val="18"/>
          <w:color w:val="auto"/>
        </w:rPr>
        <w:t>”) shall expressly assume payment of amounts on all CVRs (when and as due hereunder) and the performance of every duty and covenant of this Agreement on the part of the Company to be performed or observed; and</w:t>
      </w:r>
    </w:p>
    <w:p>
      <w:pPr>
        <w:spacing w:after="0" w:line="186" w:lineRule="exact"/>
        <w:rPr>
          <w:rFonts w:ascii="Arial" w:cs="Arial" w:eastAsia="Arial" w:hAnsi="Arial"/>
          <w:sz w:val="18"/>
          <w:szCs w:val="18"/>
          <w:b w:val="1"/>
          <w:bCs w:val="1"/>
          <w:color w:val="auto"/>
        </w:rPr>
      </w:pPr>
    </w:p>
    <w:p>
      <w:pPr>
        <w:ind w:right="120" w:firstLine="987"/>
        <w:spacing w:after="0" w:line="342" w:lineRule="auto"/>
        <w:tabs>
          <w:tab w:leader="none" w:pos="1256" w:val="left"/>
        </w:tabs>
        <w:numPr>
          <w:ilvl w:val="0"/>
          <w:numId w:val="223"/>
        </w:numPr>
        <w:rPr>
          <w:rFonts w:ascii="Arial" w:cs="Arial" w:eastAsia="Arial" w:hAnsi="Arial"/>
          <w:sz w:val="16"/>
          <w:szCs w:val="16"/>
          <w:b w:val="1"/>
          <w:bCs w:val="1"/>
          <w:color w:val="auto"/>
        </w:rPr>
      </w:pPr>
      <w:r>
        <w:rPr>
          <w:rFonts w:ascii="Arial" w:cs="Arial" w:eastAsia="Arial" w:hAnsi="Arial"/>
          <w:sz w:val="16"/>
          <w:szCs w:val="16"/>
          <w:color w:val="auto"/>
        </w:rPr>
        <w:t xml:space="preserve">The Company has delivered to the Rights Agent an Officer’s Certificate, stating that such consolidation, merger, conveyance, transfer or lease complies with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that all conditions precedent herein provided for relating to such transaction have been complied with.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000"/>
          </w:cols>
          <w:pgMar w:left="440" w:top="274" w:right="459" w:bottom="1440" w:gutter="0" w:footer="0" w:header="0"/>
        </w:sectPr>
      </w:pPr>
    </w:p>
    <w:bookmarkStart w:id="323" w:name="page324"/>
    <w:bookmarkEnd w:id="32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6.2 Successor Substituted</w:t>
      </w:r>
      <w:r>
        <w:rPr>
          <w:rFonts w:ascii="Arial" w:cs="Arial" w:eastAsia="Arial" w:hAnsi="Arial"/>
          <w:sz w:val="18"/>
          <w:szCs w:val="18"/>
          <w:color w:val="auto"/>
        </w:rPr>
        <w:t>.</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Upon any consolidation of or merger by the Company with or into any other Person, or any conveyance, transfer or lease of the properties and assets substantially as an entirety to any Person in accordance with </w:t>
      </w:r>
      <w:r>
        <w:rPr>
          <w:rFonts w:ascii="Arial" w:cs="Arial" w:eastAsia="Arial" w:hAnsi="Arial"/>
          <w:sz w:val="18"/>
          <w:szCs w:val="18"/>
          <w:u w:val="single" w:color="auto"/>
          <w:color w:val="auto"/>
        </w:rPr>
        <w:t>Section 6.1</w:t>
      </w:r>
      <w:r>
        <w:rPr>
          <w:rFonts w:ascii="Arial" w:cs="Arial" w:eastAsia="Arial" w:hAnsi="Arial"/>
          <w:sz w:val="18"/>
          <w:szCs w:val="18"/>
          <w:color w:val="auto"/>
        </w:rPr>
        <w:t>, the Surviving Person shall succeed to, and be substituted for, and may exercise every right and power of, and shall assume all of the obligations of the Company under this Agreement with the same effect as if the Surviving Person had been named as the Company herein.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7.1 Notices to Rights Agent and to the Company</w:t>
      </w:r>
      <w:r>
        <w:rPr>
          <w:rFonts w:ascii="Arial" w:cs="Arial" w:eastAsia="Arial" w:hAnsi="Arial"/>
          <w:sz w:val="18"/>
          <w:szCs w:val="18"/>
          <w:color w:val="auto"/>
        </w:rPr>
        <w:t>. All notices and other communications hereunder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Pacific Time, otherwise on the next succeeding Business Day, in each case to the intended recipient as set forth below:</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Rights Agent,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1010 El Camino Real – Suite 360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805 Las Cimas Parkway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Austin, TX 78746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Jonathan Alspaugh</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Address: jalspaugh@aeglea.com</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555 Mission St., Suite 3000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 94105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0940"/>
          </w:cols>
          <w:pgMar w:left="440" w:top="270" w:right="519" w:bottom="1440" w:gutter="0" w:footer="0" w:header="0"/>
        </w:sectPr>
      </w:pPr>
    </w:p>
    <w:bookmarkStart w:id="324" w:name="page325"/>
    <w:bookmarkEnd w:id="324"/>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Attention: Ryan Murr, Branden Berns, Chris Trester</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Address: rmurr@gibsondunn.com; bberns@gibsondunn.com; ctrester@gibsondunn.com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or email address as such Party may hereafter specify for the purpose by notice to the other Party.</w:t>
      </w:r>
    </w:p>
    <w:p>
      <w:pPr>
        <w:spacing w:after="0" w:line="221"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b w:val="1"/>
          <w:bCs w:val="1"/>
          <w:color w:val="auto"/>
        </w:rPr>
        <w:t>Section 7.2 Notice to Holders</w:t>
      </w:r>
      <w:r>
        <w:rPr>
          <w:rFonts w:ascii="Arial" w:cs="Arial" w:eastAsia="Arial" w:hAnsi="Arial"/>
          <w:sz w:val="18"/>
          <w:szCs w:val="18"/>
          <w:color w:val="auto"/>
        </w:rPr>
        <w:t>. All Notices required to be given to the Holders will be given (unless otherwise herein expressly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83" w:lineRule="exact"/>
        <w:rPr>
          <w:sz w:val="20"/>
          <w:szCs w:val="20"/>
          <w:color w:val="auto"/>
        </w:rPr>
      </w:pPr>
    </w:p>
    <w:p>
      <w:pPr>
        <w:ind w:right="340" w:firstLine="440"/>
        <w:spacing w:after="0" w:line="314" w:lineRule="auto"/>
        <w:rPr>
          <w:sz w:val="20"/>
          <w:szCs w:val="20"/>
          <w:color w:val="auto"/>
        </w:rPr>
      </w:pPr>
      <w:r>
        <w:rPr>
          <w:rFonts w:ascii="Arial" w:cs="Arial" w:eastAsia="Arial" w:hAnsi="Arial"/>
          <w:sz w:val="16"/>
          <w:szCs w:val="16"/>
          <w:b w:val="1"/>
          <w:bCs w:val="1"/>
          <w:color w:val="auto"/>
        </w:rPr>
        <w:t>Section 7.3 Entire Agreement</w:t>
      </w:r>
      <w:r>
        <w:rPr>
          <w:rFonts w:ascii="Arial" w:cs="Arial" w:eastAsia="Arial" w:hAnsi="Arial"/>
          <w:sz w:val="16"/>
          <w:szCs w:val="16"/>
          <w:color w:val="auto"/>
        </w:rPr>
        <w:t>. As between the Company and the Rights Agent, this Agreement constitutes the entire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4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Section 7.4 Merger or Consolidation or Change of Name of Rights Agent</w:t>
      </w:r>
      <w:r>
        <w:rPr>
          <w:rFonts w:ascii="Arial" w:cs="Arial" w:eastAsia="Arial" w:hAnsi="Arial"/>
          <w:sz w:val="17"/>
          <w:szCs w:val="17"/>
          <w:color w:val="auto"/>
        </w:rPr>
        <w:t>. Any Person into which the Rights Agent or any successor Rights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The purchase of all or substantially all of the Rights Agent’s assets employed in the performance of transfer agent activities shall be deemed a merger or consolidation for purposes of this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172"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b w:val="1"/>
          <w:bCs w:val="1"/>
          <w:color w:val="auto"/>
        </w:rPr>
        <w:t>Section 7.5 Successors and Assigns</w:t>
      </w:r>
      <w:r>
        <w:rPr>
          <w:rFonts w:ascii="Arial" w:cs="Arial" w:eastAsia="Arial" w:hAnsi="Arial"/>
          <w:sz w:val="16"/>
          <w:szCs w:val="16"/>
          <w:color w:val="auto"/>
        </w:rPr>
        <w:t>. This Agreement will be binding upon, and will be enforceable by and inure solely to the benefit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the Company and the Rights Agent and their respective successors and assigns. Except for assignments pursuant to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the Rights Agent may not assign this Agreement without the Company’s prior written consent. Subject to </w:t>
      </w:r>
      <w:r>
        <w:rPr>
          <w:rFonts w:ascii="Arial" w:cs="Arial" w:eastAsia="Arial" w:hAnsi="Arial"/>
          <w:sz w:val="16"/>
          <w:szCs w:val="16"/>
          <w:u w:val="single" w:color="auto"/>
          <w:color w:val="auto"/>
        </w:rPr>
        <w:t>Section 5.1(a)(ii)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Arial" w:cs="Arial" w:eastAsia="Arial" w:hAnsi="Arial"/>
          <w:sz w:val="16"/>
          <w:szCs w:val="16"/>
          <w:b w:val="1"/>
          <w:bCs w:val="1"/>
          <w:color w:val="auto"/>
        </w:rPr>
        <w:t>Assignee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will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0980"/>
          </w:cols>
          <w:pgMar w:left="440" w:top="274" w:right="479" w:bottom="1440" w:gutter="0" w:footer="0" w:header="0"/>
        </w:sectPr>
      </w:pPr>
    </w:p>
    <w:bookmarkStart w:id="325" w:name="page326"/>
    <w:bookmarkEnd w:id="325"/>
    <w:p>
      <w:pPr>
        <w:ind w:right="10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7.6 Benefits of Agreement; Action by Acting Holders</w:t>
      </w:r>
      <w:r>
        <w:rPr>
          <w:rFonts w:ascii="Arial" w:cs="Arial" w:eastAsia="Arial" w:hAnsi="Arial"/>
          <w:sz w:val="17"/>
          <w:szCs w:val="17"/>
          <w:color w:val="auto"/>
        </w:rPr>
        <w:t>. Nothing in this Agreement, express or implied, will give to any Person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7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Section 7.7 Governing Law</w:t>
      </w:r>
      <w:r>
        <w:rPr>
          <w:rFonts w:ascii="Arial" w:cs="Arial" w:eastAsia="Arial" w:hAnsi="Arial"/>
          <w:sz w:val="18"/>
          <w:szCs w:val="18"/>
          <w:color w:val="auto"/>
        </w:rPr>
        <w:t>. This Agreement and the CVRs will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regardless of the Laws that might otherwise govern under applicable principles of conflicts of laws.</w:t>
      </w:r>
    </w:p>
    <w:p>
      <w:pPr>
        <w:spacing w:after="0" w:line="162"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Section 7.8 Jurisdiction</w:t>
      </w:r>
      <w:r>
        <w:rPr>
          <w:rFonts w:ascii="Arial" w:cs="Arial" w:eastAsia="Arial" w:hAnsi="Arial"/>
          <w:sz w:val="16"/>
          <w:szCs w:val="16"/>
          <w:color w:val="auto"/>
        </w:rPr>
        <w:t>. In any action or proceeding between any of the parties hereto arising out of or relating to this Agreement or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transactions contemplated hereby, each of the parties hereto: (a) irrevocably and unconditionally consents and submits to the exclusive jurisdiction and venue of the Chancery Court of the State of Delaware, County of New Castle,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Arial" w:cs="Arial" w:eastAsia="Arial" w:hAnsi="Arial"/>
          <w:sz w:val="16"/>
          <w:szCs w:val="16"/>
          <w:u w:val="single" w:color="auto"/>
          <w:color w:val="auto"/>
        </w:rPr>
        <w:t>Section 7.8</w:t>
      </w:r>
      <w:r>
        <w:rPr>
          <w:rFonts w:ascii="Arial" w:cs="Arial" w:eastAsia="Arial" w:hAnsi="Arial"/>
          <w:sz w:val="16"/>
          <w:szCs w:val="16"/>
          <w:color w:val="auto"/>
        </w:rPr>
        <w:t>;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of this Agreement.</w:t>
      </w:r>
    </w:p>
    <w:p>
      <w:pPr>
        <w:spacing w:after="0" w:line="20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 xml:space="preserve">Section 7.9 WAIVER OF JURY TRIAL.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7.9</w:t>
      </w:r>
      <w:r>
        <w:rPr>
          <w:rFonts w:ascii="Arial" w:cs="Arial" w:eastAsia="Arial" w:hAnsi="Arial"/>
          <w:sz w:val="18"/>
          <w:szCs w:val="18"/>
          <w:b w:val="1"/>
          <w:bCs w:val="1"/>
          <w:color w:val="auto"/>
        </w:rPr>
        <w:t>.</w:t>
      </w:r>
    </w:p>
    <w:p>
      <w:pPr>
        <w:spacing w:after="0" w:line="192"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Section 7.10 Severability Clause</w:t>
      </w:r>
      <w:r>
        <w:rPr>
          <w:rFonts w:ascii="Arial" w:cs="Arial" w:eastAsia="Arial" w:hAnsi="Arial"/>
          <w:sz w:val="18"/>
          <w:szCs w:val="18"/>
          <w:color w:val="auto"/>
        </w:rPr>
        <w:t>. Any term or provision of this Agreement that is invalid or unenforceable in any situation in any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0960"/>
          </w:cols>
          <w:pgMar w:left="440" w:top="270" w:right="499" w:bottom="1440" w:gutter="0" w:footer="0" w:header="0"/>
        </w:sectPr>
      </w:pPr>
    </w:p>
    <w:bookmarkStart w:id="326" w:name="page327"/>
    <w:bookmarkEnd w:id="32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Section 7.11 Counterparts; Effectiveness</w:t>
      </w:r>
      <w:r>
        <w:rPr>
          <w:rFonts w:ascii="Arial" w:cs="Arial" w:eastAsia="Arial" w:hAnsi="Arial"/>
          <w:sz w:val="17"/>
          <w:szCs w:val="17"/>
          <w:color w:val="auto"/>
        </w:rPr>
        <w:t>. This Agreement may be executed in several counterparts, each of which shall be deemed an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of which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7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7.12 Termination</w:t>
      </w:r>
      <w:r>
        <w:rPr>
          <w:rFonts w:ascii="Arial" w:cs="Arial" w:eastAsia="Arial" w:hAnsi="Arial"/>
          <w:sz w:val="18"/>
          <w:szCs w:val="18"/>
          <w:color w:val="auto"/>
        </w:rPr>
        <w:t>. This Agreement will automatically terminate and be of no further force or effect and,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to the extent earned prior to the termination of this Agreement, and the provisions applicable thereto will survive the expiration or termination of this Agreement until such CVR Payments have been made, if applicable.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7.13 Construction</w:t>
      </w:r>
      <w:r>
        <w:rPr>
          <w:rFonts w:ascii="Arial" w:cs="Arial" w:eastAsia="Arial" w:hAnsi="Arial"/>
          <w:sz w:val="18"/>
          <w:szCs w:val="18"/>
          <w:color w:val="auto"/>
        </w:rPr>
        <w:t>.</w:t>
      </w:r>
    </w:p>
    <w:p>
      <w:pPr>
        <w:spacing w:after="0" w:line="229" w:lineRule="exact"/>
        <w:rPr>
          <w:sz w:val="20"/>
          <w:szCs w:val="20"/>
          <w:color w:val="auto"/>
        </w:rPr>
      </w:pPr>
    </w:p>
    <w:p>
      <w:pPr>
        <w:ind w:right="380" w:firstLine="987"/>
        <w:spacing w:after="0" w:line="263" w:lineRule="auto"/>
        <w:tabs>
          <w:tab w:leader="none" w:pos="1246"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3" w:lineRule="exact"/>
        <w:rPr>
          <w:rFonts w:ascii="Arial" w:cs="Arial" w:eastAsia="Arial" w:hAnsi="Arial"/>
          <w:sz w:val="18"/>
          <w:szCs w:val="18"/>
          <w:b w:val="1"/>
          <w:bCs w:val="1"/>
          <w:color w:val="auto"/>
        </w:rPr>
      </w:pPr>
    </w:p>
    <w:p>
      <w:pPr>
        <w:ind w:right="100" w:firstLine="987"/>
        <w:spacing w:after="0" w:line="277" w:lineRule="auto"/>
        <w:tabs>
          <w:tab w:leader="none" w:pos="1256"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b w:val="1"/>
          <w:bCs w:val="1"/>
          <w:color w:val="auto"/>
        </w:rPr>
      </w:pPr>
    </w:p>
    <w:p>
      <w:pPr>
        <w:ind w:right="40" w:firstLine="987"/>
        <w:spacing w:after="0" w:line="277" w:lineRule="auto"/>
        <w:tabs>
          <w:tab w:leader="none" w:pos="1236"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D-21</w:t>
      </w:r>
    </w:p>
    <w:p>
      <w:pPr>
        <w:sectPr>
          <w:pgSz w:w="11900" w:h="16838" w:orient="portrait"/>
          <w:cols w:equalWidth="0" w:num="1">
            <w:col w:w="11000"/>
          </w:cols>
          <w:pgMar w:left="440" w:top="274" w:right="459" w:bottom="1440" w:gutter="0" w:footer="0" w:header="0"/>
        </w:sectPr>
      </w:pPr>
    </w:p>
    <w:bookmarkStart w:id="327" w:name="page328"/>
    <w:bookmarkEnd w:id="327"/>
    <w:p>
      <w:pPr>
        <w:jc w:val="both"/>
        <w:ind w:left="-60" w:right="160" w:firstLine="987"/>
        <w:spacing w:after="0" w:line="259" w:lineRule="auto"/>
        <w:tabs>
          <w:tab w:leader="none" w:pos="1196"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186" w:lineRule="exact"/>
        <w:rPr>
          <w:rFonts w:ascii="Arial" w:cs="Arial" w:eastAsia="Arial" w:hAnsi="Arial"/>
          <w:sz w:val="18"/>
          <w:szCs w:val="18"/>
          <w:b w:val="1"/>
          <w:bCs w:val="1"/>
          <w:color w:val="auto"/>
        </w:rPr>
      </w:pPr>
    </w:p>
    <w:p>
      <w:pPr>
        <w:ind w:left="-60" w:firstLine="987"/>
        <w:spacing w:after="0" w:line="263" w:lineRule="auto"/>
        <w:tabs>
          <w:tab w:leader="none" w:pos="1176"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A period of time is to be computed as beginning on the day following the event that began the period and ending at 4:30 p.m. (Pacific Time) on the last day of the period, if the last day of the period is a Business Day, or at 4:30 p.m. (Pacific Time) on the next Business Day if the last day of the period is not a Business Day.</w:t>
      </w:r>
    </w:p>
    <w:p>
      <w:pPr>
        <w:spacing w:after="0" w:line="183" w:lineRule="exact"/>
        <w:rPr>
          <w:rFonts w:ascii="Arial" w:cs="Arial" w:eastAsia="Arial" w:hAnsi="Arial"/>
          <w:sz w:val="18"/>
          <w:szCs w:val="18"/>
          <w:b w:val="1"/>
          <w:bCs w:val="1"/>
          <w:color w:val="auto"/>
        </w:rPr>
      </w:pPr>
    </w:p>
    <w:p>
      <w:pPr>
        <w:jc w:val="both"/>
        <w:ind w:left="-60" w:right="20" w:firstLine="987"/>
        <w:spacing w:after="0" w:line="301" w:lineRule="auto"/>
        <w:tabs>
          <w:tab w:leader="none" w:pos="1156" w:val="left"/>
        </w:tabs>
        <w:numPr>
          <w:ilvl w:val="0"/>
          <w:numId w:val="225"/>
        </w:numPr>
        <w:rPr>
          <w:rFonts w:ascii="Arial" w:cs="Arial" w:eastAsia="Arial" w:hAnsi="Arial"/>
          <w:sz w:val="16"/>
          <w:szCs w:val="16"/>
          <w:b w:val="1"/>
          <w:bCs w:val="1"/>
          <w:color w:val="auto"/>
        </w:rPr>
      </w:pPr>
      <w:r>
        <w:rPr>
          <w:rFonts w:ascii="Arial" w:cs="Arial" w:eastAsia="Arial" w:hAnsi="Arial"/>
          <w:sz w:val="16"/>
          <w:szCs w:val="16"/>
          <w:color w:val="auto"/>
        </w:rPr>
        <w:t>Any reference in this Agreement to a date or time shall be deemed to be such date or time in San Francisco, California,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spacing w:after="0" w:line="157" w:lineRule="exact"/>
        <w:rPr>
          <w:rFonts w:ascii="Arial" w:cs="Arial" w:eastAsia="Arial" w:hAnsi="Arial"/>
          <w:sz w:val="16"/>
          <w:szCs w:val="16"/>
          <w:b w:val="1"/>
          <w:bCs w:val="1"/>
          <w:color w:val="auto"/>
        </w:rPr>
      </w:pPr>
    </w:p>
    <w:p>
      <w:pPr>
        <w:ind w:left="1180" w:hanging="253"/>
        <w:spacing w:after="0"/>
        <w:tabs>
          <w:tab w:leader="none" w:pos="1180"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References to “cash,” “dollars” or “$” are to U.S.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D-22</w:t>
      </w:r>
    </w:p>
    <w:p>
      <w:pPr>
        <w:sectPr>
          <w:pgSz w:w="11900" w:h="16838" w:orient="portrait"/>
          <w:cols w:equalWidth="0" w:num="1">
            <w:col w:w="10880"/>
          </w:cols>
          <w:pgMar w:left="500" w:top="274" w:right="51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each of the parties has caused this Agreement to be executed as of the day and year first above written.</w:t>
      </w: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AEGLEA BIOTHERAPEUTICS,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22860</wp:posOffset>
            </wp:positionV>
            <wp:extent cx="24599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22860</wp:posOffset>
            </wp:positionV>
            <wp:extent cx="24599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-121920</wp:posOffset>
            </wp:positionV>
            <wp:extent cx="24599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64"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[Signature Page to Contingent Value Rights Agreement]</w:t>
      </w:r>
    </w:p>
    <w:p>
      <w:pPr>
        <w:sectPr>
          <w:pgSz w:w="11900" w:h="16838" w:orient="portrait"/>
          <w:cols w:equalWidth="0" w:num="1">
            <w:col w:w="10460"/>
          </w:cols>
          <w:pgMar w:left="880" w:top="270" w:right="55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Form of Parent Support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0" w:right="1440"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Privileged and Confidential</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Final Form</w:t>
      </w:r>
    </w:p>
    <w:p>
      <w:pPr>
        <w:spacing w:after="0" w:line="200" w:lineRule="exact"/>
        <w:rPr>
          <w:sz w:val="20"/>
          <w:szCs w:val="20"/>
          <w:color w:val="auto"/>
        </w:rPr>
      </w:pPr>
    </w:p>
    <w:p>
      <w:pPr>
        <w:spacing w:after="0" w:line="223"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FORM OF PARENT STOCKHOLDER SUPPORT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SUPPORT AGREEMENT</w:t>
      </w:r>
    </w:p>
    <w:p>
      <w:pPr>
        <w:spacing w:after="0" w:line="225" w:lineRule="exact"/>
        <w:rPr>
          <w:sz w:val="20"/>
          <w:szCs w:val="20"/>
          <w:color w:val="auto"/>
        </w:rPr>
      </w:pPr>
    </w:p>
    <w:p>
      <w:pPr>
        <w:ind w:left="4" w:right="260"/>
        <w:spacing w:after="0" w:line="266" w:lineRule="auto"/>
        <w:rPr>
          <w:sz w:val="20"/>
          <w:szCs w:val="20"/>
          <w:color w:val="auto"/>
        </w:rPr>
      </w:pPr>
      <w:r>
        <w:rPr>
          <w:rFonts w:ascii="Arial" w:cs="Arial" w:eastAsia="Arial" w:hAnsi="Arial"/>
          <w:sz w:val="18"/>
          <w:szCs w:val="18"/>
          <w:b w:val="1"/>
          <w:bCs w:val="1"/>
          <w:color w:val="auto"/>
        </w:rPr>
        <w:t xml:space="preserve">THIS SUPPORT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June [ ], 2023, is made by and among Aeglea BioTherapeutics,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Spyre Therapeutics,Inc.,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holder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 of shares of capital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Parent.</w:t>
      </w:r>
    </w:p>
    <w:p>
      <w:pPr>
        <w:spacing w:after="0" w:line="176" w:lineRule="exact"/>
        <w:rPr>
          <w:sz w:val="20"/>
          <w:szCs w:val="20"/>
          <w:color w:val="auto"/>
        </w:rPr>
      </w:pPr>
    </w:p>
    <w:p>
      <w:pPr>
        <w:ind w:left="4" w:right="20" w:firstLine="991"/>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Aspen Merger Sub I, Inc., a Delaware corporation and a wholly owned subsidiary of Parent (“</w:t>
      </w:r>
      <w:r>
        <w:rPr>
          <w:rFonts w:ascii="Arial" w:cs="Arial" w:eastAsia="Arial" w:hAnsi="Arial"/>
          <w:sz w:val="18"/>
          <w:szCs w:val="18"/>
          <w:b w:val="1"/>
          <w:bCs w:val="1"/>
          <w:i w:val="1"/>
          <w:iCs w:val="1"/>
          <w:color w:val="auto"/>
        </w:rPr>
        <w:t>First Merger Sub</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Sequoia Merger Sub II, LLC, a Delaware limited liability company and a wholly owned subsidiary of Parent (“</w:t>
      </w:r>
      <w:r>
        <w:rPr>
          <w:rFonts w:ascii="Arial" w:cs="Arial" w:eastAsia="Arial" w:hAnsi="Arial"/>
          <w:sz w:val="18"/>
          <w:szCs w:val="18"/>
          <w:b w:val="1"/>
          <w:bCs w:val="1"/>
          <w:i w:val="1"/>
          <w:iCs w:val="1"/>
          <w:color w:val="auto"/>
        </w:rPr>
        <w:t>Second Merger Sub</w:t>
      </w:r>
      <w:r>
        <w:rPr>
          <w:rFonts w:ascii="Arial" w:cs="Arial" w:eastAsia="Arial" w:hAnsi="Arial"/>
          <w:sz w:val="18"/>
          <w:szCs w:val="18"/>
          <w:color w:val="auto"/>
        </w:rPr>
        <w:t>”), and the Company, have entered into an Agreement and Plan of Merger, dated of even date herewith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providing for the merger of First Merger Sub with and into the Company (the “</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and the merger of the Company with and into Second Merger Sub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p>
      <w:pPr>
        <w:spacing w:after="0" w:line="183" w:lineRule="exact"/>
        <w:rPr>
          <w:sz w:val="20"/>
          <w:szCs w:val="20"/>
          <w:color w:val="auto"/>
        </w:rPr>
      </w:pPr>
    </w:p>
    <w:p>
      <w:pPr>
        <w:ind w:left="4" w:right="160" w:firstLine="99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Stockholder beneficially owns and has sole or shared voting power with respect to the number of Shares, and holds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shares of Parent Common Stock (“</w:t>
      </w:r>
      <w:r>
        <w:rPr>
          <w:rFonts w:ascii="Arial" w:cs="Arial" w:eastAsia="Arial" w:hAnsi="Arial"/>
          <w:sz w:val="16"/>
          <w:szCs w:val="16"/>
          <w:b w:val="1"/>
          <w:bCs w:val="1"/>
          <w:i w:val="1"/>
          <w:iCs w:val="1"/>
          <w:color w:val="auto"/>
        </w:rPr>
        <w:t>Parent Options</w:t>
      </w:r>
      <w:r>
        <w:rPr>
          <w:rFonts w:ascii="Arial" w:cs="Arial" w:eastAsia="Arial" w:hAnsi="Arial"/>
          <w:sz w:val="16"/>
          <w:szCs w:val="16"/>
          <w:color w:val="auto"/>
        </w:rPr>
        <w:t>”) and/or restricted stock units to acquire shares of Parent Common Stock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in each case in the number of Shares indicated opposite Stockholder’s name on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attached hereto;</w:t>
      </w:r>
    </w:p>
    <w:p>
      <w:pPr>
        <w:spacing w:after="0" w:line="142" w:lineRule="exact"/>
        <w:rPr>
          <w:sz w:val="20"/>
          <w:szCs w:val="20"/>
          <w:color w:val="auto"/>
        </w:rPr>
      </w:pPr>
    </w:p>
    <w:p>
      <w:pPr>
        <w:ind w:left="4" w:right="280" w:firstLine="99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an inducement and a condition to the willingness of Parent, First Merger Sub, Second Merger Sub and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 into the Merger Agreement, and in consideration of the substantial expenses incurred and to be incurred by them in connection therewith, Stockholder has agreed to enter into and perform this Agreement; and</w:t>
      </w:r>
    </w:p>
    <w:p>
      <w:pPr>
        <w:spacing w:after="0" w:line="176" w:lineRule="exact"/>
        <w:rPr>
          <w:sz w:val="20"/>
          <w:szCs w:val="20"/>
          <w:color w:val="auto"/>
        </w:rPr>
      </w:pPr>
    </w:p>
    <w:p>
      <w:pPr>
        <w:ind w:left="4" w:right="580" w:firstLine="99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capitalized terms used in this Agreement without definition herein shall have the meanings ascribed to them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w:t>
      </w:r>
    </w:p>
    <w:p>
      <w:pPr>
        <w:spacing w:after="0" w:line="162" w:lineRule="exact"/>
        <w:rPr>
          <w:sz w:val="20"/>
          <w:szCs w:val="20"/>
          <w:color w:val="auto"/>
        </w:rPr>
      </w:pPr>
    </w:p>
    <w:p>
      <w:pPr>
        <w:ind w:left="4" w:right="540" w:firstLine="991"/>
        <w:spacing w:after="0" w:line="289"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and as a condition to, Parent, First Merger Sub, Second Merger Sub and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entering into the Merger Agreement and proceeding with the transactions contemplated thereby, and in consideration of the substantial expenses incurred and to be incurred by them in connection therewith, Stockholder, Parent and the Company agree as follows:</w:t>
      </w:r>
    </w:p>
    <w:p>
      <w:pPr>
        <w:spacing w:after="0" w:line="67" w:lineRule="exact"/>
        <w:rPr>
          <w:sz w:val="20"/>
          <w:szCs w:val="20"/>
          <w:color w:val="auto"/>
        </w:rPr>
      </w:pPr>
    </w:p>
    <w:p>
      <w:pPr>
        <w:ind w:left="424" w:right="120" w:hanging="424"/>
        <w:spacing w:after="0" w:line="311" w:lineRule="auto"/>
        <w:tabs>
          <w:tab w:leader="none" w:pos="424"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Agreement to Vote Shares</w:t>
      </w:r>
      <w:r>
        <w:rPr>
          <w:rFonts w:ascii="Arial" w:cs="Arial" w:eastAsia="Arial" w:hAnsi="Arial"/>
          <w:sz w:val="16"/>
          <w:szCs w:val="16"/>
          <w:color w:val="auto"/>
        </w:rPr>
        <w:t xml:space="preserve">. Stockholder agrees that, prior to the Expiration Date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at any meeting of the stockholders of Parent or any adjournment or postponement thereof, or in connection with any written consent of the stockholders of Parent, with respect to the Parent Stockholder Matters, Stockholder shall, or shall cause the holder of record on any applicable record date to:</w:t>
      </w:r>
    </w:p>
    <w:p>
      <w:pPr>
        <w:spacing w:after="0" w:line="54" w:lineRule="exact"/>
        <w:rPr>
          <w:rFonts w:ascii="Arial" w:cs="Arial" w:eastAsia="Arial" w:hAnsi="Arial"/>
          <w:sz w:val="16"/>
          <w:szCs w:val="16"/>
          <w:color w:val="auto"/>
        </w:rPr>
      </w:pPr>
    </w:p>
    <w:p>
      <w:pPr>
        <w:ind w:left="964" w:right="100" w:hanging="532"/>
        <w:spacing w:after="0" w:line="277" w:lineRule="auto"/>
        <w:tabs>
          <w:tab w:leader="none" w:pos="96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appear at such meeting or otherwise cause the Shares and any New Shares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to be counted as present thereat (in person or by proxy) for purposes of calculating a quorum;</w:t>
      </w:r>
    </w:p>
    <w:p>
      <w:pPr>
        <w:spacing w:after="0" w:line="75" w:lineRule="exact"/>
        <w:rPr>
          <w:rFonts w:ascii="Arial" w:cs="Arial" w:eastAsia="Arial" w:hAnsi="Arial"/>
          <w:sz w:val="18"/>
          <w:szCs w:val="18"/>
          <w:color w:val="auto"/>
        </w:rPr>
      </w:pPr>
    </w:p>
    <w:p>
      <w:pPr>
        <w:ind w:left="964" w:right="20" w:hanging="532"/>
        <w:spacing w:after="0" w:line="269" w:lineRule="auto"/>
        <w:tabs>
          <w:tab w:leader="none" w:pos="964" w:val="left"/>
        </w:tabs>
        <w:numPr>
          <w:ilvl w:val="1"/>
          <w:numId w:val="226"/>
        </w:numPr>
        <w:rPr>
          <w:rFonts w:ascii="Arial" w:cs="Arial" w:eastAsia="Arial" w:hAnsi="Arial"/>
          <w:sz w:val="17"/>
          <w:szCs w:val="17"/>
          <w:color w:val="auto"/>
        </w:rPr>
      </w:pPr>
      <w:r>
        <w:rPr>
          <w:rFonts w:ascii="Arial" w:cs="Arial" w:eastAsia="Arial" w:hAnsi="Arial"/>
          <w:sz w:val="17"/>
          <w:szCs w:val="17"/>
          <w:color w:val="auto"/>
        </w:rPr>
        <w:t>from and after the date hereof until the Expiration Date, vote (or cause to be voted), or deliver a written consent (or cause a written consent to be delivered) covering all of the Shares and any New Shares that Stockholder shall be entitled to so vote: (i) in favor of the Parent Stockholder Matters and any matter that could reasonably be expected to facilitate the Parent Stockholder Matters; (ii) against any proposal to remove the limitation initially set at the discretion of holders of Parent Convertible Preferred Stock between 4.99% and 19.99% of the number of shares of Parent Common Stock outstanding immediately after giving effect to the issuance of shares of Parent Common Stock upon conversion (the “</w:t>
      </w:r>
      <w:r>
        <w:rPr>
          <w:rFonts w:ascii="Arial" w:cs="Arial" w:eastAsia="Arial" w:hAnsi="Arial"/>
          <w:sz w:val="17"/>
          <w:szCs w:val="17"/>
          <w:b w:val="1"/>
          <w:bCs w:val="1"/>
          <w:i w:val="1"/>
          <w:iCs w:val="1"/>
          <w:color w:val="auto"/>
        </w:rPr>
        <w:t>Beneficial Ownership Limitation</w:t>
      </w:r>
      <w:r>
        <w:rPr>
          <w:rFonts w:ascii="Arial" w:cs="Arial" w:eastAsia="Arial" w:hAnsi="Arial"/>
          <w:sz w:val="17"/>
          <w:szCs w:val="17"/>
          <w:color w:val="auto"/>
        </w:rPr>
        <w:t>”) restricting such holders from beneficially owning a number of shares of Parent Common Stock in excess of the Beneficial Ownership Limitation or any agreement, transaction or other matter that is intended to, or would reasonably be expected to, impede, interfere with, delay, postpone, discourage or materially and adversely affect the consummation of the Parent Stockholder Matters; and (iii) to approve any proposal to adjourn or postpone the meeting to a later date, if there are not sufficient votes for the approval of the Parent Stockholder Matters on the date on which such meeting is held. Stockholder shall not take or commit or agree to take any action inconsistent with the foregoing.</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024"/>
          </w:cols>
          <w:pgMar w:left="436" w:top="274" w:right="439" w:bottom="1440" w:gutter="0" w:footer="0" w:header="0"/>
        </w:sectPr>
      </w:pPr>
    </w:p>
    <w:bookmarkStart w:id="331" w:name="page332"/>
    <w:bookmarkEnd w:id="331"/>
    <w:p>
      <w:pPr>
        <w:ind w:left="424" w:right="60" w:hanging="424"/>
        <w:spacing w:after="0" w:line="291" w:lineRule="auto"/>
        <w:tabs>
          <w:tab w:leader="none" w:pos="424"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Expiration Date</w:t>
      </w:r>
      <w:r>
        <w:rPr>
          <w:rFonts w:ascii="Arial" w:cs="Arial" w:eastAsia="Arial" w:hAnsi="Arial"/>
          <w:sz w:val="16"/>
          <w:szCs w:val="16"/>
          <w:color w:val="auto"/>
        </w:rPr>
        <w:t>. As used in this Agreement, the term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shall mean the earlier to occur of (a) the effective time of the approval of the Parent Stockholder Matters, (b) upon mutual written agreement of the Company, the Parent and Stockholder to terminate this Agreement or</w:t>
      </w:r>
    </w:p>
    <w:p>
      <w:pPr>
        <w:ind w:left="424"/>
        <w:spacing w:after="0"/>
        <w:rPr>
          <w:rFonts w:ascii="Arial" w:cs="Arial" w:eastAsia="Arial" w:hAnsi="Arial"/>
          <w:sz w:val="16"/>
          <w:szCs w:val="16"/>
          <w:color w:val="auto"/>
        </w:rPr>
      </w:pPr>
      <w:r>
        <w:rPr>
          <w:rFonts w:ascii="Arial" w:cs="Arial" w:eastAsia="Arial" w:hAnsi="Arial"/>
          <w:sz w:val="18"/>
          <w:szCs w:val="18"/>
          <w:color w:val="auto"/>
        </w:rPr>
        <w:t>(c) nine (9) months following the date of this Agreement.</w:t>
      </w:r>
    </w:p>
    <w:p>
      <w:pPr>
        <w:spacing w:after="0" w:line="116" w:lineRule="exact"/>
        <w:rPr>
          <w:rFonts w:ascii="Arial" w:cs="Arial" w:eastAsia="Arial" w:hAnsi="Arial"/>
          <w:sz w:val="16"/>
          <w:szCs w:val="16"/>
          <w:color w:val="auto"/>
        </w:rPr>
      </w:pPr>
    </w:p>
    <w:p>
      <w:pPr>
        <w:ind w:left="424" w:hanging="424"/>
        <w:spacing w:after="0" w:line="275" w:lineRule="auto"/>
        <w:tabs>
          <w:tab w:leader="none" w:pos="424"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Additional Purchases</w:t>
      </w:r>
      <w:r>
        <w:rPr>
          <w:rFonts w:ascii="Arial" w:cs="Arial" w:eastAsia="Arial" w:hAnsi="Arial"/>
          <w:sz w:val="17"/>
          <w:szCs w:val="17"/>
          <w:color w:val="auto"/>
        </w:rPr>
        <w:t>. Stockholder agrees that any shares of capital stock or other equity securities of Parent that Stockholder purchases or with respect to which Stockholder otherwise acquires sole or shared voting power (including any proxy) after the execution of this Agreement and prior to the Expiration Date, whether by the exercise of any Parent Options, settlement of Parent Restricted Stock Units or otherwise, including, without limitation, by gift, succession, in the event of a stock split or as a dividend or distribution of any Shares (“</w:t>
      </w:r>
      <w:r>
        <w:rPr>
          <w:rFonts w:ascii="Arial" w:cs="Arial" w:eastAsia="Arial" w:hAnsi="Arial"/>
          <w:sz w:val="17"/>
          <w:szCs w:val="17"/>
          <w:b w:val="1"/>
          <w:bCs w:val="1"/>
          <w:i w:val="1"/>
          <w:iCs w:val="1"/>
          <w:color w:val="auto"/>
        </w:rPr>
        <w:t>New Shares</w:t>
      </w:r>
      <w:r>
        <w:rPr>
          <w:rFonts w:ascii="Arial" w:cs="Arial" w:eastAsia="Arial" w:hAnsi="Arial"/>
          <w:sz w:val="17"/>
          <w:szCs w:val="17"/>
          <w:color w:val="auto"/>
        </w:rPr>
        <w:t>”), shall be subject to the terms and conditions of this Agreement to the same extent as if they constituted the Shares.</w:t>
      </w:r>
    </w:p>
    <w:p>
      <w:pPr>
        <w:spacing w:after="0" w:line="81" w:lineRule="exact"/>
        <w:rPr>
          <w:rFonts w:ascii="Arial" w:cs="Arial" w:eastAsia="Arial" w:hAnsi="Arial"/>
          <w:sz w:val="17"/>
          <w:szCs w:val="17"/>
          <w:color w:val="auto"/>
        </w:rPr>
      </w:pPr>
    </w:p>
    <w:p>
      <w:pPr>
        <w:ind w:left="424" w:hanging="424"/>
        <w:spacing w:after="0" w:line="284" w:lineRule="auto"/>
        <w:tabs>
          <w:tab w:leader="none" w:pos="424"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Share Transfers</w:t>
      </w:r>
      <w:r>
        <w:rPr>
          <w:rFonts w:ascii="Arial" w:cs="Arial" w:eastAsia="Arial" w:hAnsi="Arial"/>
          <w:sz w:val="16"/>
          <w:szCs w:val="16"/>
          <w:color w:val="auto"/>
        </w:rPr>
        <w:t xml:space="preserve">. From and after the date hereof until the Expiration Date, Stockholder shall not, directly or indirectly, (a) sell, assign, transfer, tender, or otherwise dispose of (including, without limitation, by the creation of any Liens (as defined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below))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without limitation,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(1) transfers by will or by operation of Law or other transfers for estate-planning purposes, in which case this Agreement shall bind the transferee, (2) with respect to Stockholder’s Parent Options which expire on or prior to the Expiration Date, transfers, sale, or other disposition of Shares or New Shares to Parent as payment for the (i) exercise price of Stockholder’s Parent Options and (ii) taxes applicable to the exercise of Stockholder’s Parent Options, (3) with respect to Stockholder’s Parent Restricted Stock Units, (i) transfers for the net settlement of Stockholder’s Parent Restricted Stock Units settled in Shares or New Shares (to pay any tax withholding obligations) or (ii) transfers for receipt upon settlement of Stockholder’s Parent Restricted Stock Units, and the sale of a sufficient number of such Shares acquired upon settlement of such securities as would generate sales proceeds sufficient to pay the aggregate taxes payable by Stockholder as a result of such settlement, (4) if Stockholder is a partnership or limited liability company, a transfer to one or more partners or members of Stockholder or to an Affiliated corporation, trust or other Entity under common control with Stockholder, or if Stockholder is a trust, a transfer to a beneficiary,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in each such case the applicable transferee has signed a voting agreement in substantially the form hereof, (5) transfers to another holder of the capital stock of the Company that has signed a voting agreement in substantially the form hereof, and (6) transfers, sales or other dispositions as the Company may otherwise agree in writing in its sole discretion. If any voluntary or involuntary transfer of any Shares or New Shares covered hereby shall occur (including a transfer or disposition permitted by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4(6)</w:t>
      </w:r>
      <w:r>
        <w:rPr>
          <w:rFonts w:ascii="Arial" w:cs="Arial" w:eastAsia="Arial" w:hAnsi="Arial"/>
          <w:sz w:val="16"/>
          <w:szCs w:val="16"/>
          <w:color w:val="auto"/>
        </w:rPr>
        <w:t>, sale by a Stockholder’s trustee in bankruptcy, or a sale to a purchaser at any creditor’s or court sale), (x) the transferee (which term, as used herein, shall include any and all transferees and subsequent transferees of the initial transferee) shall take and hold such Shares or New Shares subject to all of the restrictions, Liabilities and rights under this Agreement, which shall continue in full force and effect, and the transferee shall agree in writing to be bound by the terms and conditions of this Agreement and either the Stockholder or the transferee provides the Company with a copy of such agreement promptly upon consummation of any such transfer.</w:t>
      </w:r>
    </w:p>
    <w:p>
      <w:pPr>
        <w:spacing w:after="0" w:line="78" w:lineRule="exact"/>
        <w:rPr>
          <w:rFonts w:ascii="Arial" w:cs="Arial" w:eastAsia="Arial" w:hAnsi="Arial"/>
          <w:sz w:val="16"/>
          <w:szCs w:val="16"/>
          <w:color w:val="auto"/>
        </w:rPr>
      </w:pPr>
    </w:p>
    <w:p>
      <w:pPr>
        <w:ind w:left="424" w:hanging="424"/>
        <w:spacing w:after="0"/>
        <w:tabs>
          <w:tab w:leader="none" w:pos="424"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Stockholder</w:t>
      </w:r>
      <w:r>
        <w:rPr>
          <w:rFonts w:ascii="Arial" w:cs="Arial" w:eastAsia="Arial" w:hAnsi="Arial"/>
          <w:sz w:val="18"/>
          <w:szCs w:val="18"/>
          <w:color w:val="auto"/>
        </w:rPr>
        <w:t>. Stockholder hereby represents and warrants to Parent and the Company as follows:</w:t>
      </w:r>
    </w:p>
    <w:p>
      <w:pPr>
        <w:spacing w:after="0" w:line="131" w:lineRule="exact"/>
        <w:rPr>
          <w:sz w:val="20"/>
          <w:szCs w:val="20"/>
          <w:color w:val="auto"/>
        </w:rPr>
      </w:pPr>
    </w:p>
    <w:p>
      <w:pPr>
        <w:ind w:left="964" w:right="320" w:hanging="532"/>
        <w:spacing w:after="0" w:line="263" w:lineRule="auto"/>
        <w:tabs>
          <w:tab w:leader="none" w:pos="96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Stockholder is an Entity: (i) Stockholder is duly organized, validly existing and in good standing under the laws of the jurisdiction in which it is incorporated, organized or constituted, (ii) Stockholder has all necessary power and authority to execute and deliver this Agreement, to perform Stockholder’s obligations hereunder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004"/>
          </w:cols>
          <w:pgMar w:left="436" w:top="274" w:right="459" w:bottom="1440" w:gutter="0" w:footer="0" w:header="0"/>
        </w:sectPr>
      </w:pPr>
    </w:p>
    <w:bookmarkStart w:id="332" w:name="page333"/>
    <w:bookmarkEnd w:id="332"/>
    <w:p>
      <w:pPr>
        <w:ind w:left="984"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to consummate the transactions contemplated hereby, and (iii) the execution and delivery of this Agreement, performance of Stockholder’s obligations hereunder and the consummation of the transactions contemplated hereby by Stockholder have been duly authorized by all necessary action on the part of Stockholder and no other proceedings on the part of Stockholder are necessary to authorize this Agreement, or to consummate the transactions contemplated hereby. If Stockholder is an individual, Stockholder has the legal capacity to execute and deliver this Agreement, to perform Stockholder’s obligations hereunder and to consummate the transactions contemplated hereby;</w:t>
      </w:r>
    </w:p>
    <w:p>
      <w:pPr>
        <w:spacing w:after="0" w:line="98" w:lineRule="exact"/>
        <w:rPr>
          <w:sz w:val="20"/>
          <w:szCs w:val="20"/>
          <w:color w:val="auto"/>
        </w:rPr>
      </w:pPr>
    </w:p>
    <w:p>
      <w:pPr>
        <w:jc w:val="both"/>
        <w:ind w:left="964" w:right="80" w:hanging="532"/>
        <w:spacing w:after="0" w:line="301" w:lineRule="auto"/>
        <w:tabs>
          <w:tab w:leader="none" w:pos="964"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or on behalf of Stockholder and, assuming this Agreement constitutes a valid and binding agreement of the Company and Parent,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62" w:lineRule="exact"/>
        <w:rPr>
          <w:rFonts w:ascii="Arial" w:cs="Arial" w:eastAsia="Arial" w:hAnsi="Arial"/>
          <w:sz w:val="16"/>
          <w:szCs w:val="16"/>
          <w:color w:val="auto"/>
        </w:rPr>
      </w:pPr>
    </w:p>
    <w:p>
      <w:pPr>
        <w:ind w:left="964" w:right="80" w:hanging="532"/>
        <w:spacing w:after="0" w:line="257" w:lineRule="auto"/>
        <w:tabs>
          <w:tab w:leader="none" w:pos="96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Stockholder beneficially owns the number of Shares indicated opposite Stockholder’s name on </w:t>
      </w:r>
      <w:r>
        <w:rPr>
          <w:rFonts w:ascii="Arial" w:cs="Arial" w:eastAsia="Arial" w:hAnsi="Arial"/>
          <w:sz w:val="18"/>
          <w:szCs w:val="18"/>
          <w:u w:val="single" w:color="auto"/>
          <w:color w:val="auto"/>
        </w:rPr>
        <w:t>Schedule 1</w:t>
      </w:r>
      <w:r>
        <w:rPr>
          <w:rFonts w:ascii="Arial" w:cs="Arial" w:eastAsia="Arial" w:hAnsi="Arial"/>
          <w:sz w:val="18"/>
          <w:szCs w:val="18"/>
          <w:color w:val="auto"/>
        </w:rPr>
        <w:t>, and will own any New Shares, free and clear of any liens, claims, charges or other encumbrances or restrictions of any kind whatsoever (“</w:t>
      </w:r>
      <w:r>
        <w:rPr>
          <w:rFonts w:ascii="Arial" w:cs="Arial" w:eastAsia="Arial" w:hAnsi="Arial"/>
          <w:sz w:val="18"/>
          <w:szCs w:val="18"/>
          <w:b w:val="1"/>
          <w:bCs w:val="1"/>
          <w:i w:val="1"/>
          <w:iCs w:val="1"/>
          <w:color w:val="auto"/>
        </w:rPr>
        <w:t>Liens</w:t>
      </w:r>
      <w:r>
        <w:rPr>
          <w:rFonts w:ascii="Arial" w:cs="Arial" w:eastAsia="Arial" w:hAnsi="Arial"/>
          <w:sz w:val="18"/>
          <w:szCs w:val="18"/>
          <w:color w:val="auto"/>
        </w:rPr>
        <w:t>”), and has sole or shared, and otherwise unrestricted, voting power with respect to such Shares or New Shares and none of the Shares or New Shares is subject to any voting trust or other agreement, arrangement or restriction with respect to the voting of the Shares or the New Shares, except as contemplated by this Agreement;</w:t>
      </w:r>
    </w:p>
    <w:p>
      <w:pPr>
        <w:spacing w:after="0" w:line="93" w:lineRule="exact"/>
        <w:rPr>
          <w:rFonts w:ascii="Arial" w:cs="Arial" w:eastAsia="Arial" w:hAnsi="Arial"/>
          <w:sz w:val="18"/>
          <w:szCs w:val="18"/>
          <w:color w:val="auto"/>
        </w:rPr>
      </w:pPr>
    </w:p>
    <w:p>
      <w:pPr>
        <w:ind w:left="964" w:right="100" w:hanging="532"/>
        <w:spacing w:after="0" w:line="289" w:lineRule="auto"/>
        <w:tabs>
          <w:tab w:leader="none" w:pos="964"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execution and delivery of this Agreement by Stockholder does not, and the performance by Stockholder of his, her or its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except for any of the foregoing as would not reasonably be expected to prevent or delay the performance by Stockholder of his, her or its obligations under this Agreement in any material respect;</w:t>
      </w:r>
    </w:p>
    <w:p>
      <w:pPr>
        <w:spacing w:after="0" w:line="71" w:lineRule="exact"/>
        <w:rPr>
          <w:rFonts w:ascii="Arial" w:cs="Arial" w:eastAsia="Arial" w:hAnsi="Arial"/>
          <w:sz w:val="16"/>
          <w:szCs w:val="16"/>
          <w:color w:val="auto"/>
        </w:rPr>
      </w:pPr>
    </w:p>
    <w:p>
      <w:pPr>
        <w:ind w:left="964" w:hanging="532"/>
        <w:spacing w:after="0" w:line="275" w:lineRule="auto"/>
        <w:tabs>
          <w:tab w:leader="none" w:pos="964" w:val="left"/>
        </w:tabs>
        <w:numPr>
          <w:ilvl w:val="1"/>
          <w:numId w:val="229"/>
        </w:numPr>
        <w:rPr>
          <w:rFonts w:ascii="Arial" w:cs="Arial" w:eastAsia="Arial" w:hAnsi="Arial"/>
          <w:sz w:val="17"/>
          <w:szCs w:val="17"/>
          <w:color w:val="auto"/>
        </w:rPr>
      </w:pPr>
      <w:r>
        <w:rPr>
          <w:rFonts w:ascii="Arial" w:cs="Arial" w:eastAsia="Arial" w:hAnsi="Arial"/>
          <w:sz w:val="17"/>
          <w:szCs w:val="17"/>
          <w:color w:val="auto"/>
        </w:rPr>
        <w:t>the execution and delivery of this Agreement by Stockholder does not, and the performance of this Agreement by Stockholder does not and will not, require any consent, approval, authorization or permit of, or filing with or notification to, any Governmental Body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her or its obligations under this Agreement in any material respect;</w:t>
      </w:r>
    </w:p>
    <w:p>
      <w:pPr>
        <w:spacing w:after="0" w:line="81" w:lineRule="exact"/>
        <w:rPr>
          <w:rFonts w:ascii="Arial" w:cs="Arial" w:eastAsia="Arial" w:hAnsi="Arial"/>
          <w:sz w:val="17"/>
          <w:szCs w:val="17"/>
          <w:color w:val="auto"/>
        </w:rPr>
      </w:pPr>
    </w:p>
    <w:p>
      <w:pPr>
        <w:ind w:left="964" w:right="80" w:hanging="532"/>
        <w:spacing w:after="0" w:line="277" w:lineRule="auto"/>
        <w:tabs>
          <w:tab w:leader="none" w:pos="96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 investment banker, broker, finder or other intermediary is entitled to a fee or commission from Parent or the Company in respect of this Agreement based upon any Contract made by or on behalf of Stockholder; and</w:t>
      </w:r>
    </w:p>
    <w:p>
      <w:pPr>
        <w:spacing w:after="0" w:line="75"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as of the date of this Agreement, there is no Legal Proceeding pending or, to the knowledge of Stockholder, threatened against Stockholder that would reasonably be expected to prevent or delay the performance by Stockholder of his, her or its obligations under this Agreement in any material respect.</w:t>
      </w:r>
    </w:p>
    <w:p>
      <w:pPr>
        <w:spacing w:after="0" w:line="89" w:lineRule="exact"/>
        <w:rPr>
          <w:rFonts w:ascii="Arial" w:cs="Arial" w:eastAsia="Arial" w:hAnsi="Arial"/>
          <w:sz w:val="18"/>
          <w:szCs w:val="18"/>
          <w:color w:val="auto"/>
        </w:rPr>
      </w:pPr>
    </w:p>
    <w:p>
      <w:pPr>
        <w:ind w:left="424" w:right="140" w:hanging="424"/>
        <w:spacing w:after="0" w:line="275" w:lineRule="auto"/>
        <w:tabs>
          <w:tab w:leader="none" w:pos="424"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Irrevocable Proxy</w:t>
      </w:r>
      <w:r>
        <w:rPr>
          <w:rFonts w:ascii="Arial" w:cs="Arial" w:eastAsia="Arial" w:hAnsi="Arial"/>
          <w:sz w:val="17"/>
          <w:szCs w:val="17"/>
          <w:color w:val="auto"/>
        </w:rPr>
        <w:t xml:space="preserve">. Subject to the final sentence of this </w:t>
      </w:r>
      <w:r>
        <w:rPr>
          <w:rFonts w:ascii="Arial" w:cs="Arial" w:eastAsia="Arial" w:hAnsi="Arial"/>
          <w:sz w:val="17"/>
          <w:szCs w:val="17"/>
          <w:u w:val="single" w:color="auto"/>
          <w:color w:val="auto"/>
        </w:rPr>
        <w:t>Section 6</w:t>
      </w:r>
      <w:r>
        <w:rPr>
          <w:rFonts w:ascii="Arial" w:cs="Arial" w:eastAsia="Arial" w:hAnsi="Arial"/>
          <w:sz w:val="17"/>
          <w:szCs w:val="17"/>
          <w:color w:val="auto"/>
        </w:rPr>
        <w:t>, by execution of this Agreement, Stockholder does hereby appoint the Company and any of its designees with full power of substitution and resubstitution, as Stockholder’s true and lawful attorney and irrevocable proxy, to the fullest extent of Stockholder’s rights with respect to the Shares or New Shares, to vote and exercise all voting and related rights, including the right to sign Stockholder’s name (solely in its capacity as a stockholder) to any stockholder consent, if Stockholder is unable to perform or otherwise does not perform his, her or its obligations under this Agreement, with respect to such</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024"/>
          </w:cols>
          <w:pgMar w:left="436" w:top="274" w:right="439" w:bottom="1440" w:gutter="0" w:footer="0" w:header="0"/>
        </w:sectPr>
      </w:pPr>
    </w:p>
    <w:bookmarkStart w:id="333" w:name="page334"/>
    <w:bookmarkEnd w:id="333"/>
    <w:p>
      <w:pPr>
        <w:ind w:left="42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Shares solely with respect to the matters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 Stockholder intends this proxy to be irrevocable and coupled with an interest hereunder until the Expiration Date, hereby revokes any proxy previously granted by Stockholder with respect to the Shares or New Shares and represents that none of such previously-granted proxies are irrevocable. The irrevocably proxy and power of attorney granted herein shall survive the death or incapacity of Stockholder and the obligations of Stockholder shall be binding on Stockholder’s heirs, personal representatives, successors, transferees and assigns. Stockholder hereby agrees not to grant any subsequent powers of attorney or proxies with respect to any Shares or New Shares with respect to the matters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until after the Expiration Date. The Stockholder hereby affirms that the proxy set forth in this Section 6 is given in connection with and granted in consideration of and as an inducement to the Company, Parent, First Merger Sub and Second Merger Sub to enter into the Merger Agreement and that such proxy is given to secure the obligations of the Stockholder under Section 1. Notwithstanding anything contained herein to the contrary, this irrevocable proxy shall automatically terminate upon the Expiration Date.</w:t>
      </w:r>
    </w:p>
    <w:p>
      <w:pPr>
        <w:spacing w:after="0" w:line="91" w:lineRule="exact"/>
        <w:rPr>
          <w:sz w:val="20"/>
          <w:szCs w:val="20"/>
          <w:color w:val="auto"/>
        </w:rPr>
      </w:pPr>
    </w:p>
    <w:p>
      <w:pPr>
        <w:ind w:left="424" w:right="20" w:hanging="424"/>
        <w:spacing w:after="0" w:line="272" w:lineRule="auto"/>
        <w:tabs>
          <w:tab w:leader="none" w:pos="424"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Other Remedies; Specific Performance</w:t>
      </w:r>
      <w:r>
        <w:rPr>
          <w:rFonts w:ascii="Arial" w:cs="Arial" w:eastAsia="Arial" w:hAnsi="Arial"/>
          <w:sz w:val="17"/>
          <w:szCs w:val="17"/>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without the need of posting bond in any court of the United States or any state having jurisdiction, this being in addition to any other remedy to which they are entitled at Law or in equity.</w:t>
      </w:r>
    </w:p>
    <w:p>
      <w:pPr>
        <w:spacing w:after="0" w:line="82" w:lineRule="exact"/>
        <w:rPr>
          <w:rFonts w:ascii="Arial" w:cs="Arial" w:eastAsia="Arial" w:hAnsi="Arial"/>
          <w:sz w:val="17"/>
          <w:szCs w:val="17"/>
          <w:color w:val="auto"/>
        </w:rPr>
      </w:pPr>
    </w:p>
    <w:p>
      <w:pPr>
        <w:ind w:left="424" w:right="20" w:hanging="424"/>
        <w:spacing w:after="0" w:line="291" w:lineRule="auto"/>
        <w:tabs>
          <w:tab w:leader="none" w:pos="424"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Directors and Officers</w:t>
      </w:r>
      <w:r>
        <w:rPr>
          <w:rFonts w:ascii="Arial" w:cs="Arial" w:eastAsia="Arial" w:hAnsi="Arial"/>
          <w:sz w:val="16"/>
          <w:szCs w:val="16"/>
          <w:color w:val="auto"/>
        </w:rPr>
        <w:t>. This Agreement shall apply to Stockholder solely in Stockholder’s capacity as a stockholder of Parent and/or holder of Parent Options and/or Parent Restricted Stock Units and not in Stockholder’s capacity as a director, officer or employee of Parent or any of its Subsidiaries or in Stockholder’s capacity as a trustee or fiduciary of any employee benefit plan or trust. Notwithstanding any provision of this Agreement to the contrary, nothing in this Agreement shall (or require Stockholder to attempt to) limit or restrict a director and/or officer of Parent in the exercise of his or her fiduciary duties as a director and/or officer of Parent or in his or her capacity as a trustee or fiduciary of any employee benefit plan or trust or prevent or be construed to create any obligation on the part of any director and/or officer of Parent or any trustee or fiduciary of any employee benefit plan or trust from taking any action in his or her capacity as such director, officer, trustee and/or fiduciary.</w:t>
      </w:r>
    </w:p>
    <w:p>
      <w:pPr>
        <w:spacing w:after="0" w:line="71" w:lineRule="exact"/>
        <w:rPr>
          <w:rFonts w:ascii="Arial" w:cs="Arial" w:eastAsia="Arial" w:hAnsi="Arial"/>
          <w:sz w:val="16"/>
          <w:szCs w:val="16"/>
          <w:color w:val="auto"/>
        </w:rPr>
      </w:pPr>
    </w:p>
    <w:p>
      <w:pPr>
        <w:ind w:left="424" w:right="20" w:hanging="424"/>
        <w:spacing w:after="0" w:line="275" w:lineRule="auto"/>
        <w:tabs>
          <w:tab w:leader="none" w:pos="424"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No Ownership Interest</w:t>
      </w:r>
      <w:r>
        <w:rPr>
          <w:rFonts w:ascii="Arial" w:cs="Arial" w:eastAsia="Arial" w:hAnsi="Arial"/>
          <w:sz w:val="17"/>
          <w:szCs w:val="17"/>
          <w:color w:val="auto"/>
        </w:rPr>
        <w:t>. Nothing contained in this Agreement shall be deemed to vest in the Company any direct or indirect ownership or incidence of ownership of or with respect to any Shares or New Shares. All rights, ownership and economic benefits of and relating to the Shares or New Shares shall remain vested in and belong to Stockholder, and the Company does not have authority to manage, direct, superintend, restrict, regulate, govern, or administer any of the policies or operations of Parent or exercise any power or authority to direct Stockholder in the voting of any of the Shares or New Shares, except as otherwise provided herein.</w:t>
      </w:r>
    </w:p>
    <w:p>
      <w:pPr>
        <w:spacing w:after="0" w:line="81" w:lineRule="exact"/>
        <w:rPr>
          <w:rFonts w:ascii="Arial" w:cs="Arial" w:eastAsia="Arial" w:hAnsi="Arial"/>
          <w:sz w:val="17"/>
          <w:szCs w:val="17"/>
          <w:color w:val="auto"/>
        </w:rPr>
      </w:pPr>
    </w:p>
    <w:p>
      <w:pPr>
        <w:ind w:left="424" w:right="180" w:hanging="424"/>
        <w:spacing w:after="0" w:line="259"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nothing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shall relieve any party from liability for any fraud or for any willful</w:t>
      </w:r>
      <w:r>
        <w:rPr>
          <w:rFonts w:ascii="Arial" w:cs="Arial" w:eastAsia="Arial" w:hAnsi="Arial"/>
          <w:sz w:val="18"/>
          <w:szCs w:val="18"/>
          <w:i w:val="1"/>
          <w:iCs w:val="1"/>
          <w:color w:val="auto"/>
        </w:rPr>
        <w:t xml:space="preserve"> </w:t>
      </w:r>
      <w:r>
        <w:rPr>
          <w:rFonts w:ascii="Arial" w:cs="Arial" w:eastAsia="Arial" w:hAnsi="Arial"/>
          <w:sz w:val="18"/>
          <w:szCs w:val="18"/>
          <w:color w:val="auto"/>
        </w:rPr>
        <w:t>and material breach of this Agreement prior to termination hereof.</w:t>
      </w:r>
    </w:p>
    <w:p>
      <w:pPr>
        <w:spacing w:after="0" w:line="92" w:lineRule="exact"/>
        <w:rPr>
          <w:rFonts w:ascii="Arial" w:cs="Arial" w:eastAsia="Arial" w:hAnsi="Arial"/>
          <w:sz w:val="18"/>
          <w:szCs w:val="18"/>
          <w:color w:val="auto"/>
        </w:rPr>
      </w:pPr>
    </w:p>
    <w:p>
      <w:pPr>
        <w:ind w:left="424" w:right="300" w:hanging="424"/>
        <w:spacing w:after="0" w:line="263"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Stockholder shall, from time to time, execute and deliver, or cause to be executed and delivered, such additional or further consents, documents and other instruments as the Company or Parent may reasonably request for the purpose of effectively carrying out the transactions contemplated by this Agreement and the Contemplated Transactions.</w:t>
      </w:r>
    </w:p>
    <w:p>
      <w:pPr>
        <w:spacing w:after="0" w:line="89" w:lineRule="exact"/>
        <w:rPr>
          <w:rFonts w:ascii="Arial" w:cs="Arial" w:eastAsia="Arial" w:hAnsi="Arial"/>
          <w:sz w:val="18"/>
          <w:szCs w:val="18"/>
          <w:color w:val="auto"/>
        </w:rPr>
      </w:pPr>
    </w:p>
    <w:p>
      <w:pPr>
        <w:ind w:left="424" w:right="180" w:hanging="424"/>
        <w:spacing w:after="0" w:line="259"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Stockholder hereby agrees that Parent and the Company may publish and disclose in any registration statement, any prospectus filed with any regulatory authority in connection with the Contemplated Transactions and any related documents filed with such regulatory authority and as otherwise required by Law, Stockholder’s identity and ownership of Shares and the nature of Stockholder’s commitments, arrangements and understandings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004"/>
          </w:cols>
          <w:pgMar w:left="436" w:top="274" w:right="459" w:bottom="1440" w:gutter="0" w:footer="0" w:header="0"/>
        </w:sectPr>
      </w:pPr>
    </w:p>
    <w:bookmarkStart w:id="334" w:name="page335"/>
    <w:bookmarkEnd w:id="334"/>
    <w:p>
      <w:pPr>
        <w:ind w:left="42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this Agreement and may further file this Agreement as an exhibit to any registration statement or prospectus or in any other filing made by Parent or the Company as required by Law or the terms of the Merger Agreement, including with the SEC or other regulatory authority, relating to the Contemplated Transactions, all subject to prior review and an opportunity to comment by Stockholder’s counsel. Prior to the Closing, Stockholder shall not, and shall use its reasonable best efforts to cause its representatives not to, directly or indirectly, make any press release, public announcement or other public communication that criticizes or disparages this Agreement or the Merger Agreement or any of the Contemplated Transactions, without the prior written consent of Parent and the Company, </w:t>
      </w:r>
      <w:r>
        <w:rPr>
          <w:rFonts w:ascii="Arial" w:cs="Arial" w:eastAsia="Arial" w:hAnsi="Arial"/>
          <w:sz w:val="17"/>
          <w:szCs w:val="17"/>
          <w:i w:val="1"/>
          <w:iCs w:val="1"/>
          <w:u w:val="single" w:color="auto"/>
          <w:color w:val="auto"/>
        </w:rPr>
        <w:t>provided that</w:t>
      </w:r>
      <w:r>
        <w:rPr>
          <w:rFonts w:ascii="Arial" w:cs="Arial" w:eastAsia="Arial" w:hAnsi="Arial"/>
          <w:sz w:val="17"/>
          <w:szCs w:val="17"/>
          <w:i w:val="1"/>
          <w:iCs w:val="1"/>
          <w:color w:val="auto"/>
        </w:rPr>
        <w:t>,</w:t>
      </w:r>
      <w:r>
        <w:rPr>
          <w:rFonts w:ascii="Arial" w:cs="Arial" w:eastAsia="Arial" w:hAnsi="Arial"/>
          <w:sz w:val="17"/>
          <w:szCs w:val="17"/>
          <w:color w:val="auto"/>
        </w:rPr>
        <w:t xml:space="preserve"> the foregoing shall not limit or affect any actions taken by Stockholder (or any affiliated officer or director of Stockholder) that would be permitted to be taken by Stockholder, Parent or the Company pursuant to the Merger Agreement;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the foregoing shall not effect any actions of Stockholder the prohibition of which would be prohibited under applicable Law.</w:t>
      </w:r>
    </w:p>
    <w:p>
      <w:pPr>
        <w:spacing w:after="0" w:line="86" w:lineRule="exact"/>
        <w:rPr>
          <w:sz w:val="20"/>
          <w:szCs w:val="20"/>
          <w:color w:val="auto"/>
        </w:rPr>
      </w:pPr>
    </w:p>
    <w:p>
      <w:pPr>
        <w:ind w:left="424" w:right="20" w:hanging="424"/>
        <w:spacing w:after="0" w:line="301" w:lineRule="auto"/>
        <w:tabs>
          <w:tab w:leader="none" w:pos="424"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xml:space="preserve">. 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8.8 of the Merger Agreement and to Stockholder at his, her or its address or email address (providing confirmation of transmission)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(or at such other address for a party as shall be specified by like notice).</w:t>
      </w:r>
    </w:p>
    <w:p>
      <w:pPr>
        <w:spacing w:after="0" w:line="62" w:lineRule="exact"/>
        <w:rPr>
          <w:rFonts w:ascii="Arial" w:cs="Arial" w:eastAsia="Arial" w:hAnsi="Arial"/>
          <w:sz w:val="16"/>
          <w:szCs w:val="16"/>
          <w:color w:val="auto"/>
        </w:rPr>
      </w:pPr>
    </w:p>
    <w:p>
      <w:pPr>
        <w:ind w:left="424" w:right="20" w:hanging="424"/>
        <w:spacing w:after="0" w:line="270" w:lineRule="auto"/>
        <w:tabs>
          <w:tab w:leader="none" w:pos="424"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86" w:lineRule="exact"/>
        <w:rPr>
          <w:rFonts w:ascii="Arial" w:cs="Arial" w:eastAsia="Arial" w:hAnsi="Arial"/>
          <w:sz w:val="17"/>
          <w:szCs w:val="17"/>
          <w:color w:val="auto"/>
        </w:rPr>
      </w:pPr>
    </w:p>
    <w:p>
      <w:pPr>
        <w:ind w:left="424" w:right="180" w:hanging="424"/>
        <w:spacing w:after="0" w:line="273" w:lineRule="auto"/>
        <w:tabs>
          <w:tab w:leader="none" w:pos="424"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This Agreement shall be binding upon, and shall be enforceable by and inure solely to the benefit of, the parties hereto and their respective successors and assigns;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83" w:lineRule="exact"/>
        <w:rPr>
          <w:rFonts w:ascii="Arial" w:cs="Arial" w:eastAsia="Arial" w:hAnsi="Arial"/>
          <w:sz w:val="17"/>
          <w:szCs w:val="17"/>
          <w:color w:val="auto"/>
        </w:rPr>
      </w:pPr>
    </w:p>
    <w:p>
      <w:pPr>
        <w:ind w:left="424" w:hanging="424"/>
        <w:spacing w:after="0" w:line="255" w:lineRule="auto"/>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No Waivers</w:t>
      </w:r>
      <w:r>
        <w:rPr>
          <w:rFonts w:ascii="Arial" w:cs="Arial" w:eastAsia="Arial" w:hAnsi="Arial"/>
          <w:sz w:val="18"/>
          <w:szCs w:val="18"/>
          <w:color w:val="auto"/>
        </w:rPr>
        <w:t>. No waivers of any breach of this Agreement extended by the Company or Parent to Stockholder shall be construed as a waiver of any rights or remedies of the Company or Parent, as applicable, with respect to any other stockholder of Parent who has executed an agreement substantially in the form of this Agreement with respect to Shares or New Shares held or subsequently held by such stockholder or with respect to any subsequent breach of Stockholder or any other stockholder of Parent. No waiver of any provisions hereof by any party shall be deemed a waiver of any other provisions hereof by any such party, nor shall any such waiver be deemed a continuing waiver of any provision hereof by such party.</w:t>
      </w:r>
    </w:p>
    <w:p>
      <w:pPr>
        <w:spacing w:after="0" w:line="97" w:lineRule="exact"/>
        <w:rPr>
          <w:rFonts w:ascii="Arial" w:cs="Arial" w:eastAsia="Arial" w:hAnsi="Arial"/>
          <w:sz w:val="18"/>
          <w:szCs w:val="18"/>
          <w:color w:val="auto"/>
        </w:rPr>
      </w:pPr>
    </w:p>
    <w:p>
      <w:pPr>
        <w:ind w:left="424" w:right="100" w:hanging="424"/>
        <w:spacing w:after="0" w:line="254" w:lineRule="auto"/>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clause (i) of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(iii) waives any objection to laying venue</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0984"/>
          </w:cols>
          <w:pgMar w:left="436" w:top="274" w:right="479" w:bottom="1440" w:gutter="0" w:footer="0" w:header="0"/>
        </w:sectPr>
      </w:pPr>
    </w:p>
    <w:bookmarkStart w:id="335" w:name="page336"/>
    <w:bookmarkEnd w:id="335"/>
    <w:p>
      <w:pPr>
        <w:ind w:left="424"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w:t>
      </w:r>
    </w:p>
    <w:p>
      <w:pPr>
        <w:spacing w:after="0" w:line="89" w:lineRule="exact"/>
        <w:rPr>
          <w:sz w:val="20"/>
          <w:szCs w:val="20"/>
          <w:color w:val="auto"/>
        </w:rPr>
      </w:pPr>
    </w:p>
    <w:p>
      <w:pPr>
        <w:ind w:left="424" w:right="60" w:hanging="424"/>
        <w:spacing w:after="0" w:line="263"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HERETO HEREBY WAIVE ANY RIGHT TO TRIAL BY JURY WITH RESPECT TO ANY ACTION OR LEGAL PROCEEDING RELATED TO OR ARISING OUT OF THIS AGREEMENT, ANY DOCUMENT EXECUTED IN CONNECTION HEREWITH AND THE MATTERS CONTEMPLATED HEREBY AND THEREBY.</w:t>
      </w:r>
    </w:p>
    <w:p>
      <w:pPr>
        <w:spacing w:after="0" w:line="89" w:lineRule="exact"/>
        <w:rPr>
          <w:rFonts w:ascii="Arial" w:cs="Arial" w:eastAsia="Arial" w:hAnsi="Arial"/>
          <w:sz w:val="18"/>
          <w:szCs w:val="18"/>
          <w:color w:val="auto"/>
        </w:rPr>
      </w:pPr>
    </w:p>
    <w:p>
      <w:pPr>
        <w:ind w:left="424" w:right="60" w:hanging="424"/>
        <w:spacing w:after="0" w:line="257"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No Agreement Until Executed</w:t>
      </w:r>
      <w:r>
        <w:rPr>
          <w:rFonts w:ascii="Arial" w:cs="Arial" w:eastAsia="Arial" w:hAnsi="Arial"/>
          <w:sz w:val="18"/>
          <w:szCs w:val="18"/>
          <w:color w:val="auto"/>
        </w:rPr>
        <w:t>.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certificate of incorporation of Parent, the Merger Agreement and the Contemplated Transactions, (b) the Merger Agreement is executed by all parties thereto, and (c) this Agreement is executed by all parties hereto.</w:t>
      </w:r>
    </w:p>
    <w:p>
      <w:pPr>
        <w:spacing w:after="0" w:line="93" w:lineRule="exact"/>
        <w:rPr>
          <w:rFonts w:ascii="Arial" w:cs="Arial" w:eastAsia="Arial" w:hAnsi="Arial"/>
          <w:sz w:val="18"/>
          <w:szCs w:val="18"/>
          <w:color w:val="auto"/>
        </w:rPr>
      </w:pPr>
    </w:p>
    <w:p>
      <w:pPr>
        <w:ind w:left="424" w:right="40" w:hanging="424"/>
        <w:spacing w:after="0" w:line="296" w:lineRule="auto"/>
        <w:tabs>
          <w:tab w:leader="none" w:pos="424"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Entire Agreement; Counterparts; Exchanges by Electronic Transmission</w:t>
      </w:r>
      <w:r>
        <w:rPr>
          <w:rFonts w:ascii="Arial" w:cs="Arial" w:eastAsia="Arial" w:hAnsi="Arial"/>
          <w:sz w:val="16"/>
          <w:szCs w:val="16"/>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via “.pdf” shall be sufficient to bind the parties to the terms and conditions of this Agreement.</w:t>
      </w:r>
    </w:p>
    <w:p>
      <w:pPr>
        <w:spacing w:after="0" w:line="66" w:lineRule="exact"/>
        <w:rPr>
          <w:rFonts w:ascii="Arial" w:cs="Arial" w:eastAsia="Arial" w:hAnsi="Arial"/>
          <w:sz w:val="16"/>
          <w:szCs w:val="16"/>
          <w:color w:val="auto"/>
        </w:rPr>
      </w:pPr>
    </w:p>
    <w:p>
      <w:pPr>
        <w:ind w:left="424" w:hanging="424"/>
        <w:spacing w:after="0" w:line="257"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not be amended, supplemented or modified, and no provisions hereof may be modified or waived, except by an instrument in writing signed on behalf of each party hereto;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rights or obligations of any Stockholder may be waived, amended or otherwise modified in a writing signed by Parent (for the avoidance of doubt, with the prior written approval required by Section 4.1 of Parent’s Certificate of Designation of Preferences, Rights and Limitations of Series A Non-Voting Convertible Preferred Stock), the Company and Stockholder.</w:t>
      </w:r>
    </w:p>
    <w:p>
      <w:pPr>
        <w:spacing w:after="0" w:line="93"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w:t>
      </w:r>
    </w:p>
    <w:p>
      <w:pPr>
        <w:spacing w:after="0" w:line="89"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This Agreement is executed voluntarily and without any duress or undue influence on the part or behalf of the parties. Each of the parties hereby acknowledges, represents and warrants that (i) it has read and fully understood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w:t>
      </w:r>
    </w:p>
    <w:p>
      <w:pPr>
        <w:spacing w:after="0" w:line="214" w:lineRule="exact"/>
        <w:rPr>
          <w:rFonts w:ascii="Arial" w:cs="Arial" w:eastAsia="Arial" w:hAnsi="Arial"/>
          <w:sz w:val="18"/>
          <w:szCs w:val="18"/>
          <w:color w:val="auto"/>
        </w:rPr>
      </w:pPr>
    </w:p>
    <w:p>
      <w:pPr>
        <w:ind w:left="424" w:hanging="424"/>
        <w:spacing w:after="0"/>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89"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75"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0984"/>
          </w:cols>
          <w:pgMar w:left="436" w:top="274" w:right="479" w:bottom="1440" w:gutter="0" w:footer="0" w:header="0"/>
        </w:sectPr>
      </w:pPr>
    </w:p>
    <w:bookmarkStart w:id="336" w:name="page337"/>
    <w:bookmarkEnd w:id="336"/>
    <w:p>
      <w:pPr>
        <w:ind w:left="540" w:hanging="532"/>
        <w:spacing w:after="0" w:line="277"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indicated, all references in this Agreement to “Sections,” and “Schedules” are intended to refer to Sections of this Agreement and Schedules to this Agreement, respectively.</w:t>
      </w:r>
    </w:p>
    <w:p>
      <w:pPr>
        <w:spacing w:after="0" w:line="75" w:lineRule="exact"/>
        <w:rPr>
          <w:rFonts w:ascii="Arial" w:cs="Arial" w:eastAsia="Arial" w:hAnsi="Arial"/>
          <w:sz w:val="18"/>
          <w:szCs w:val="18"/>
          <w:color w:val="auto"/>
        </w:rPr>
      </w:pPr>
    </w:p>
    <w:p>
      <w:pPr>
        <w:ind w:left="540" w:right="200" w:hanging="532"/>
        <w:spacing w:after="0" w:line="308" w:lineRule="auto"/>
        <w:tabs>
          <w:tab w:leader="none" w:pos="54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underlined headings contained in this Agreement are for convenience of reference only, shall not be deemed to be a part of this Agreement and shall not be referred to in connection with the construction or interpretation of this Agreement.</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has Intentionally Been Left Blank</w:t>
      </w:r>
      <w:r>
        <w:rPr>
          <w:rFonts w:ascii="Arial" w:cs="Arial" w:eastAsia="Arial" w:hAnsi="Arial"/>
          <w:sz w:val="18"/>
          <w:szCs w:val="18"/>
          <w:color w:val="auto"/>
        </w:rPr>
        <w: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0200"/>
          </w:cols>
          <w:pgMar w:left="860" w:top="274" w:right="83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[STOCKHOLDER]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-10160</wp:posOffset>
            </wp:positionV>
            <wp:extent cx="15138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Name (if an Entity):</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(if an Entity):</w:t>
      </w:r>
    </w:p>
    <w:p>
      <w:pPr>
        <w:spacing w:after="0" w:line="1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Support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Support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SPYRE THERAPEUTICS, INC.</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Support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560" w:type="dxa"/>
            <w:vAlign w:val="bottom"/>
          </w:tcPr>
          <w:p>
            <w:pPr>
              <w:jc w:val="center"/>
              <w:ind w:left="568"/>
              <w:spacing w:after="0"/>
              <w:rPr>
                <w:sz w:val="20"/>
                <w:szCs w:val="20"/>
                <w:color w:val="auto"/>
              </w:rPr>
            </w:pPr>
            <w:r>
              <w:rPr>
                <w:rFonts w:ascii="Arial" w:cs="Arial" w:eastAsia="Arial" w:hAnsi="Arial"/>
                <w:sz w:val="14"/>
                <w:szCs w:val="14"/>
                <w:b w:val="1"/>
                <w:bCs w:val="1"/>
                <w:color w:val="auto"/>
                <w:w w:val="89"/>
              </w:rPr>
              <w:t>Shares of Parent</w:t>
            </w:r>
          </w:p>
        </w:tc>
        <w:tc>
          <w:tcPr>
            <w:tcW w:w="1860" w:type="dxa"/>
            <w:vAlign w:val="bottom"/>
          </w:tcPr>
          <w:p>
            <w:pPr>
              <w:spacing w:after="0"/>
              <w:rPr>
                <w:sz w:val="14"/>
                <w:szCs w:val="14"/>
                <w:color w:val="auto"/>
              </w:rPr>
            </w:pPr>
          </w:p>
        </w:tc>
        <w:tc>
          <w:tcPr>
            <w:tcW w:w="152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Parent Restricted</w:t>
            </w:r>
          </w:p>
        </w:tc>
      </w:tr>
      <w:tr>
        <w:trPr>
          <w:trHeight w:val="200"/>
        </w:trPr>
        <w:tc>
          <w:tcPr>
            <w:tcW w:w="4180" w:type="dxa"/>
            <w:vAlign w:val="bottom"/>
          </w:tcPr>
          <w:p>
            <w:pPr>
              <w:spacing w:after="0"/>
              <w:rPr>
                <w:sz w:val="20"/>
                <w:szCs w:val="20"/>
                <w:color w:val="auto"/>
              </w:rPr>
            </w:pPr>
            <w:r>
              <w:rPr>
                <w:rFonts w:ascii="Arial" w:cs="Arial" w:eastAsia="Arial" w:hAnsi="Arial"/>
                <w:sz w:val="14"/>
                <w:szCs w:val="14"/>
                <w:b w:val="1"/>
                <w:bCs w:val="1"/>
                <w:color w:val="auto"/>
              </w:rPr>
              <w:t>Name, Address and Email Address of Stockholder</w:t>
            </w:r>
          </w:p>
        </w:tc>
        <w:tc>
          <w:tcPr>
            <w:tcW w:w="2560" w:type="dxa"/>
            <w:vAlign w:val="bottom"/>
          </w:tcPr>
          <w:p>
            <w:pPr>
              <w:jc w:val="center"/>
              <w:ind w:left="568"/>
              <w:spacing w:after="0"/>
              <w:rPr>
                <w:sz w:val="20"/>
                <w:szCs w:val="20"/>
                <w:color w:val="auto"/>
              </w:rPr>
            </w:pPr>
            <w:r>
              <w:rPr>
                <w:rFonts w:ascii="Arial" w:cs="Arial" w:eastAsia="Arial" w:hAnsi="Arial"/>
                <w:sz w:val="14"/>
                <w:szCs w:val="14"/>
                <w:b w:val="1"/>
                <w:bCs w:val="1"/>
                <w:color w:val="auto"/>
                <w:w w:val="93"/>
              </w:rPr>
              <w:t>Common Stock</w:t>
            </w:r>
          </w:p>
        </w:tc>
        <w:tc>
          <w:tcPr>
            <w:tcW w:w="1860" w:type="dxa"/>
            <w:vAlign w:val="bottom"/>
          </w:tcPr>
          <w:p>
            <w:pPr>
              <w:ind w:left="460"/>
              <w:spacing w:after="0"/>
              <w:rPr>
                <w:sz w:val="20"/>
                <w:szCs w:val="20"/>
                <w:color w:val="auto"/>
              </w:rPr>
            </w:pPr>
            <w:r>
              <w:rPr>
                <w:rFonts w:ascii="Arial" w:cs="Arial" w:eastAsia="Arial" w:hAnsi="Arial"/>
                <w:sz w:val="14"/>
                <w:szCs w:val="14"/>
                <w:b w:val="1"/>
                <w:bCs w:val="1"/>
                <w:color w:val="auto"/>
              </w:rPr>
              <w:t>Parent Options</w:t>
            </w:r>
          </w:p>
        </w:tc>
        <w:tc>
          <w:tcPr>
            <w:tcW w:w="152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Stock Units</w:t>
            </w:r>
          </w:p>
        </w:tc>
      </w:tr>
    </w:tbl>
    <w:p>
      <w:pPr>
        <w:sectPr>
          <w:pgSz w:w="11900" w:h="16838" w:orient="portrait"/>
          <w:cols w:equalWidth="0" w:num="1">
            <w:col w:w="10120"/>
          </w:cols>
          <w:pgMar w:left="880" w:top="270" w:right="89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Aeglea BioTherapeutics, Inc., a Delaware corporation, hereby certifies as follows.</w:t>
      </w:r>
    </w:p>
    <w:p>
      <w:pPr>
        <w:spacing w:after="0" w:line="225" w:lineRule="exact"/>
        <w:rPr>
          <w:sz w:val="20"/>
          <w:szCs w:val="20"/>
          <w:color w:val="auto"/>
        </w:rPr>
      </w:pPr>
    </w:p>
    <w:p>
      <w:pPr>
        <w:ind w:left="4" w:right="260" w:hanging="4"/>
        <w:spacing w:after="0" w:line="259" w:lineRule="auto"/>
        <w:tabs>
          <w:tab w:leader="none" w:pos="18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name of the corporation is Aeglea BioTherapeutics, Inc. Aeglea BioTherapeutics, Inc. was first formed on December 16, 2013 under the name Aeglea BioTherapeutics Holdings, LLC, a Delaware limited liability company. Aeglea BioTherapeutics Holdings, LLC converted into Aeglea BioTherapeutics, Inc. on March 10, 2015. The date of filing of the original Certificate of Incorporation of Aeglea BioTherapeutics, Inc. with the Secretary of State was March 10, 2015 under the name Aeglea BioTherapeutics, Inc.</w:t>
      </w:r>
    </w:p>
    <w:p>
      <w:pPr>
        <w:spacing w:after="0" w:line="186" w:lineRule="exact"/>
        <w:rPr>
          <w:rFonts w:ascii="Arial" w:cs="Arial" w:eastAsia="Arial" w:hAnsi="Arial"/>
          <w:sz w:val="18"/>
          <w:szCs w:val="18"/>
          <w:color w:val="auto"/>
        </w:rPr>
      </w:pPr>
    </w:p>
    <w:p>
      <w:pPr>
        <w:ind w:left="4" w:right="80" w:hanging="4"/>
        <w:spacing w:after="0" w:line="257" w:lineRule="auto"/>
        <w:tabs>
          <w:tab w:leader="none" w:pos="18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The Restated Certificate of Incorporation of the corporation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is incorporated herein by this reference, and which restates, integrates and further amends the provisions of the Certificate of Incorporation of this corporation as previously amended or supplemented, has been duly adopted by the Board of Directors and by the stockholders in accordance with Sections 242 and 245 of the Delaware General Corporation Law, with the approval of the corporation’s stockholders having been given by written consent without a meeting in accordance with Section 228 of the Delaware General Corporation Law.</w:t>
      </w:r>
    </w:p>
    <w:p>
      <w:pPr>
        <w:spacing w:after="0" w:line="188"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97" w:lineRule="exact"/>
        <w:rPr>
          <w:sz w:val="20"/>
          <w:szCs w:val="20"/>
          <w:color w:val="auto"/>
        </w:rPr>
      </w:pPr>
    </w:p>
    <w:p>
      <w:pPr>
        <w:ind w:left="4"/>
        <w:spacing w:after="0"/>
        <w:tabs>
          <w:tab w:leader="none" w:pos="5944"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AEGLEA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30003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14605</wp:posOffset>
            </wp:positionV>
            <wp:extent cx="30003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Name: David Lowe</w:t>
      </w:r>
    </w:p>
    <w:p>
      <w:pPr>
        <w:spacing w:after="0" w:line="9"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24"/>
          </w:cols>
          <w:pgMar w:left="436" w:top="121" w:right="439" w:bottom="1440" w:gutter="0" w:footer="0" w:header="0"/>
        </w:sectPr>
      </w:pPr>
    </w:p>
    <w:bookmarkStart w:id="342" w:name="page343"/>
    <w:bookmarkEnd w:id="34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ind w:left="4724"/>
        <w:spacing w:after="0"/>
        <w:rPr>
          <w:sz w:val="20"/>
          <w:szCs w:val="20"/>
          <w:color w:val="auto"/>
        </w:rPr>
      </w:pPr>
      <w:r>
        <w:rPr>
          <w:rFonts w:ascii="Arial" w:cs="Arial" w:eastAsia="Arial" w:hAnsi="Arial"/>
          <w:sz w:val="18"/>
          <w:szCs w:val="18"/>
          <w:b w:val="1"/>
          <w:bCs w:val="1"/>
          <w:color w:val="auto"/>
        </w:rPr>
        <w:t>ARTICLE I: NAME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name of the corporation is Aeglea BioTherapeutics,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229" w:lineRule="exact"/>
        <w:rPr>
          <w:sz w:val="20"/>
          <w:szCs w:val="20"/>
          <w:color w:val="auto"/>
        </w:rPr>
      </w:pPr>
    </w:p>
    <w:p>
      <w:pPr>
        <w:ind w:left="4" w:right="340"/>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2711 Centerville Road, Suite 400, City of Wilmington, County of New Castle, Delaware 19808. The name of the registered agent of the Corporation at that address is Corporation Service Company.</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 PURPOSE</w:t>
      </w:r>
    </w:p>
    <w:p>
      <w:pPr>
        <w:spacing w:after="0" w:line="229"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 AUTHORIZED STOCK</w:t>
      </w:r>
    </w:p>
    <w:p>
      <w:pPr>
        <w:spacing w:after="0" w:line="225" w:lineRule="exact"/>
        <w:rPr>
          <w:sz w:val="20"/>
          <w:szCs w:val="20"/>
          <w:color w:val="auto"/>
        </w:rPr>
      </w:pPr>
    </w:p>
    <w:p>
      <w:pPr>
        <w:ind w:left="4" w:right="60" w:hanging="4"/>
        <w:spacing w:after="0" w:line="266" w:lineRule="auto"/>
        <w:tabs>
          <w:tab w:leader="none" w:pos="18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Total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shares of all classes of stock that the Corporation has authority to issue is Five Hundred Ten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(510,000,000) shares, consisting of two classes: Five Hundred Million (500,000,000) shares of Common Stock, $0.0001 par value per share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and Ten Million (10,000,000)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ind w:left="184" w:hanging="184"/>
        <w:spacing w:after="0"/>
        <w:tabs>
          <w:tab w:leader="none" w:pos="18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p>
    <w:p>
      <w:pPr>
        <w:spacing w:after="0" w:line="229"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xml:space="preserve">”) is authorized, subject to any limitations prescribed by the law of the State of Delaware, to provide for the issuance of the shares of Preferred Stock in one or more series, and, by filing a Certificate of Designation pursuant to the applicable law of the State of Delaware, to establish from time to time the number of shares to be included in each such series, to fix the designation, vesting, powers, preferences and relative, participating, optional or other rights, if any, of the shares of each such series and any qualifications, limitations or restrictions thereof,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 outstanding shares of capital stock of the Corporation entitled to vote generally in the election of directors, without a vote of the holders of the Preferred Stock, unless a vote of any other holders is required pursuant to a Certificate or Certificates establishing a series of Preferred Stock;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if two-thirds of the Whole Board has approved such increase or decrease of the number of authorized shares of Preferred Stock, then only the affirmative vote of the holders of a majority of the voting power of all of the then outstanding shares of the capital stock of the Corporation entitled to vote generally in the election of directors, voting together as a single class, without a vote of the holders of the Preferred Stock (unless a vote of any other holders is required pursuant to a Certificate or Certificates establishing a series of Preferred Stock), shall be required to effect such increase or decrease. For purposes of this Restated Certificate of Incorporation,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43" w:name="page344"/>
    <w:bookmarkEnd w:id="343"/>
    <w:p>
      <w:pPr>
        <w:ind w:left="4"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161" w:lineRule="exact"/>
        <w:rPr>
          <w:sz w:val="20"/>
          <w:szCs w:val="20"/>
          <w:color w:val="auto"/>
        </w:rPr>
      </w:pPr>
    </w:p>
    <w:p>
      <w:pPr>
        <w:jc w:val="both"/>
        <w:ind w:left="4" w:right="140"/>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 AMENDMENT OF BYLAWS</w:t>
      </w:r>
    </w:p>
    <w:p>
      <w:pPr>
        <w:spacing w:after="0" w:line="229"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Board shall have the power to adopt, amend or repeal the Bylaws of the Corporation. Any adoption, amendment or repeal of the Bylaws of the Corporation by the Board shall require the approval of a majority of the Whole Board. For purposes of this Certificate of Incorporation, the term “</w:t>
      </w:r>
      <w:r>
        <w:rPr>
          <w:rFonts w:ascii="Arial" w:cs="Arial" w:eastAsia="Arial" w:hAnsi="Arial"/>
          <w:sz w:val="17"/>
          <w:szCs w:val="17"/>
          <w:b w:val="1"/>
          <w:bCs w:val="1"/>
          <w:i w:val="1"/>
          <w:iCs w:val="1"/>
          <w:color w:val="auto"/>
        </w:rPr>
        <w:t>Whole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shall mean the total number of authorized directors whether or not there exist any vacancies in previously authorized directorships.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stockholders shall also have power to adopt, amend or repeal the Bylaws of the Corporation;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in addition to any vote of the holders of any class or series of stock of the Corporation required by law or by this Certificate of Incorporation (including any Preferred Stock issued pursuant to a Certificate of Designation), the affirmative vote of the holders of at least two-thirds of the voting power of all of the then outstanding shares of the capital stock of the Corporation entitled to vote generally in the election of directors, voting together as a single class, shall be required to adopt, amend or repeal any provision of the Bylaws; </w:t>
      </w:r>
      <w:r>
        <w:rPr>
          <w:rFonts w:ascii="Arial" w:cs="Arial" w:eastAsia="Arial" w:hAnsi="Arial"/>
          <w:sz w:val="17"/>
          <w:szCs w:val="17"/>
          <w:i w:val="1"/>
          <w:iCs w:val="1"/>
          <w:u w:val="single" w:color="auto"/>
          <w:color w:val="auto"/>
        </w:rPr>
        <w:t>provided further</w:t>
      </w:r>
      <w:r>
        <w:rPr>
          <w:rFonts w:ascii="Arial" w:cs="Arial" w:eastAsia="Arial" w:hAnsi="Arial"/>
          <w:sz w:val="17"/>
          <w:szCs w:val="17"/>
          <w:color w:val="auto"/>
        </w:rPr>
        <w:t>, that if two-thirds of the Whole Board has approved such adoption, amendment or repeal of any provisions of the Bylaws, then only the affirmative vote of the holders of a majority of the voting power of all of the then-outstanding shares of the capital stock of the Corporation entitled to vote generally in the election of directors, voting together as a single class, shall be required to adopt, amend or repeal any provision of the Bylaws.</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225" w:lineRule="exact"/>
        <w:rPr>
          <w:sz w:val="20"/>
          <w:szCs w:val="20"/>
          <w:color w:val="auto"/>
        </w:rPr>
      </w:pPr>
    </w:p>
    <w:p>
      <w:pPr>
        <w:ind w:left="4" w:hanging="4"/>
        <w:spacing w:after="0" w:line="289" w:lineRule="auto"/>
        <w:tabs>
          <w:tab w:leader="none" w:pos="184"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Director Powers</w:t>
      </w:r>
      <w:r>
        <w:rPr>
          <w:rFonts w:ascii="Arial" w:cs="Arial" w:eastAsia="Arial" w:hAnsi="Arial"/>
          <w:sz w:val="17"/>
          <w:szCs w:val="17"/>
          <w:color w:val="auto"/>
        </w:rPr>
        <w:t>. The conduct of the affairs of the Corporation shall be managed by or under the direction of the Board. In addition to the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expressly conferred upon them by statute or by this Certificate of Incorporation or the Bylaws of the Corporation, the directors are hereby empowered to exercise all such powers and do all such acts and things as may be exercised or done by the Corporation.</w:t>
      </w:r>
    </w:p>
    <w:p>
      <w:pPr>
        <w:spacing w:after="0" w:line="157" w:lineRule="exact"/>
        <w:rPr>
          <w:rFonts w:ascii="Arial" w:cs="Arial" w:eastAsia="Arial" w:hAnsi="Arial"/>
          <w:sz w:val="17"/>
          <w:szCs w:val="17"/>
          <w:b w:val="1"/>
          <w:bCs w:val="1"/>
          <w:color w:val="auto"/>
        </w:rPr>
      </w:pPr>
    </w:p>
    <w:p>
      <w:pPr>
        <w:ind w:left="4" w:right="80" w:hanging="4"/>
        <w:spacing w:after="0" w:line="312" w:lineRule="auto"/>
        <w:tabs>
          <w:tab w:leader="none" w:pos="184"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Directors</w:t>
      </w:r>
      <w:r>
        <w:rPr>
          <w:rFonts w:ascii="Arial" w:cs="Arial" w:eastAsia="Arial" w:hAnsi="Arial"/>
          <w:sz w:val="17"/>
          <w:szCs w:val="17"/>
          <w:color w:val="auto"/>
        </w:rPr>
        <w:t>. Subject to the rights of the holders of any series of Preferred Stock to elect additional directors under specified circumstances,</w:t>
      </w:r>
      <w:r>
        <w:rPr>
          <w:rFonts w:ascii="Arial" w:cs="Arial" w:eastAsia="Arial" w:hAnsi="Arial"/>
          <w:sz w:val="17"/>
          <w:szCs w:val="17"/>
          <w:b w:val="1"/>
          <w:bCs w:val="1"/>
          <w:color w:val="auto"/>
        </w:rPr>
        <w:t xml:space="preserve"> </w:t>
      </w:r>
      <w:r>
        <w:rPr>
          <w:rFonts w:ascii="Arial" w:cs="Arial" w:eastAsia="Arial" w:hAnsi="Arial"/>
          <w:sz w:val="17"/>
          <w:szCs w:val="17"/>
          <w:color w:val="auto"/>
        </w:rPr>
        <w:t>the number of directors shall be fixed from time to time exclusively by resolution adopted by a majority of the Whole Board.</w:t>
      </w:r>
    </w:p>
    <w:p>
      <w:pPr>
        <w:spacing w:after="0" w:line="139" w:lineRule="exact"/>
        <w:rPr>
          <w:rFonts w:ascii="Arial" w:cs="Arial" w:eastAsia="Arial" w:hAnsi="Arial"/>
          <w:sz w:val="17"/>
          <w:szCs w:val="17"/>
          <w:b w:val="1"/>
          <w:bCs w:val="1"/>
          <w:color w:val="auto"/>
        </w:rPr>
      </w:pPr>
    </w:p>
    <w:p>
      <w:pPr>
        <w:ind w:left="4" w:right="20" w:hanging="4"/>
        <w:spacing w:after="0" w:line="287" w:lineRule="auto"/>
        <w:tabs>
          <w:tab w:leader="none" w:pos="184"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Classified Board</w:t>
      </w:r>
      <w:r>
        <w:rPr>
          <w:rFonts w:ascii="Arial" w:cs="Arial" w:eastAsia="Arial" w:hAnsi="Arial"/>
          <w:sz w:val="16"/>
          <w:szCs w:val="16"/>
          <w:color w:val="auto"/>
        </w:rPr>
        <w:t>. Subject to the rights of the holders of any series of Preferred Stock to elect additional directors under specified circumstances, the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may assign members of the Board already in office to the Classified Board, which assignments shall become effective at the same time the Classified Board becomes effective. Directors shall be assigned to each class in accordance with a resolution or resolutions adopted by the Board, with the number of directors in each class to be divided as nearly equal as reasonably possible.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to expire at the third succeeding annual meeting of stockholders after their election.</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44" w:name="page345"/>
    <w:bookmarkEnd w:id="344"/>
    <w:p>
      <w:pPr>
        <w:ind w:left="4" w:right="20" w:hanging="4"/>
        <w:spacing w:after="0" w:line="286" w:lineRule="auto"/>
        <w:tabs>
          <w:tab w:leader="none" w:pos="184"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and Removal</w:t>
      </w:r>
      <w:r>
        <w:rPr>
          <w:rFonts w:ascii="Arial" w:cs="Arial" w:eastAsia="Arial" w:hAnsi="Arial"/>
          <w:sz w:val="16"/>
          <w:szCs w:val="16"/>
          <w:color w:val="auto"/>
        </w:rPr>
        <w:t>. Each director shall hold office until such director’s successor is elected and qualified, or until such director’s earlier death,</w:t>
      </w:r>
      <w:r>
        <w:rPr>
          <w:rFonts w:ascii="Arial" w:cs="Arial" w:eastAsia="Arial" w:hAnsi="Arial"/>
          <w:sz w:val="16"/>
          <w:szCs w:val="16"/>
          <w:b w:val="1"/>
          <w:bCs w:val="1"/>
          <w:color w:val="auto"/>
        </w:rPr>
        <w:t xml:space="preserve"> </w:t>
      </w:r>
      <w:r>
        <w:rPr>
          <w:rFonts w:ascii="Arial" w:cs="Arial" w:eastAsia="Arial" w:hAnsi="Arial"/>
          <w:sz w:val="16"/>
          <w:szCs w:val="16"/>
          <w:color w:val="auto"/>
        </w:rPr>
        <w:t>resignation or removal. Any director may resign at any time upon notice to the Corporation given in writing or by any electronic transmission permitted in the Corporation’s Bylaws. Subject to the rights of the holders of any series of Preferred Stock, no director may be removed except for cause and only by the affirmative vote of the holders of at least two-thirds of the voting power of the then-outstanding shares of capital stock of the Corporation then entitled to vote at an election of directors voting together as a single class. In the event of any increase or decrease in the authorized number of directors,</w:t>
      </w:r>
    </w:p>
    <w:p>
      <w:pPr>
        <w:spacing w:after="0" w:line="2" w:lineRule="exact"/>
        <w:rPr>
          <w:rFonts w:ascii="Arial" w:cs="Arial" w:eastAsia="Arial" w:hAnsi="Arial"/>
          <w:sz w:val="16"/>
          <w:szCs w:val="16"/>
          <w:b w:val="1"/>
          <w:bCs w:val="1"/>
          <w:color w:val="auto"/>
        </w:rPr>
      </w:pPr>
    </w:p>
    <w:p>
      <w:pPr>
        <w:ind w:left="4"/>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ensure that no one class has more than one director more than any other class. To the extent possible, consistent with the foregoing rule, any newly created directorships shall be added to those classes whose terms of office are to expire at the latest dates following such allocation, and any newly eliminated directorships shall be subtracted from those classes whose terms of office are to expire at the earliest dates following such allocation, unless otherwise provided from time to time by resolution adopted by the Board. No decrease in the authorized number of directors shall shorten the term of any incumbent director.</w:t>
      </w:r>
    </w:p>
    <w:p>
      <w:pPr>
        <w:spacing w:after="0" w:line="188" w:lineRule="exact"/>
        <w:rPr>
          <w:rFonts w:ascii="Arial" w:cs="Arial" w:eastAsia="Arial" w:hAnsi="Arial"/>
          <w:sz w:val="16"/>
          <w:szCs w:val="16"/>
          <w:b w:val="1"/>
          <w:bCs w:val="1"/>
          <w:color w:val="auto"/>
        </w:rPr>
      </w:pPr>
    </w:p>
    <w:p>
      <w:pPr>
        <w:ind w:left="4" w:right="20" w:hanging="4"/>
        <w:spacing w:after="0" w:line="273" w:lineRule="auto"/>
        <w:tabs>
          <w:tab w:leader="none" w:pos="184"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Board Vacancies</w:t>
      </w:r>
      <w:r>
        <w:rPr>
          <w:rFonts w:ascii="Arial" w:cs="Arial" w:eastAsia="Arial" w:hAnsi="Arial"/>
          <w:sz w:val="17"/>
          <w:szCs w:val="17"/>
          <w:color w:val="auto"/>
        </w:rPr>
        <w:t>. Subject to the rights of the holders of any series of Preferred Stock, any vacancy occurring in the Board for any cause,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although less than a quorum, or by a sole remaining director, and not by the stockholders. Any director elected in accordance with the preceding sentence shall hold office for a term expiring at the annual meeting of stockholders at which the term of office of the class to which the director has been assigned expires or until such director’s successor shall have been duly elected and qualified, or until such director’s earlier death, resignation or removal.</w:t>
      </w:r>
    </w:p>
    <w:p>
      <w:pPr>
        <w:spacing w:after="0" w:line="171" w:lineRule="exact"/>
        <w:rPr>
          <w:rFonts w:ascii="Arial" w:cs="Arial" w:eastAsia="Arial" w:hAnsi="Arial"/>
          <w:sz w:val="17"/>
          <w:szCs w:val="17"/>
          <w:b w:val="1"/>
          <w:bCs w:val="1"/>
          <w:color w:val="auto"/>
        </w:rPr>
      </w:pPr>
    </w:p>
    <w:p>
      <w:pPr>
        <w:ind w:left="184" w:hanging="184"/>
        <w:spacing w:after="0"/>
        <w:tabs>
          <w:tab w:leader="none" w:pos="18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of the Corporation shall so provide.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 DIRECTOR LIABILITY</w:t>
      </w:r>
    </w:p>
    <w:p>
      <w:pPr>
        <w:spacing w:after="0" w:line="225" w:lineRule="exact"/>
        <w:rPr>
          <w:sz w:val="20"/>
          <w:szCs w:val="20"/>
          <w:color w:val="auto"/>
        </w:rPr>
      </w:pPr>
    </w:p>
    <w:p>
      <w:pPr>
        <w:ind w:left="4" w:right="340" w:hanging="4"/>
        <w:spacing w:after="0" w:line="281" w:lineRule="auto"/>
        <w:tabs>
          <w:tab w:leader="none" w:pos="184"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 To the fullest extent permitted by law, no director of the Corporation shall be personally liable for monetary damages for</w:t>
      </w:r>
      <w:r>
        <w:rPr>
          <w:rFonts w:ascii="Arial" w:cs="Arial" w:eastAsia="Arial" w:hAnsi="Arial"/>
          <w:sz w:val="17"/>
          <w:szCs w:val="17"/>
          <w:b w:val="1"/>
          <w:bCs w:val="1"/>
          <w:color w:val="auto"/>
        </w:rPr>
        <w:t xml:space="preserve"> </w:t>
      </w:r>
      <w:r>
        <w:rPr>
          <w:rFonts w:ascii="Arial" w:cs="Arial" w:eastAsia="Arial" w:hAnsi="Arial"/>
          <w:sz w:val="17"/>
          <w:szCs w:val="17"/>
          <w:color w:val="auto"/>
        </w:rPr>
        <w:t>breach of fiduciary duty as a director. Without limiting the effect of the preceding sentence,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w:t>
      </w:r>
    </w:p>
    <w:p>
      <w:pPr>
        <w:spacing w:after="0" w:line="164" w:lineRule="exact"/>
        <w:rPr>
          <w:rFonts w:ascii="Arial" w:cs="Arial" w:eastAsia="Arial" w:hAnsi="Arial"/>
          <w:sz w:val="17"/>
          <w:szCs w:val="17"/>
          <w:b w:val="1"/>
          <w:bCs w:val="1"/>
          <w:color w:val="auto"/>
        </w:rPr>
      </w:pPr>
    </w:p>
    <w:p>
      <w:pPr>
        <w:jc w:val="both"/>
        <w:ind w:left="4" w:right="560" w:hanging="4"/>
        <w:spacing w:after="0" w:line="289" w:lineRule="auto"/>
        <w:tabs>
          <w:tab w:leader="none" w:pos="184"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 in Rights</w:t>
      </w:r>
      <w:r>
        <w:rPr>
          <w:rFonts w:ascii="Arial" w:cs="Arial" w:eastAsia="Arial" w:hAnsi="Arial"/>
          <w:sz w:val="17"/>
          <w:szCs w:val="17"/>
          <w:color w:val="auto"/>
        </w:rPr>
        <w:t>. Neither any amendment nor repeal of this Article VII, nor the adoption of any provision of this Certificate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37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225" w:lineRule="exact"/>
        <w:rPr>
          <w:sz w:val="20"/>
          <w:szCs w:val="20"/>
          <w:color w:val="auto"/>
        </w:rPr>
      </w:pPr>
    </w:p>
    <w:p>
      <w:pPr>
        <w:ind w:left="4" w:right="80" w:hanging="4"/>
        <w:spacing w:after="0" w:line="347" w:lineRule="auto"/>
        <w:tabs>
          <w:tab w:leader="none" w:pos="184"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Action by Written Consent of Stockholders</w:t>
      </w:r>
      <w:r>
        <w:rPr>
          <w:rFonts w:ascii="Arial" w:cs="Arial" w:eastAsia="Arial" w:hAnsi="Arial"/>
          <w:sz w:val="16"/>
          <w:szCs w:val="16"/>
          <w:color w:val="auto"/>
        </w:rPr>
        <w:t>. Subject to the rights of any series of Preferred Stock, no action shall be taken by the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except at a duly called annual or special meeting of stockholders and no action shall be taken by the stockholders by written consent.</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45" w:name="page346"/>
    <w:bookmarkEnd w:id="345"/>
    <w:p>
      <w:pPr>
        <w:ind w:left="4" w:right="180" w:hanging="4"/>
        <w:spacing w:after="0" w:line="312" w:lineRule="auto"/>
        <w:tabs>
          <w:tab w:leader="none" w:pos="18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Meeting of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stockholders of the Corporation may be called only by the Chairperson of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the President or the Board acting pursuant to a resolution adopted by a majority of the Whole Board.</w:t>
      </w:r>
    </w:p>
    <w:p>
      <w:pPr>
        <w:spacing w:after="0" w:line="139" w:lineRule="exact"/>
        <w:rPr>
          <w:rFonts w:ascii="Arial" w:cs="Arial" w:eastAsia="Arial" w:hAnsi="Arial"/>
          <w:sz w:val="17"/>
          <w:szCs w:val="17"/>
          <w:b w:val="1"/>
          <w:bCs w:val="1"/>
          <w:color w:val="auto"/>
        </w:rPr>
      </w:pPr>
    </w:p>
    <w:p>
      <w:pPr>
        <w:ind w:left="4" w:right="80" w:hanging="4"/>
        <w:spacing w:after="0" w:line="261" w:lineRule="auto"/>
        <w:tabs>
          <w:tab w:leader="none" w:pos="184"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 nominations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of the Corporation and of business to be brought by stockholders before any meeting of stockholders of the Corporation shall be given in the manner provided in the Bylaws of the Corporation. Business transacted at special meetings of stockholders shall be confined to the purpose or purposes stated in the notice of meeting.</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IX: CHOICE OF FORUM</w:t>
      </w:r>
    </w:p>
    <w:p>
      <w:pPr>
        <w:spacing w:after="0" w:line="229"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w:t>
      </w:r>
    </w:p>
    <w:p>
      <w:pPr>
        <w:ind w:left="4" w:right="40" w:hanging="4"/>
        <w:spacing w:after="0" w:line="281" w:lineRule="auto"/>
        <w:tabs>
          <w:tab w:leader="none" w:pos="26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 owed by, or other wrongdoing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2" w:lineRule="exact"/>
        <w:rPr>
          <w:rFonts w:ascii="Arial" w:cs="Arial" w:eastAsia="Arial" w:hAnsi="Arial"/>
          <w:sz w:val="16"/>
          <w:szCs w:val="16"/>
          <w:color w:val="auto"/>
        </w:rPr>
      </w:pPr>
    </w:p>
    <w:p>
      <w:pPr>
        <w:ind w:left="4" w:right="60" w:hanging="4"/>
        <w:spacing w:after="0" w:line="268" w:lineRule="auto"/>
        <w:tabs>
          <w:tab w:leader="none" w:pos="21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IX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IX (including, without limitation, each portion of any sentence of this Article IX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to have consented to the provisions of this Article IX.</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229"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If any provision of this Certificate of Incorporation becomes or is declared on any ground by a court of competent jurisdiction to be illegal, unenforceable or void, portions of such provision, or such provision in its entirety, to the extent necessary, shall be severed from this Certificate of Incorporation, and the court will replace such illegal, void or unenforceable provision of this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Certificate of Incorporation shall be enforceable in accordance with its terms.</w:t>
      </w:r>
    </w:p>
    <w:p>
      <w:pPr>
        <w:spacing w:after="0" w:line="192"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 xml:space="preserve">The Corporation reserves the right to amend or repeal any provision contained in this Restated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notwithstanding any other provision of this Restated Certificate of Incorporation or any provision of law that might otherwise permit a lesser vote or no vote, but in addition to any vote of the holders of any class or series of the stock of the Corporation required by law or by this Restated Certificate of Incorporation, the affirmative vote of the holders of at least two-thirds of the voting power of all of the then-outstanding shares of the capital stock of the Corporation entitled to vote generally in the election of directors, voting together as a single class, shall be required to amend or repeal any provision of this Restated Certificate of Incorporation; provided, further, that if two-thirds of the Whole Board has approved such amendment or repeal of any provisions of this Restated Certificate of Incorporation, then only the affirmative vote of the holders of at least a majority of the voting power of all of the then-outstanding shares of the capital stock of the Corporation entitled to vote generally in the election of directors, voting together as a single class, shall be required to amend or repeal such provisions of this Restated Certificate of Incorporation.</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 * * * * * * * * *</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AEGLEA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Corporation Law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AEGLEA BIOTHERAPEUTICS, INC., a corporation organized and existing under and by virtue of the provisions of the General Corporation Law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58"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Upon the filing and effectiveness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pursuant to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Certificate of Amendment to the Restated Certificate of Incorporation of the Corporation, each twenty-five (25) shares of the Corporation’s common stock, par value $0.0001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issued and outstanding immediately prior to the Effective Time shall automatically be combined into one (1) validly issued, fully paid and non-assessable share of Common Stock without any further action by the Corporation or the holder thereof, subject to the treatment of fractional share interests as described below.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Effective Time represented shares of Common Stock (“</w:t>
      </w:r>
      <w:r>
        <w:rPr>
          <w:rFonts w:ascii="Arial" w:cs="Arial" w:eastAsia="Arial" w:hAnsi="Arial"/>
          <w:sz w:val="16"/>
          <w:szCs w:val="16"/>
          <w:b w:val="1"/>
          <w:bCs w:val="1"/>
          <w:i w:val="1"/>
          <w:iCs w:val="1"/>
          <w:color w:val="auto"/>
        </w:rPr>
        <w:t>Old Certificates</w:t>
      </w:r>
      <w:r>
        <w:rPr>
          <w:rFonts w:ascii="Arial" w:cs="Arial" w:eastAsia="Arial" w:hAnsi="Arial"/>
          <w:sz w:val="16"/>
          <w:szCs w:val="16"/>
          <w:color w:val="auto"/>
        </w:rPr>
        <w:t>”) shall thereafter represent that number of shares of Common Stock into which the shares of Common Stock represented by the Old Certificate shall have been combined, subject to the elimination of fractional share interests as described above.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text currently under Section 1 of “ARTICLE IV: AUTHORIZED STOCK” of the Restated Certificate of Incorporation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Corporation is amended and restated in its entirety to read as follows:</w:t>
      </w:r>
    </w:p>
    <w:p>
      <w:pPr>
        <w:spacing w:after="0" w:line="99"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Total Authorized</w:t>
      </w:r>
      <w:r>
        <w:rPr>
          <w:rFonts w:ascii="Arial" w:cs="Arial" w:eastAsia="Arial" w:hAnsi="Arial"/>
          <w:sz w:val="18"/>
          <w:szCs w:val="18"/>
          <w:b w:val="1"/>
          <w:bCs w:val="1"/>
          <w:color w:val="auto"/>
        </w:rPr>
        <w:t>.</w:t>
      </w:r>
      <w:r>
        <w:rPr>
          <w:rFonts w:ascii="Arial" w:cs="Arial" w:eastAsia="Arial" w:hAnsi="Arial"/>
          <w:sz w:val="18"/>
          <w:szCs w:val="18"/>
          <w:color w:val="auto"/>
        </w:rPr>
        <w:t xml:space="preserve"> The total number of shares of all classes of stock that the Corporation has authority to issue is Thirty Million (30,000,000) shares, consisting of two classes: Twenty Million (20,000,000) shares of 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Ten Million (10,000,000)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This Certificate of Amendment shall become effective as of September 8, 2023 at 12:01 a.m., Eastern Time.</w:t>
      </w:r>
    </w:p>
    <w:p>
      <w:pPr>
        <w:sectPr>
          <w:pgSz w:w="11900" w:h="16838" w:orient="portrait"/>
          <w:cols w:equalWidth="0" w:num="1">
            <w:col w:w="11020"/>
          </w:cols>
          <w:pgMar w:left="440" w:top="121" w:right="439" w:bottom="1440" w:gutter="0" w:footer="0" w:header="0"/>
        </w:sectPr>
      </w:pPr>
    </w:p>
    <w:bookmarkStart w:id="347" w:name="page348"/>
    <w:bookmarkEnd w:id="347"/>
    <w:p>
      <w:pPr>
        <w:ind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w:t>
      </w:r>
      <w:r>
        <w:rPr>
          <w:rFonts w:ascii="Arial" w:cs="Arial" w:eastAsia="Arial" w:hAnsi="Arial"/>
          <w:sz w:val="18"/>
          <w:szCs w:val="18"/>
          <w:color w:val="auto"/>
        </w:rPr>
        <w:t>: This Certificate of Amendment was duly adopted in accordance with Section 242 of the DGCL.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duly adopted resolutions setting forth and declaring advisable this Certificate of Amendment and directed that the proposed amendments be considered by the stockholders of the Corporation. An annual meeting of stockholders was duly called upon notice in accordance with Section 222 of the DGCL and held on June 6, 2023, at which meeting the necessary number of shares were voted in favor of the proposed amendments. The stockholders of the Corporation duly adopted this Certificate of Amendment.</w:t>
      </w:r>
    </w:p>
    <w:p>
      <w:pPr>
        <w:sectPr>
          <w:pgSz w:w="11900" w:h="16838" w:orient="portrait"/>
          <w:cols w:equalWidth="0" w:num="1">
            <w:col w:w="10960"/>
          </w:cols>
          <w:pgMar w:left="440" w:top="270" w:right="499" w:bottom="1440" w:gutter="0" w:footer="0" w:header="0"/>
        </w:sectPr>
      </w:pPr>
    </w:p>
    <w:bookmarkStart w:id="348" w:name="page349"/>
    <w:bookmarkEnd w:id="348"/>
    <w:p>
      <w:pPr>
        <w:spacing w:after="0" w:line="21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Certificate of Amendment to be duly executed in its corporate name as of the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September, 2023.</w:t>
      </w:r>
    </w:p>
    <w:p>
      <w:pPr>
        <w:spacing w:after="0" w:line="22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Cameron Turtle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Cameron Turtle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Operating Officer</w:t>
      </w:r>
    </w:p>
    <w:p>
      <w:pPr>
        <w:sectPr>
          <w:pgSz w:w="11900" w:h="16838" w:orient="portrait"/>
          <w:cols w:equalWidth="0" w:num="1">
            <w:col w:w="10600"/>
          </w:cols>
          <w:pgMar w:left="440" w:top="274" w:right="85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As Amended and Restated on December 15, 2022</w:t>
      </w:r>
    </w:p>
    <w:p>
      <w:pPr>
        <w:spacing w:after="0" w:line="18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AEGLEA BIOTHERAPEUTICS,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on December 15, 2022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STOCKHOLDERS</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meeting of stockholders shall be held for the election of directors at such date and time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each year fix. The meeting may be held either at a place, within or without the State of Delaware as permitted by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w:t>
      </w:r>
    </w:p>
    <w:p>
      <w:pPr>
        <w:spacing w:after="0" w:line="18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stockholders for any purpose or purposes may be called at any time by the Chairperson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the Chief Executive Officer, the President or the Board acting pursuant to a resolution adopted by a majority of the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which shall mean the total number of authorized directors, whether or not there exist any vacancies in previously authorized directorships. Special meetings may not be called by any other person or persons. The special meeting may be held either at a place, within or without the State of Delaware, or by means of remote communication as the Board in its sole discretion may determine.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Notice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all meetings of stockholders shall be given in accordance with applicable law (including, without limitation,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set forth in Section 7.1 of these Bylaws) stating the date, time and place, if any, of the meeting, the means of remote communications, if any, by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proxyholders may be deemed to be present in person and vote at such meeting and, in the case of a special meeting, the purpose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purposes for which the meeting is called. Unless otherwise required by applicable law or the Certificate of Incorporation of the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such notice shall be given not less than ten (10), nor more than sixty (60), days before the date of the meeting to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stockholder of record entitled to vote at such meeting.</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u w:val="single" w:color="auto"/>
          <w:color w:val="auto"/>
        </w:rPr>
        <w:t>Section 1.4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Adjournments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presiding over the meeting shall have the power to adjourn the meeting to another time, date and place (if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meeting of stockholders may adjourn from time to time (including an adjournment taken to address a technical failure to convene or continue a meeting using remote communication), and notice need not be given of any such adjourned meeting if the time, date and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adjournment is for more than thirty (30) days, or if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or reschedule any previously scheduled special or annual meeting of stockholders before it is to be held, in which case notice shall be provided to the stockholders of the new date, time and place, if any, of the meeting as provided in Section 1.3 above.</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u w:val="single" w:color="auto"/>
          <w:color w:val="auto"/>
        </w:rPr>
        <w:t>Section 1.5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At each meeting of stockholders the holders of a majority of the voting power of the shares of stock entitled to vote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present in person or represented by proxy, shall constitute a quorum for the transaction of business, unless otherwise required by applicable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 If a quorum shall fail to attend any meeting, the chairperson of the meeting or the holders of a majority of the shares entitled to vote who are present, in person or by proxy, at the meeting may adjourn the meeting. A quorum, once established at a meeting, shall not be broken by the withdrawal of enough votes to leave less than the quorum.</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51" w:name="page352"/>
    <w:bookmarkEnd w:id="351"/>
    <w:p>
      <w:pPr>
        <w:ind w:left="4" w:right="60"/>
        <w:spacing w:after="0" w:line="25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stockholders shall be presided over by such person as the Board may designate, or, in the absence of such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the Chairperson of the Board, or, in the absence of such person, the President of the Corporation, or, in the absence of such person, such person as may be chosen by the holders of a majority of the voting power of the shares entitled to vote who are present, in person or by proxy, at the meeting. Such person shall be chairperson of the meeting and, subject to Section 1.10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w:t>
      </w:r>
    </w:p>
    <w:p>
      <w:pPr>
        <w:spacing w:after="0" w:line="189" w:lineRule="exact"/>
        <w:rPr>
          <w:sz w:val="20"/>
          <w:szCs w:val="20"/>
          <w:color w:val="auto"/>
        </w:rPr>
      </w:pPr>
    </w:p>
    <w:p>
      <w:pPr>
        <w:ind w:left="4"/>
        <w:spacing w:after="0" w:line="277" w:lineRule="auto"/>
        <w:rPr>
          <w:sz w:val="20"/>
          <w:szCs w:val="20"/>
          <w:color w:val="auto"/>
        </w:rPr>
      </w:pPr>
      <w:r>
        <w:rPr>
          <w:rFonts w:ascii="Arial" w:cs="Arial" w:eastAsia="Arial" w:hAnsi="Arial"/>
          <w:sz w:val="17"/>
          <w:szCs w:val="17"/>
          <w:b w:val="1"/>
          <w:bCs w:val="1"/>
          <w:u w:val="single" w:color="auto"/>
          <w:color w:val="auto"/>
        </w:rPr>
        <w:t>Section 1.7</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entitled to vote at a meeting of stockholders may authorize another person or persons to act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by proxy. Such a proxy may be prepared, transmitted and delivered in any manner permitted by applicable law. Except as may be required in the Certificate of Incorporation, directors shall be elected by a plurality of the votes cast. Unless otherwise provided by applicable law, the rules of any stock exchange upon which the Corporation’s securities are listed, the Certificate of Incorporation or these Bylaws, every matter other than the election of directors shall be decided by a majority of the affirmative votes cast for or against the matter.</w:t>
      </w:r>
    </w:p>
    <w:p>
      <w:pPr>
        <w:spacing w:after="0" w:line="172"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Any stockholder directly or indirectly soliciting proxies from other stockholders must use a proxy card color other than white, which shall be reserved for exclusive use by the Board.</w:t>
      </w:r>
    </w:p>
    <w:p>
      <w:pPr>
        <w:spacing w:after="0" w:line="166" w:lineRule="exact"/>
        <w:rPr>
          <w:sz w:val="20"/>
          <w:szCs w:val="20"/>
          <w:color w:val="auto"/>
        </w:rPr>
      </w:pPr>
    </w:p>
    <w:p>
      <w:pPr>
        <w:ind w:left="4" w:right="160"/>
        <w:spacing w:after="0" w:line="286" w:lineRule="auto"/>
        <w:rPr>
          <w:sz w:val="20"/>
          <w:szCs w:val="20"/>
          <w:color w:val="auto"/>
        </w:rPr>
      </w:pPr>
      <w:r>
        <w:rPr>
          <w:rFonts w:ascii="Arial" w:cs="Arial" w:eastAsia="Arial" w:hAnsi="Arial"/>
          <w:sz w:val="16"/>
          <w:szCs w:val="16"/>
          <w:b w:val="1"/>
          <w:bCs w:val="1"/>
          <w:u w:val="single" w:color="auto"/>
          <w:color w:val="auto"/>
        </w:rPr>
        <w:t>Section 1.8</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Fixing Date for Determination of Stockholders of Record</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or to vote at any meeting of stockholders or entitled to receive payment of any dividend or other distribution or allotment of any rights, or entitled to exercise any rights in respect of any change, conversion or exchange of stock or for the purpose of any other lawful action, unless otherwise required by law, the Board may fix, in advance, a record date, which shall not precede the date upon which the resolution fixing the record date is adopted by the Board and which shall not be more than sixty (60), nor less than ten (10), days before the date of such meeting, nor more than sixty</w:t>
      </w:r>
    </w:p>
    <w:p>
      <w:pPr>
        <w:spacing w:after="0" w:line="2" w:lineRule="exact"/>
        <w:rPr>
          <w:sz w:val="20"/>
          <w:szCs w:val="20"/>
          <w:color w:val="auto"/>
        </w:rPr>
      </w:pPr>
    </w:p>
    <w:p>
      <w:pPr>
        <w:ind w:left="4" w:right="380" w:hanging="4"/>
        <w:spacing w:after="0" w:line="277" w:lineRule="auto"/>
        <w:tabs>
          <w:tab w:leader="none" w:pos="34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days prior to any other action. If no record date is fixed by the Board, then the record date shall be as provided by applicable law. To the fullest extent permitted by law, a determination of stockholders of record entitled to notice of or to vote at a meeting of stockholders shall apply to any adjournment of the meeting;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fix a new record date for the adjourned meeting.</w:t>
      </w:r>
    </w:p>
    <w:p>
      <w:pPr>
        <w:spacing w:after="0" w:line="169" w:lineRule="exact"/>
        <w:rPr>
          <w:sz w:val="20"/>
          <w:szCs w:val="20"/>
          <w:color w:val="auto"/>
        </w:rPr>
      </w:pPr>
    </w:p>
    <w:p>
      <w:pPr>
        <w:ind w:left="4"/>
        <w:spacing w:after="0" w:line="268" w:lineRule="auto"/>
        <w:rPr>
          <w:sz w:val="20"/>
          <w:szCs w:val="20"/>
          <w:color w:val="auto"/>
        </w:rPr>
      </w:pPr>
      <w:r>
        <w:rPr>
          <w:rFonts w:ascii="Arial" w:cs="Arial" w:eastAsia="Arial" w:hAnsi="Arial"/>
          <w:sz w:val="17"/>
          <w:szCs w:val="17"/>
          <w:b w:val="1"/>
          <w:bCs w:val="1"/>
          <w:u w:val="single" w:color="auto"/>
          <w:color w:val="auto"/>
        </w:rPr>
        <w:t>Section 1.9</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prepare, no later than the tenth (10th) day before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 complete list of stockholders entitled to vote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in this Section 1.9 shall require the Corporation to include electronic mail addresses or other electronic contact information on such list. Such list shall be open to the examination of any stockholder, for any purpose germane to the meeting, during ordinary business hours, for a period of ten (10) days ending on the day before the meeting date, either on a reasonably accessible electronic network as permitted by law (provided that the information required to gain access to the list is provided with the notice of the meeting) or during ordinary business hours at the principal place of business of the Corporation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1.9 or to vote in person or by proxy at any meeting of stockholders. Notwithstanding the foregoing, the Corporation may maintain and authorize examination of the list of stockholders in any manner expressly permitted by the DGCL at the time.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52" w:name="page353"/>
    <w:bookmarkEnd w:id="352"/>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Inspectors of Elections</w:t>
      </w:r>
      <w:r>
        <w:rPr>
          <w:rFonts w:ascii="Arial" w:cs="Arial" w:eastAsia="Arial" w:hAnsi="Arial"/>
          <w:sz w:val="18"/>
          <w:szCs w:val="18"/>
          <w:b w:val="1"/>
          <w:bCs w:val="1"/>
          <w:color w:val="auto"/>
        </w:rPr>
        <w:t>.</w:t>
      </w:r>
    </w:p>
    <w:p>
      <w:pPr>
        <w:spacing w:after="0" w:line="229" w:lineRule="exact"/>
        <w:rPr>
          <w:sz w:val="20"/>
          <w:szCs w:val="20"/>
          <w:color w:val="auto"/>
        </w:rPr>
      </w:pPr>
    </w:p>
    <w:p>
      <w:pPr>
        <w:ind w:left="4" w:right="80"/>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Applicability</w:t>
      </w:r>
      <w:r>
        <w:rPr>
          <w:rFonts w:ascii="Arial" w:cs="Arial" w:eastAsia="Arial" w:hAnsi="Arial"/>
          <w:sz w:val="17"/>
          <w:szCs w:val="17"/>
          <w:color w:val="auto"/>
        </w:rPr>
        <w:t>. Unless otherwise required by the Certificate of Incorporation or by the DGCL,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71" w:lineRule="exact"/>
        <w:rPr>
          <w:sz w:val="20"/>
          <w:szCs w:val="20"/>
          <w:color w:val="auto"/>
        </w:rPr>
      </w:pPr>
    </w:p>
    <w:p>
      <w:pPr>
        <w:jc w:val="both"/>
        <w:ind w:left="4" w:right="120"/>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7"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170" w:lineRule="exact"/>
        <w:rPr>
          <w:sz w:val="20"/>
          <w:szCs w:val="20"/>
          <w:color w:val="auto"/>
        </w:rPr>
      </w:pPr>
    </w:p>
    <w:p>
      <w:pPr>
        <w:ind w:left="4" w:right="180"/>
        <w:spacing w:after="0" w:line="291"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u w:val="single" w:color="auto"/>
          <w:color w:val="auto"/>
        </w:rPr>
        <w:t>Duties of Inspectors</w:t>
      </w:r>
      <w:r>
        <w:rPr>
          <w:rFonts w:ascii="Arial" w:cs="Arial" w:eastAsia="Arial" w:hAnsi="Arial"/>
          <w:sz w:val="16"/>
          <w:szCs w:val="16"/>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ind w:left="264" w:hanging="264"/>
        <w:spacing w:after="0"/>
        <w:tabs>
          <w:tab w:leader="none" w:pos="26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determine and retain for a reasonable period of time a record of the disposition of any challenges made to any determination by the inspectors, and</w:t>
      </w:r>
    </w:p>
    <w:p>
      <w:pPr>
        <w:spacing w:after="0" w:line="32" w:lineRule="exact"/>
        <w:rPr>
          <w:rFonts w:ascii="Arial" w:cs="Arial" w:eastAsia="Arial" w:hAnsi="Arial"/>
          <w:sz w:val="16"/>
          <w:szCs w:val="16"/>
          <w:color w:val="auto"/>
        </w:rPr>
      </w:pPr>
    </w:p>
    <w:p>
      <w:pPr>
        <w:ind w:left="4" w:right="60" w:hanging="4"/>
        <w:spacing w:after="0" w:line="260" w:lineRule="auto"/>
        <w:tabs>
          <w:tab w:leader="none" w:pos="24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187"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pursuant to Section 211(a)(2)(b)(i) or (iii) of the DGCL, or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7"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b w:val="1"/>
          <w:bCs w:val="1"/>
          <w:u w:val="single" w:color="auto"/>
          <w:color w:val="auto"/>
        </w:rPr>
        <w:t>Section 1.11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Conduct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adopt by resolution such rules and regulations for the conduct of the meeting of stockholders as it</w:t>
      </w:r>
      <w:r>
        <w:rPr>
          <w:rFonts w:ascii="Arial" w:cs="Arial" w:eastAsia="Arial" w:hAnsi="Arial"/>
          <w:sz w:val="17"/>
          <w:szCs w:val="17"/>
          <w:b w:val="1"/>
          <w:bCs w:val="1"/>
          <w:color w:val="auto"/>
        </w:rPr>
        <w:t xml:space="preserve"> </w:t>
      </w:r>
      <w:r>
        <w:rPr>
          <w:rFonts w:ascii="Arial" w:cs="Arial" w:eastAsia="Arial" w:hAnsi="Arial"/>
          <w:sz w:val="17"/>
          <w:szCs w:val="17"/>
          <w:color w:val="auto"/>
        </w:rPr>
        <w:t>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53" w:name="page354"/>
    <w:bookmarkEnd w:id="35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presiding person of the meeting or the Board shall determine, (d) restrictions on entry to the meeting after the time fixed for the commencement thereof, (e) limitations on the time allotted to questions or comments by participants, (f) restricting the use of audio/video recording devices and cell phones, (g) complying with any state and local laws and regulations concerning safety and security, (h) procedures (if any) requiring attendees to provide the Corporation advance notice of their intent to attend the meeting; and (i) any additional attendance or other procedures or requirements for proponents submitting a proposal pursuant to Rule 14a-8 promulgated under the Exchange Act (defined below).The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Notice of Stockholder Business; Nominations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(a)Nominations of persons for election to the Board and the proposal of business to be considered by the stockholders shall be made at an annual meeting of stockholders (i) pursuant to the Corporation’s notice of such meeting, (ii) by or at the direction of the Board or (iii) by any stockholder of the Corporation who was a stockholder of record at the time of giving of the notice provided for in this Section 1.12 (the “</w:t>
      </w:r>
      <w:r>
        <w:rPr>
          <w:rFonts w:ascii="Arial" w:cs="Arial" w:eastAsia="Arial" w:hAnsi="Arial"/>
          <w:sz w:val="17"/>
          <w:szCs w:val="17"/>
          <w:b w:val="1"/>
          <w:bCs w:val="1"/>
          <w:i w:val="1"/>
          <w:iCs w:val="1"/>
          <w:color w:val="auto"/>
        </w:rPr>
        <w:t>Record Stockholder</w:t>
      </w:r>
      <w:r>
        <w:rPr>
          <w:rFonts w:ascii="Arial" w:cs="Arial" w:eastAsia="Arial" w:hAnsi="Arial"/>
          <w:sz w:val="17"/>
          <w:szCs w:val="17"/>
          <w:color w:val="auto"/>
        </w:rPr>
        <w:t>”), who is entitled to vote at such meeting and who complies with the notice procedures set forth in this Section 1.12.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at an annual meeting of stockholders.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(b)For nominations or other business to be properly brought before an annual meeting by a Record Stockholder pursuant to Section 1.12.1(a):</w:t>
      </w:r>
    </w:p>
    <w:p>
      <w:pPr>
        <w:spacing w:after="0" w:line="140" w:lineRule="exact"/>
        <w:rPr>
          <w:sz w:val="20"/>
          <w:szCs w:val="20"/>
          <w:color w:val="auto"/>
        </w:rPr>
      </w:pPr>
    </w:p>
    <w:p>
      <w:pPr>
        <w:ind w:firstLine="987"/>
        <w:spacing w:after="0" w:line="277" w:lineRule="auto"/>
        <w:tabs>
          <w:tab w:leader="none" w:pos="120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 and in the forms required by this Section 1.12;</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such other business must otherwise be a proper matter for stockholder action;</w:t>
      </w:r>
    </w:p>
    <w:p>
      <w:pPr>
        <w:spacing w:after="0" w:line="225" w:lineRule="exact"/>
        <w:rPr>
          <w:rFonts w:ascii="Arial" w:cs="Arial" w:eastAsia="Arial" w:hAnsi="Arial"/>
          <w:sz w:val="18"/>
          <w:szCs w:val="18"/>
          <w:color w:val="auto"/>
        </w:rPr>
      </w:pPr>
    </w:p>
    <w:p>
      <w:pPr>
        <w:ind w:right="20" w:firstLine="987"/>
        <w:spacing w:after="0" w:line="270" w:lineRule="auto"/>
        <w:tabs>
          <w:tab w:leader="none" w:pos="130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 if the Proposing Person (as defined below) has provided the Corporation with a Solicitation Notice, as that term is defined in this Section, in the case of a proposal other than the nomination of persons for election to the Board, such Proposing Person must have delivered a proxy statement and form of proxy to holders of at least the percentage of the Corporation’s voting shares required under applicable law to carry any such proposal and must have included in such materials the Solicitation Notice, or (B) if the Proposing Person has delivered a notice of nomination or nominations, such Proposing Person must certify to the Corporation in writing, that it has complied with and will comply with the requirements of Rule 14a-19 promulgated under the Exchange Act (as such rule and regulations may be amended from time to time by the Securities and Exchange Commission, including any Securities and Exchange Commission Staff interpretations relating thereto) (“</w:t>
      </w:r>
      <w:r>
        <w:rPr>
          <w:rFonts w:ascii="Arial" w:cs="Arial" w:eastAsia="Arial" w:hAnsi="Arial"/>
          <w:sz w:val="17"/>
          <w:szCs w:val="17"/>
          <w:b w:val="1"/>
          <w:bCs w:val="1"/>
          <w:i w:val="1"/>
          <w:iCs w:val="1"/>
          <w:color w:val="auto"/>
        </w:rPr>
        <w:t>Rule 14a-19</w:t>
      </w:r>
      <w:r>
        <w:rPr>
          <w:rFonts w:ascii="Arial" w:cs="Arial" w:eastAsia="Arial" w:hAnsi="Arial"/>
          <w:sz w:val="17"/>
          <w:szCs w:val="17"/>
          <w:color w:val="auto"/>
        </w:rPr>
        <w:t>”), if applicable, and the Proposing Person shall deliver, no later than five (5) business days prior to the annual meeting or any adjournment, rescheduling, postponement or other delay thereof, reasonable evidence that it has complied with such requirements; and</w:t>
      </w:r>
    </w:p>
    <w:p>
      <w:pPr>
        <w:spacing w:after="0" w:line="180" w:lineRule="exact"/>
        <w:rPr>
          <w:rFonts w:ascii="Arial" w:cs="Arial" w:eastAsia="Arial" w:hAnsi="Arial"/>
          <w:sz w:val="17"/>
          <w:szCs w:val="17"/>
          <w:color w:val="auto"/>
        </w:rPr>
      </w:pPr>
    </w:p>
    <w:p>
      <w:pPr>
        <w:jc w:val="both"/>
        <w:ind w:right="180" w:firstLine="987"/>
        <w:spacing w:after="0" w:line="263" w:lineRule="auto"/>
        <w:tabs>
          <w:tab w:leader="none" w:pos="129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case of a proposal other than the nomination of persons for election to the Board, if no Solicitation Notice relating thereto has been timely provided pursuant to this Section, the Proposing Person proposing such business must not have solicited a number of proxies sufficient to have required the delivery of such a Solicitation Notice under this Section.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54" w:name="page355"/>
    <w:bookmarkEnd w:id="354"/>
    <w:p>
      <w:pPr>
        <w:jc w:val="both"/>
        <w:ind w:left="4" w:right="8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be timely, (i) a Record Stockholder’s notice must be delivered to the Secretary at the principal executive offices of the Corporation not later than the close of business on the seventy-fifth (75th) day nor earlier than the close of business on the one hundred and fifth (105th) day prior to the first anniversary of the preceding year’s annual meeting;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the event that the date of the annual meeting is more than thirty</w:t>
      </w:r>
    </w:p>
    <w:p>
      <w:pPr>
        <w:spacing w:after="0" w:line="2" w:lineRule="exact"/>
        <w:rPr>
          <w:sz w:val="20"/>
          <w:szCs w:val="20"/>
          <w:color w:val="auto"/>
        </w:rPr>
      </w:pPr>
    </w:p>
    <w:p>
      <w:pPr>
        <w:ind w:left="4" w:right="20" w:hanging="4"/>
        <w:spacing w:after="0" w:line="286" w:lineRule="auto"/>
        <w:tabs>
          <w:tab w:leader="none" w:pos="34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days before or more than sixty (60) days after such anniversary date, or if no annual meeting was held in the preceding year, notice by the Record Stockholder to be timely must be so delivered (A) no earlier than the close of business on the one hundred and fifth (105th) day prior to currently proposed annual meeting and (B) no later than the close of business on the later of the seventy-fifth (75th) day prior to such annual meeting or the close of business on the tenth (10th) day following the day on which Public Announcement (as defined below) of the date of such meeting is first made by the Corporation, (ii) in the case of a proposal for the nomination of persons for election to the Board, the Record Stockholder shall have complied in all respects with the requirements of Section 14 of the Exchange Act, including, without limitation, if applicable, the requirements of Rule 14a-19 and (iii) in the case of a proposal for the nomination of persons for election to the Board, the Board or an executive officer designated thereby shall have determined that the Record Stockholder has satisfied the requirements of this Section 1.12. In no event shall an adjournment, postponement or rescheduling (or the Public Announcement thereof) of an annual meeting for which notice has been given or a Public Announcement of the meeting date has been made commence a new time period (or extend any time period) for providing the stockholder’s notice.</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Such Record Stockholder’s notice shall set forth:</w:t>
      </w:r>
    </w:p>
    <w:p>
      <w:pPr>
        <w:spacing w:after="0" w:line="117" w:lineRule="exact"/>
        <w:rPr>
          <w:sz w:val="20"/>
          <w:szCs w:val="20"/>
          <w:color w:val="auto"/>
        </w:rPr>
      </w:pPr>
    </w:p>
    <w:p>
      <w:pPr>
        <w:ind w:left="4" w:firstLine="987"/>
        <w:spacing w:after="0" w:line="254" w:lineRule="auto"/>
        <w:tabs>
          <w:tab w:leader="none" w:pos="125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as to each person whom the Record Stockholder proposes to nominate for election or reelection as a director, all information relating to such person that would be required to be disclosed in solicitations of proxies for election of directors, or would be otherwise required, in each case pursuant to Regulation 14A under the Exchange Act, including such person’s written consent to being named as a nominee in any proxy materials relating to the Corporation’s next meeting, to the public disclosure of information regarding or related to such person provided to the Corporation by such person or otherwise pursuant to this Section 1.12 and to serving as a director if elected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191" w:lineRule="exact"/>
        <w:rPr>
          <w:rFonts w:ascii="Arial" w:cs="Arial" w:eastAsia="Arial" w:hAnsi="Arial"/>
          <w:sz w:val="18"/>
          <w:szCs w:val="18"/>
          <w:color w:val="auto"/>
        </w:rPr>
      </w:pPr>
    </w:p>
    <w:p>
      <w:pPr>
        <w:ind w:left="4" w:right="40" w:firstLine="987"/>
        <w:spacing w:after="0" w:line="263" w:lineRule="auto"/>
        <w:tabs>
          <w:tab w:leader="none" w:pos="125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as to any other business that the Record Stockholder proposes to bring before the meeting, a brief description of the business desired to be brought before the meeting, the reasons for conducting such business at the meeting and any material interest in such business of such Proposing Person; and</w:t>
      </w:r>
    </w:p>
    <w:p>
      <w:pPr>
        <w:spacing w:after="0" w:line="183" w:lineRule="exact"/>
        <w:rPr>
          <w:rFonts w:ascii="Arial" w:cs="Arial" w:eastAsia="Arial" w:hAnsi="Arial"/>
          <w:sz w:val="18"/>
          <w:szCs w:val="18"/>
          <w:color w:val="auto"/>
        </w:rPr>
      </w:pPr>
    </w:p>
    <w:p>
      <w:pPr>
        <w:ind w:left="4" w:firstLine="987"/>
        <w:spacing w:after="0" w:line="285" w:lineRule="auto"/>
        <w:tabs>
          <w:tab w:leader="none" w:pos="12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as to each Proposing Person giving the notice (aa) the name and address of such Proposing Person, as they appear on the Corporation’s books, (bb) (i) the class and number of shares of the Corporation that are owned beneficially and held of record by such Proposing Person and (ii) a certification regarding whether such Proposing Person has complied with all applicable federal, state and other legal requirements in connection with such Proposing Person’s acquisition of shares of capital stock or other securities of the Corporation and/or such Proposing Person’s acts or omissions as a stockholder of the Corporation, (cc) a description of any agreement, arrangement or understanding with respect to the nomination or proposal between or among such Proposing Person, any of its affiliates or associates, and any others Acting in Concert (as defined below) with any of the foregoing, (dd)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Proposing Persons, the effect or intent of which is to mitigate loss to, manage risk or benefit of share price changes for, or increase or decrease the voting power of, such Proposing Person, with respect to shares of stock of the Corporation, (ee) a representation that the Proposing Person is a holder of record of stock of the Corporation entitled to vote at such meeting and intends to appear in person (including virtually in the case of a meeting conducted solely by means of remote communication) or by proxy at the meeting to propose such business or nomination, (ff) any other information relating to such Proposing Person that would be required to be disclosed in proxy materials or other filings required to be made in connection with solicitations of proxies or consents by such Proposing Person in support of the business or nomination proposed to be brought before the meeting pursuant to Section 14(a) (or any successor provision) under the Exchange Act and the rules and regulations thereunder, (gg) in the case of a proposal other than the nomination of persons for election to the Board, whether such Proposing Person intends to deliver a</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55" w:name="page356"/>
    <w:bookmarkEnd w:id="35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proxy statement and form of proxy to holders of at least the percentage of the Corporation’s voting shares required under applicable law to carry the proposal (an affirmative statement of such intent being a “</w:t>
      </w:r>
      <w:r>
        <w:rPr>
          <w:rFonts w:ascii="Arial" w:cs="Arial" w:eastAsia="Arial" w:hAnsi="Arial"/>
          <w:sz w:val="16"/>
          <w:szCs w:val="16"/>
          <w:b w:val="1"/>
          <w:bCs w:val="1"/>
          <w:i w:val="1"/>
          <w:iCs w:val="1"/>
          <w:color w:val="auto"/>
        </w:rPr>
        <w:t>Solicitation Notice</w:t>
      </w:r>
      <w:r>
        <w:rPr>
          <w:rFonts w:ascii="Arial" w:cs="Arial" w:eastAsia="Arial" w:hAnsi="Arial"/>
          <w:sz w:val="16"/>
          <w:szCs w:val="16"/>
          <w:color w:val="auto"/>
        </w:rPr>
        <w:t>”) and (hh) in the case of a nomination or nominations of persons for election to the Board, a representation that such Proposing Person intends to solicit the holders of shares representing at least 67% of the voting power of the shares entitled to vote on the election of directors in support of director nominees other than the Corporation’s nominees in accordance with Rule</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14a-19, and the name of each participant (as defined in Item 4 of Exchange Act Schedule 14A) in such solicitation. If requested by the Corporation, the information required under clauses (bb), (cc) and (dd) of this subparagraph (z) shall be supplemented by such Record Stockholder not later than 10 days after the record date for the meeting to disclose such information as of the record date.</w:t>
      </w:r>
    </w:p>
    <w:p>
      <w:pPr>
        <w:spacing w:after="0" w:line="190"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color w:val="auto"/>
        </w:rPr>
        <w:t>(c)Notwithstanding anything in the second sentence of Section 1.12.1(b) to the contrary, in the event that the number of directors to be elected to the Board is increased and there is no Public Announcement by the Corporation naming all of the nominees for director or specifying the size of the increased Board at least seventy five (75) days prior to the first anniversary of the preceding year’s annual meeting (or, if the annual meeting is held more than thirty (30) days before or sixty (60) days after such anniversary date, at least seventy five (75) days prior to such annual meeting), a stockholder’s notice required by this Section 1.12 shall also be considered timely, but only with respect to nominees for any new positions created by such increase, if it shall be delivered to the Secretary of the Corporation at the principal executive office of the Corporation no later than the close of business on the tenth (10th) day following the day on which such Public Announcement is first made by the Corporation.</w:t>
      </w:r>
    </w:p>
    <w:p>
      <w:pPr>
        <w:spacing w:after="0" w:line="166" w:lineRule="exact"/>
        <w:rPr>
          <w:sz w:val="20"/>
          <w:szCs w:val="20"/>
          <w:color w:val="auto"/>
        </w:rPr>
      </w:pPr>
    </w:p>
    <w:p>
      <w:pPr>
        <w:ind w:right="100" w:firstLine="987"/>
        <w:spacing w:after="0" w:line="267" w:lineRule="auto"/>
        <w:tabs>
          <w:tab w:leader="none" w:pos="124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 Record Stockholder providing written notice required by this Section 1.12 shall update such notice, and any other information provided to the Corporation, in writing, so that the information provided or required to be provided in such notice is true and correct in all material respects as of (i) the record date for determining the stockholders entitled to notice of the meeting and (ii) the close of business on the tenth (10th) business day prior to the meeting or any adjournment, postponement or rescheduling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postponement or rescheduling thereof (and, if not practicable, on the first practicable date prior to the date to which the meeting has been adjourned, postponed or rescheduled). Notwithstanding the foregoing, if a Proposing Person no longer plans to solicit proxies in accordance with its representation pursuant to clause (hh) of subparagraph (z) above, the Record Stockholder shall inform the Corporation of this change by delivering a writing to the Secretary at the principal executive offices of the Corporation no later than two (2) business days after the occurrence of such change. A Record Stockholder shall also update its notice so that the information required by clause (gg) of subparagraph (z) above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clause (gg) of subparagraph (z) above. For the avoidance of doubt, the obligation to update as set forth in this paragraph shall not limit the Corporation’s rights with respect to any deficiencies in any notice provided by a Record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If a Record Stockholder providing written notice required by this Section 1.12 fails to provide any written update in accordance with this Section 1.12, the information as to which such written update relates may be deemed not to have been provided in accordance with these Bylaws.</w:t>
      </w:r>
    </w:p>
    <w:p>
      <w:pPr>
        <w:spacing w:after="0" w:line="183" w:lineRule="exact"/>
        <w:rPr>
          <w:rFonts w:ascii="Arial" w:cs="Arial" w:eastAsia="Arial" w:hAnsi="Arial"/>
          <w:sz w:val="17"/>
          <w:szCs w:val="17"/>
          <w:color w:val="auto"/>
        </w:rPr>
      </w:pPr>
    </w:p>
    <w:p>
      <w:pPr>
        <w:ind w:right="300" w:firstLine="987"/>
        <w:spacing w:after="0" w:line="273" w:lineRule="auto"/>
        <w:tabs>
          <w:tab w:leader="none" w:pos="123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If any information submitted pursuant to this Section 1.12 is inaccurate or incomplete in any material respect (as determined by the Board or a committee thereof), such information shall be deemed not to have been provided in accordance with these Bylaws. A Record Stockholder shall notify the Secretary in writing at the principal executive offices of the Corporation of any inaccuracy or change in any information submitted within two (2) business days after becoming aware of such inaccuracy or change, and any such notification shall clearly identify the inaccuracy or change, it being understood that no such notification will cure any deficiencies or inaccuracies with respect to any prior submission by such Record Stockholder. Upon written request of the Secretary on behalf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56" w:name="page357"/>
    <w:bookmarkEnd w:id="356"/>
    <w:p>
      <w:pPr>
        <w:ind w:left="4"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(or a duly authorized committee thereof), the Record Stockholder shall provide, within seven (7) business days after delivery of such request (or such longer period as may be specified in such request), (1) written verification, reasonably satisfactory to the Board, any committee thereof, or any authorized officer of the Corporation, to demonstrate the accuracy of any information submitted and (2) a written affirmation of any information submitted as of an earlier date. If the Record Stockholder fails to provide such written verification or affirmation within such period, the information as to which written verification or affirmation was requested may be deemed not to have been provided in accordance with these Bylaws.</w:t>
      </w:r>
    </w:p>
    <w:p>
      <w:pPr>
        <w:spacing w:after="0" w:line="161" w:lineRule="exact"/>
        <w:rPr>
          <w:sz w:val="20"/>
          <w:szCs w:val="20"/>
          <w:color w:val="auto"/>
        </w:rPr>
      </w:pPr>
    </w:p>
    <w:p>
      <w:pPr>
        <w:ind w:left="4" w:right="100"/>
        <w:spacing w:after="0" w:line="282"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all completed and signed questionnaires in the forms required by the Corporation (which form the stockholder shall request in writing from the Secretary of the Corporation and which the Secretary of the Corporation shall provide to such stockholder within ten (10)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of the Corporation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w:t>
      </w:r>
    </w:p>
    <w:p>
      <w:pPr>
        <w:spacing w:after="0" w:line="11" w:lineRule="exact"/>
        <w:rPr>
          <w:sz w:val="20"/>
          <w:szCs w:val="20"/>
          <w:color w:val="auto"/>
        </w:rPr>
      </w:pPr>
    </w:p>
    <w:p>
      <w:pPr>
        <w:ind w:left="224" w:hanging="224"/>
        <w:spacing w:after="0"/>
        <w:tabs>
          <w:tab w:leader="none" w:pos="22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consents to being named as a nominee in any proxy materials relating to the Corporation’s next meeting and agrees to serve if elected as a director,</w:t>
      </w:r>
    </w:p>
    <w:p>
      <w:pPr>
        <w:spacing w:after="0" w:line="32" w:lineRule="exact"/>
        <w:rPr>
          <w:rFonts w:ascii="Arial" w:cs="Arial" w:eastAsia="Arial" w:hAnsi="Arial"/>
          <w:sz w:val="16"/>
          <w:szCs w:val="16"/>
          <w:color w:val="auto"/>
        </w:rPr>
      </w:pPr>
    </w:p>
    <w:p>
      <w:pPr>
        <w:ind w:left="4" w:right="20" w:hanging="4"/>
        <w:spacing w:after="0" w:line="292" w:lineRule="auto"/>
        <w:tabs>
          <w:tab w:leader="none" w:pos="25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intends to serve as a director for the full term for which such individual is to stand for election, (h) represents and warrants that his or her candidacy or, if elected, Board membership, would not violate applicable state or federal law, the Certificate of Incorporation, these Bylaws, or the rules of any stock exchange on which shares of the Corporation’s common stock are traded, and (i)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62"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 xml:space="preserve">1.12.3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w:t>
      </w:r>
    </w:p>
    <w:p>
      <w:pPr>
        <w:spacing w:after="0" w:line="2" w:lineRule="exact"/>
        <w:rPr>
          <w:sz w:val="20"/>
          <w:szCs w:val="20"/>
          <w:color w:val="auto"/>
        </w:rPr>
      </w:pPr>
    </w:p>
    <w:p>
      <w:pPr>
        <w:ind w:left="4" w:hanging="4"/>
        <w:spacing w:after="0" w:line="267" w:lineRule="auto"/>
        <w:tabs>
          <w:tab w:leader="none" w:pos="259" w:val="left"/>
        </w:tabs>
        <w:numPr>
          <w:ilvl w:val="0"/>
          <w:numId w:val="251"/>
        </w:numPr>
        <w:rPr>
          <w:rFonts w:ascii="Arial" w:cs="Arial" w:eastAsia="Arial" w:hAnsi="Arial"/>
          <w:sz w:val="17"/>
          <w:szCs w:val="17"/>
          <w:color w:val="auto"/>
        </w:rPr>
      </w:pPr>
      <w:r>
        <w:rPr>
          <w:rFonts w:ascii="Arial" w:cs="Arial" w:eastAsia="Arial" w:hAnsi="Arial"/>
          <w:sz w:val="17"/>
          <w:szCs w:val="17"/>
          <w:color w:val="auto"/>
        </w:rPr>
        <w:t>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procedures set forth in this Section 1.12.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(A) the stockholder’s notice required by Section 1.12.1(b) shall be delivered to the Secretary of the Corporation at the principal executive offices of the Corporation (i) no earlier than the one hundred fifth (105th) day prior to such special meeting and (ii) no later than the close of business on the later of the seventy fifth (75th) day prior to such special meeting or the tenth (10th) day following the day on which Public Announcement is first made of the date of the special meeting and of the nominees proposed by the Board to be elected at such meeting, (B) the stockholder has complied in all respects with the requirements of Section 14 of the Exchange Act, including, without limitation, if applicable, the requirements of Rule 14a-19 and (C) the Board or an executive officer designated thereby has determined that the stockholder has satisfied the requirements of Section 1.12.</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57" w:name="page358"/>
    <w:bookmarkEnd w:id="35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1.12.4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5" w:lineRule="auto"/>
        <w:tabs>
          <w:tab w:leader="none" w:pos="12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 Only such persons who are nominated in accordance with the procedures set forth in this Section 1.12 shall be eligible to serve as directors and only such business shall be conducted at a meeting of stockholders as shall have been brought before the meeting in accordance with the procedures set forth in this Section 1.12. The number of nominees a stockholder may nominate for election at a meeting of stockholders (or in the case of a Record Stockholder giving the notice on behalf of another Proposing Person, the number of nominees a stockholder may nominate for election at the meeting on behalf of such Proposing Person) shall not exceed the number of directors to be elected at such meeting. Except as otherwise provided by law or these Bylaws, the chairperson of the meeting shall have the power and duty to determine whether a nomination or any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(and any such nominee shall be disqualified), including that if a stockholder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 stockholder’s director nominees (and any such nominee shall be disqualified). If a stockholder has given timely notice as required herein to make a nomination or bring a proposal of other business before any annual or special meeting of stockholders of the Corporation and intends to authorize a Qualified Representative (as defined below) to act for such stockholder as a proxy to present the nomination or proposal at such meeting, the stockholder shall give notice of such authorization in writing to the Secretary not less than three (3) business days before the date of such meeting, including the name and contact information for such person. Notwithstanding the foregoing provisions of Section 1.12, unless otherwise required by law, no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w:t>
      </w:r>
    </w:p>
    <w:p>
      <w:pPr>
        <w:spacing w:after="0" w:line="387" w:lineRule="exact"/>
        <w:rPr>
          <w:sz w:val="20"/>
          <w:szCs w:val="20"/>
          <w:color w:val="auto"/>
        </w:rPr>
      </w:pPr>
    </w:p>
    <w:p>
      <w:pPr>
        <w:ind w:left="4" w:right="260" w:firstLine="987"/>
        <w:spacing w:after="0" w:line="286" w:lineRule="auto"/>
        <w:tabs>
          <w:tab w:leader="none" w:pos="126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The Board may request that any Proposing Person, and any proposed nominee of such Proposing Person, furnish such additional information as may be reasonably required by the Board. Such Proposing Person and/or proposed nominee thereof shall provide such additional information within ten (10) days after it has been requested by the Board. The Board may require any such proposed nominee to submit to interviews with the Board or any committee thereof, and such proposed nominee shall make themself available for any such interviews within no less than ten</w:t>
      </w:r>
    </w:p>
    <w:p>
      <w:pPr>
        <w:spacing w:after="0" w:line="1" w:lineRule="exact"/>
        <w:rPr>
          <w:rFonts w:ascii="Arial" w:cs="Arial" w:eastAsia="Arial" w:hAnsi="Arial"/>
          <w:sz w:val="16"/>
          <w:szCs w:val="16"/>
          <w:color w:val="auto"/>
        </w:rPr>
      </w:pPr>
    </w:p>
    <w:p>
      <w:pPr>
        <w:ind w:left="344" w:hanging="344"/>
        <w:spacing w:after="0"/>
        <w:tabs>
          <w:tab w:leader="none" w:pos="34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business days following the date of such request.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(b)For purposes of this Section 1.12, the following definitions shall apply:</w:t>
      </w:r>
    </w:p>
    <w:p>
      <w:pPr>
        <w:spacing w:after="0" w:line="117" w:lineRule="exact"/>
        <w:rPr>
          <w:sz w:val="20"/>
          <w:szCs w:val="20"/>
          <w:color w:val="auto"/>
        </w:rPr>
      </w:pPr>
    </w:p>
    <w:p>
      <w:pPr>
        <w:ind w:left="4" w:right="40" w:hanging="4"/>
        <w:spacing w:after="0" w:line="269" w:lineRule="auto"/>
        <w:tabs>
          <w:tab w:leader="none" w:pos="299"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85" w:lineRule="exact"/>
        <w:rPr>
          <w:rFonts w:ascii="Arial" w:cs="Arial" w:eastAsia="Arial" w:hAnsi="Arial"/>
          <w:sz w:val="17"/>
          <w:szCs w:val="17"/>
          <w:color w:val="auto"/>
        </w:rPr>
      </w:pPr>
    </w:p>
    <w:p>
      <w:pPr>
        <w:ind w:left="4" w:right="20" w:hanging="4"/>
        <w:spacing w:after="0" w:line="301" w:lineRule="auto"/>
        <w:tabs>
          <w:tab w:leader="none" w:pos="28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Associated Person</w:t>
      </w:r>
      <w:r>
        <w:rPr>
          <w:rFonts w:ascii="Arial" w:cs="Arial" w:eastAsia="Arial" w:hAnsi="Arial"/>
          <w:sz w:val="16"/>
          <w:szCs w:val="16"/>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58" w:name="page359"/>
    <w:bookmarkEnd w:id="358"/>
    <w:p>
      <w:pPr>
        <w:ind w:right="20" w:firstLine="436"/>
        <w:spacing w:after="0" w:line="259" w:lineRule="auto"/>
        <w:tabs>
          <w:tab w:leader="none" w:pos="725"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Compensation Arrangement</w:t>
      </w:r>
      <w:r>
        <w:rPr>
          <w:rFonts w:ascii="Arial" w:cs="Arial" w:eastAsia="Arial" w:hAnsi="Arial"/>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86" w:lineRule="exact"/>
        <w:rPr>
          <w:rFonts w:ascii="Arial" w:cs="Arial" w:eastAsia="Arial" w:hAnsi="Arial"/>
          <w:sz w:val="18"/>
          <w:szCs w:val="18"/>
          <w:color w:val="auto"/>
        </w:rPr>
      </w:pPr>
    </w:p>
    <w:p>
      <w:pPr>
        <w:ind w:right="40" w:firstLine="436"/>
        <w:spacing w:after="0" w:line="257" w:lineRule="auto"/>
        <w:tabs>
          <w:tab w:leader="none" w:pos="7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87" w:lineRule="exact"/>
        <w:rPr>
          <w:rFonts w:ascii="Arial" w:cs="Arial" w:eastAsia="Arial" w:hAnsi="Arial"/>
          <w:sz w:val="18"/>
          <w:szCs w:val="18"/>
          <w:color w:val="auto"/>
        </w:rPr>
      </w:pPr>
    </w:p>
    <w:p>
      <w:pPr>
        <w:jc w:val="both"/>
        <w:ind w:right="200" w:firstLine="436"/>
        <w:spacing w:after="0" w:line="263" w:lineRule="auto"/>
        <w:tabs>
          <w:tab w:leader="none" w:pos="71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3" w:lineRule="exact"/>
        <w:rPr>
          <w:rFonts w:ascii="Arial" w:cs="Arial" w:eastAsia="Arial" w:hAnsi="Arial"/>
          <w:sz w:val="18"/>
          <w:szCs w:val="18"/>
          <w:color w:val="auto"/>
        </w:rPr>
      </w:pPr>
    </w:p>
    <w:p>
      <w:pPr>
        <w:ind w:firstLine="436"/>
        <w:spacing w:after="0" w:line="255" w:lineRule="auto"/>
        <w:tabs>
          <w:tab w:leader="none" w:pos="70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be considered a “</w:t>
      </w:r>
      <w:r>
        <w:rPr>
          <w:rFonts w:ascii="Arial" w:cs="Arial" w:eastAsia="Arial" w:hAnsi="Arial"/>
          <w:sz w:val="18"/>
          <w:szCs w:val="18"/>
          <w:b w:val="1"/>
          <w:bCs w:val="1"/>
          <w:i w:val="1"/>
          <w:iCs w:val="1"/>
          <w:color w:val="auto"/>
        </w:rPr>
        <w:t>Qualified Representative</w:t>
      </w:r>
      <w:r>
        <w:rPr>
          <w:rFonts w:ascii="Arial" w:cs="Arial" w:eastAsia="Arial" w:hAnsi="Arial"/>
          <w:sz w:val="18"/>
          <w:szCs w:val="18"/>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92" w:lineRule="exact"/>
        <w:rPr>
          <w:sz w:val="20"/>
          <w:szCs w:val="20"/>
          <w:color w:val="auto"/>
        </w:rPr>
      </w:pPr>
    </w:p>
    <w:p>
      <w:pPr>
        <w:jc w:val="both"/>
        <w:ind w:right="120" w:firstLine="991"/>
        <w:spacing w:after="0" w:line="279" w:lineRule="auto"/>
        <w:rPr>
          <w:sz w:val="20"/>
          <w:szCs w:val="20"/>
          <w:color w:val="auto"/>
        </w:rPr>
      </w:pPr>
      <w:r>
        <w:rPr>
          <w:rFonts w:ascii="Arial" w:cs="Arial" w:eastAsia="Arial" w:hAnsi="Arial"/>
          <w:sz w:val="17"/>
          <w:szCs w:val="17"/>
          <w:color w:val="auto"/>
        </w:rPr>
        <w:t>(c)Notwithstanding the foregoing provisions of this Section 1.12, a stockholder shall also comply with all applicable requirements of the Exchange Act and the rules and regulations thereunder with respect to the matters set forth herein, for the avoidance of doubt including, but not limited to, Rule 14a-19 of the Exchange Act. Nothing in this Section 1.12 shall be deemed to affect any rights of stockholders to request inclusion of proposals in the Corporation’s proxy statement pursuant to Rule 14a-8 under the Exchange Act.</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u w:val="single" w:color="auto"/>
          <w:color w:val="auto"/>
        </w:rPr>
        <w:t>Section 1.13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Emergency Bylaws</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1.13 shall be operative during any emergency condition as contemplated by Section 110 of the DGCL</w:t>
      </w:r>
      <w:r>
        <w:rPr>
          <w:rFonts w:ascii="Arial" w:cs="Arial" w:eastAsia="Arial" w:hAnsi="Arial"/>
          <w:sz w:val="16"/>
          <w:szCs w:val="16"/>
          <w:b w:val="1"/>
          <w:bCs w:val="1"/>
          <w:color w:val="auto"/>
        </w:rPr>
        <w:t xml:space="preserve"> </w:t>
      </w:r>
      <w:r>
        <w:rPr>
          <w:rFonts w:ascii="Arial" w:cs="Arial" w:eastAsia="Arial" w:hAnsi="Arial"/>
          <w:sz w:val="16"/>
          <w:szCs w:val="16"/>
          <w:color w:val="auto"/>
        </w:rPr>
        <w:t>(an “</w:t>
      </w:r>
      <w:r>
        <w:rPr>
          <w:rFonts w:ascii="Arial" w:cs="Arial" w:eastAsia="Arial" w:hAnsi="Arial"/>
          <w:sz w:val="16"/>
          <w:szCs w:val="16"/>
          <w:b w:val="1"/>
          <w:bCs w:val="1"/>
          <w:i w:val="1"/>
          <w:iCs w:val="1"/>
          <w:color w:val="auto"/>
        </w:rPr>
        <w:t>Emergency</w:t>
      </w:r>
      <w:r>
        <w:rPr>
          <w:rFonts w:ascii="Arial" w:cs="Arial" w:eastAsia="Arial" w:hAnsi="Arial"/>
          <w:sz w:val="16"/>
          <w:szCs w:val="16"/>
          <w:color w:val="auto"/>
        </w:rPr>
        <w:t>”), notwithstanding any different or conflicting provisions in these Bylaws, the Certificate of Incorporation or the DGCL. In the event of any Emergency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(as defined below) in attendance shall serve as 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 110 of the DGCL. For purposes of this Section 1.13, the term “</w:t>
      </w:r>
      <w:r>
        <w:rPr>
          <w:rFonts w:ascii="Arial" w:cs="Arial" w:eastAsia="Arial" w:hAnsi="Arial"/>
          <w:sz w:val="16"/>
          <w:szCs w:val="16"/>
          <w:b w:val="1"/>
          <w:bCs w:val="1"/>
          <w:i w:val="1"/>
          <w:iCs w:val="1"/>
          <w:color w:val="auto"/>
        </w:rPr>
        <w:t>Designated Officer</w:t>
      </w:r>
      <w:r>
        <w:rPr>
          <w:rFonts w:ascii="Arial" w:cs="Arial" w:eastAsia="Arial" w:hAnsi="Arial"/>
          <w:sz w:val="16"/>
          <w:szCs w:val="16"/>
          <w:color w:val="auto"/>
        </w:rPr>
        <w:t>”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list of Designated Officers shall be approved by the Board from time to time but in any event prior to such time or times as an Emergency may have occurred.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59" w:name="page360"/>
    <w:bookmarkEnd w:id="3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 BOARD OF DIRECTORS</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consist of one or more members. The number of directors shall be fixed from time to time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Certificate of Incorporation. No decrease in the authorized number of directors constituting the Board shall shorten the term of any incumbent director. Directors need not be stockholders of the Corporation.</w:t>
      </w:r>
    </w:p>
    <w:p>
      <w:pPr>
        <w:spacing w:after="0" w:line="176"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b w:val="1"/>
          <w:bCs w:val="1"/>
          <w:u w:val="single" w:color="auto"/>
          <w:color w:val="auto"/>
        </w:rPr>
        <w:t>Section 2.2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Election; Resignation; Removal; 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shall be divided, with respect to the time for which they severally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into classes as provided in the Certificate of Incorporation, and vacancies occurring in the Board and any newly created directorships resulting from any increase in the authorized number of directors shall be filled, as provided in the Certificate of Incorporation.</w:t>
      </w:r>
    </w:p>
    <w:p>
      <w:pPr>
        <w:spacing w:after="0" w:line="15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u w:val="single" w:color="auto"/>
          <w:color w:val="auto"/>
        </w:rPr>
        <w:t>Section 2.3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 times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Board may from time to time determine. Notice of regular meetings need not be given if the date, times and places thereof are fixed by resolution of the Board.</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u w:val="single" w:color="auto"/>
          <w:color w:val="auto"/>
        </w:rPr>
        <w:t>Section 2.4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Board may be called by the Chairperson of the Board, the Chief Executive Officer, the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or electronic transmission. Unless otherwise indicated in the notice, any and all business may be transacted at a special meeting.</w:t>
      </w:r>
    </w:p>
    <w:p>
      <w:pPr>
        <w:spacing w:after="0" w:line="173"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b w:val="1"/>
          <w:bCs w:val="1"/>
          <w:u w:val="single" w:color="auto"/>
          <w:color w:val="auto"/>
        </w:rPr>
        <w:t>Section 2.5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u w:val="single" w:color="auto"/>
          <w:color w:val="auto"/>
        </w:rPr>
        <w:t>Section 2.6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Certificate of Incorporation regarding the ability of members of the Board to fill a</w:t>
      </w:r>
      <w:r>
        <w:rPr>
          <w:rFonts w:ascii="Arial" w:cs="Arial" w:eastAsia="Arial" w:hAnsi="Arial"/>
          <w:sz w:val="18"/>
          <w:szCs w:val="18"/>
          <w:b w:val="1"/>
          <w:bCs w:val="1"/>
          <w:color w:val="auto"/>
        </w:rPr>
        <w:t xml:space="preserve"> </w:t>
      </w:r>
      <w:r>
        <w:rPr>
          <w:rFonts w:ascii="Arial" w:cs="Arial" w:eastAsia="Arial" w:hAnsi="Arial"/>
          <w:sz w:val="18"/>
          <w:szCs w:val="18"/>
          <w:color w:val="auto"/>
        </w:rPr>
        <w:t>vacancy occurring in the Board, a majority of the Whole Board shall constitute a quorum for the transaction of 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183"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the Chairperson of the Board, or in such person’s absence by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or in such person’s absence by a chairperson chosen at the meeting. The Secretary shall act as secretary of the meeting, but in such person’s absence the chairperson of the meeting may appoint any person to act as secretary of the meeting.</w:t>
      </w:r>
    </w:p>
    <w:p>
      <w:pPr>
        <w:spacing w:after="0" w:line="17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u w:val="single" w:color="auto"/>
          <w:color w:val="auto"/>
        </w:rPr>
        <w:t>Section 2.8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Written Action by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of any committee thereof,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taken without a meeting if all members of the Board or such committee, as the case may be, consent thereto in writing or by electronic transmission. After an action is taken, the writing or writings or electronic transmission or transmissions shall be filed with the minutes of proceedings of the Board or committee, respectively, in the minute books of the Corporation.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Section 2.9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except as otherwise required by law or the Certificate of Incorporation, exercise all such powers and manage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 all such acts and things as may be exercised or done by the Corporation.</w:t>
      </w:r>
    </w:p>
    <w:p>
      <w:pPr>
        <w:spacing w:after="0" w:line="162" w:lineRule="exact"/>
        <w:rPr>
          <w:sz w:val="20"/>
          <w:szCs w:val="20"/>
          <w:color w:val="auto"/>
        </w:rPr>
      </w:pPr>
    </w:p>
    <w:p>
      <w:pPr>
        <w:ind w:right="780"/>
        <w:spacing w:after="0" w:line="347" w:lineRule="auto"/>
        <w:rPr>
          <w:sz w:val="20"/>
          <w:szCs w:val="20"/>
          <w:color w:val="auto"/>
        </w:rPr>
      </w:pPr>
      <w:r>
        <w:rPr>
          <w:rFonts w:ascii="Arial" w:cs="Arial" w:eastAsia="Arial" w:hAnsi="Arial"/>
          <w:sz w:val="16"/>
          <w:szCs w:val="16"/>
          <w:b w:val="1"/>
          <w:bCs w:val="1"/>
          <w:u w:val="single" w:color="auto"/>
          <w:color w:val="auto"/>
        </w:rPr>
        <w:t>Section 2.10</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Compensation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as such, may receive, pursuant to a resolution of the Board, fees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their services as directors, including without limitation their services as members of committees of the Board.</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 COMMITTEES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u w:val="single" w:color="auto"/>
          <w:color w:val="auto"/>
        </w:rPr>
        <w:t>Section 3.1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Committee Rules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Board otherwise provides, each committee designated by the Board may make, alter and repeal rules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of its business. In the absence of such rules each committee shall conduct its business in the same manner as the Board conducts its business pursuant to Article II of these Bylaws.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OFFICERS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u w:val="single" w:color="auto"/>
          <w:color w:val="auto"/>
        </w:rPr>
        <w:t>Section 4.1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officers of the Corporation shall consist of a Chief Executive Officer (who may not be the Chairperson of the Board, except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the last sentence of Section 4.2 hereof, but who may be the President), a Secretary and a Treasurer and may consist of such other officers, including a Chief Financial Officer and one or more Vice Presidents, as may from time to time be appointed by the Board. All officers shall be elected by the Board;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empower the Chief Executive Officer of the Corporation to appoint any officer other than the Chairperson of the Board, the Chief Executive Officer, the President, the Chief Financial Officer or the Treasurer. Each officer shall hold office until such person’s successor is appointed or until such person’s earlier resignation, death or removal. Any number of offices may be held by the same person. Any officer may resign at any time upon written notice to the Corporation. Any vacancy occurring in any office of the Corporation by death, resignation, removal or otherwise may be filled by the Board.</w:t>
      </w:r>
    </w:p>
    <w:p>
      <w:pPr>
        <w:spacing w:after="0" w:line="172"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u w:val="single" w:color="auto"/>
          <w:color w:val="auto"/>
        </w:rPr>
        <w:t>Section 4.2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5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(a)To act as the general manager and, subject to the control of the Board, to have general supervision, direction and control of the business and affairs of the Corporation;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(b)Subject to Article I, Section 1.6, to preside at all meetings of the stockholders;</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(c)Subject to Article I, Section 1.2, to call special meetings of the stockholders to be held at such times and, subject to the limitations prescribed by law or by these Bylaws, at such places as he or she shall deem proper;</w:t>
      </w:r>
    </w:p>
    <w:p>
      <w:pPr>
        <w:spacing w:after="0" w:line="170" w:lineRule="exact"/>
        <w:rPr>
          <w:sz w:val="20"/>
          <w:szCs w:val="20"/>
          <w:color w:val="auto"/>
        </w:rPr>
      </w:pPr>
    </w:p>
    <w:p>
      <w:pPr>
        <w:ind w:right="200" w:firstLine="991"/>
        <w:spacing w:after="0" w:line="301" w:lineRule="auto"/>
        <w:rPr>
          <w:sz w:val="20"/>
          <w:szCs w:val="20"/>
          <w:color w:val="auto"/>
        </w:rPr>
      </w:pPr>
      <w:r>
        <w:rPr>
          <w:rFonts w:ascii="Arial" w:cs="Arial" w:eastAsia="Arial" w:hAnsi="Arial"/>
          <w:sz w:val="16"/>
          <w:szCs w:val="16"/>
          <w:color w:val="auto"/>
        </w:rPr>
        <w:t>(d)To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and, subject to the direction of the Board, to have general charge of the property of the Corporation and to supervise and control all officers, agents and employees of the Corporation; and</w:t>
      </w:r>
    </w:p>
    <w:p>
      <w:pPr>
        <w:spacing w:after="0" w:line="15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(e)To vote and otherwise act on, or to authorize any officer to vote or otherwise act on, on behalf of the Corporation, in person or by proxy, at any meeting of stockholders of or with respect to any action of stockholders of any other corporation in which this Corporation may hold securities and otherwise to exercise, or authorize any officer otherwise to exercise, any and all rights and powers which this Corporation may possess by reason of its ownership of securities in such other corporation.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361" w:name="page362"/>
    <w:bookmarkEnd w:id="361"/>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w:t>
      </w:r>
    </w:p>
    <w:p>
      <w:pPr>
        <w:spacing w:after="0" w:line="180"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Chairperson of the Board shall have the power to preside at all meetings of the Board and shall have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powers and duties as provided in these Bylaws and as the Board may from time to time prescribe.</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u w:val="single" w:color="auto"/>
          <w:color w:val="auto"/>
        </w:rPr>
        <w:t>Section 4.4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Executive Officer shall be the President of the Corporation unless the Board shall have designated one individual as</w:t>
      </w:r>
      <w:r>
        <w:rPr>
          <w:rFonts w:ascii="Arial" w:cs="Arial" w:eastAsia="Arial" w:hAnsi="Arial"/>
          <w:sz w:val="17"/>
          <w:szCs w:val="17"/>
          <w:b w:val="1"/>
          <w:bCs w:val="1"/>
          <w:color w:val="auto"/>
        </w:rPr>
        <w:t xml:space="preserve"> </w:t>
      </w:r>
      <w:r>
        <w:rPr>
          <w:rFonts w:ascii="Arial" w:cs="Arial" w:eastAsia="Arial" w:hAnsi="Arial"/>
          <w:sz w:val="17"/>
          <w:szCs w:val="17"/>
          <w:color w:val="auto"/>
        </w:rPr>
        <w:t>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72"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u w:val="single" w:color="auto"/>
          <w:color w:val="auto"/>
        </w:rPr>
        <w:t>Section 4.5</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Each Vice President shall have all such powers and duties as are commonly incident to the office of Vice President, or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delegated to him or her by the Board or the Chief Executive Officer. A Vice President may be designated by the Board to perform the duties and exercise the powers of the Chief Executive Officer in the event of the Chief Executive Officer’s absence or disability.</w:t>
      </w:r>
    </w:p>
    <w:p>
      <w:pPr>
        <w:spacing w:after="0" w:line="158"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u w:val="single" w:color="auto"/>
          <w:color w:val="auto"/>
        </w:rPr>
        <w:t>Section 4.6</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The Chief Financial Officer shall be the Treasurer of the Corporation unless the Board shall have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Treasurer shall have custody of all moneys and securities of the Corporation. The Treasurer shall make such disbursements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u w:val="single" w:color="auto"/>
          <w:color w:val="auto"/>
        </w:rPr>
        <w:t>Section 4.8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u w:val="single" w:color="auto"/>
          <w:color w:val="auto"/>
        </w:rPr>
        <w:t>Section 4.9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from time to time delegate the powers or duties of any officer to any other officers or agents,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hereof.</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Section 4.10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provided that if the Board has empowered the Chief Executive Officer to appoint any Vice Presidents of the Corporation, then such Vice Presidents may be removed by the Chief Executive Officer. Such removal shall be without prejudice to the contractual rights of such officer, if any, with the Corporation.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 STOCK</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u w:val="single" w:color="auto"/>
          <w:color w:val="auto"/>
        </w:rPr>
        <w:t>Section 5.1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of capital stock of the Corporation shall be represented by certificates; provided, however, that the Board may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by resolution or resolutions that some or all of any or all classes or series of its stock may be uncertificated shares. Notwithstanding the adoption of such resolution by the Board, each holder of stock that is a certificated security shall be entitled to have a certificate signed by or in the name of the Corporation by the Chairperson or Vice-Chairperson of the Board, or the President or a Vice President, and by the Treasurer or an Assistant Treasurer, or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u w:val="single" w:color="auto"/>
          <w:color w:val="auto"/>
        </w:rPr>
        <w:t>Section 5.2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Lost, Stolen or Destroyed Stock Certificates; Issuance of New Certificates or Uncertificated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issue a new</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w:t>
      </w:r>
    </w:p>
    <w:p>
      <w:pPr>
        <w:spacing w:after="0" w:line="18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Section 5.3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Other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 transfer, conversion and registration of stock certificates and uncertificated securities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regulations as the Board may establish.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INDEMNIFICATION</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u w:val="single" w:color="auto"/>
          <w:color w:val="auto"/>
        </w:rPr>
        <w:t>Section 6.1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 is</w:t>
      </w:r>
      <w:r>
        <w:rPr>
          <w:rFonts w:ascii="Arial" w:cs="Arial" w:eastAsia="Arial" w:hAnsi="Arial"/>
          <w:sz w:val="16"/>
          <w:szCs w:val="16"/>
          <w:b w:val="1"/>
          <w:bCs w:val="1"/>
          <w:color w:val="auto"/>
        </w:rPr>
        <w:t xml:space="preserve"> </w:t>
      </w:r>
      <w:r>
        <w:rPr>
          <w:rFonts w:ascii="Arial" w:cs="Arial" w:eastAsia="Arial" w:hAnsi="Arial"/>
          <w:sz w:val="16"/>
          <w:szCs w:val="16"/>
          <w:color w:val="auto"/>
        </w:rPr>
        <w:t>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(or a person of whom such person is the legal representative), is or was a member of the Board or officer of the Corporation or a Reincorporated Predecessor (as defined below) or is or was serving at the request of the Corporation or a Reincorporated Predecessor as a member of the board of directors, officer or trustee of another corporation, or of a partnership, joint venture, trust or other enterprise, including service with respect to employee benefit plans (for purposes of this Article VI,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shall be indemnified and held harmless by the Corporation to the fullest extent permitted by applicable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Arial" w:cs="Arial" w:eastAsia="Arial" w:hAnsi="Arial"/>
          <w:sz w:val="16"/>
          <w:szCs w:val="16"/>
          <w:b w:val="1"/>
          <w:bCs w:val="1"/>
          <w:i w:val="1"/>
          <w:iCs w:val="1"/>
          <w:color w:val="auto"/>
        </w:rPr>
        <w:t>Reincorporated Predecessor</w:t>
      </w:r>
      <w:r>
        <w:rPr>
          <w:rFonts w:ascii="Arial" w:cs="Arial" w:eastAsia="Arial" w:hAnsi="Arial"/>
          <w:sz w:val="16"/>
          <w:szCs w:val="16"/>
          <w:color w:val="auto"/>
        </w:rPr>
        <w:t>” means (a) a corporation that is merged with and into the Corporation in a statutory merger where (i) the Corporation is the surviving corporation of such merger; (ii) the primary purpose of such merger is to change the corporate domicile of the Reincorporated Predecessor to Delaware or (b) a limited liability company that is converted into a Delaware Corporation pursuant to DGCL § 265. To the extent that a present or former director or officer of the corporation has been successful on the merits or otherwise in defense of any action, suit or proceeding described in this Section 6.1 or in defense of any claim, issue or matter therein, such person shall be indemnified against expenses (including attorneys’ fees) actually and reasonably incurred by such person in connection therewith.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63" w:name="page364"/>
    <w:bookmarkEnd w:id="363"/>
    <w:p>
      <w:pPr>
        <w:ind w:right="80"/>
        <w:spacing w:after="0" w:line="286"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Advancement of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a written indemnification agreement between the Corporation and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Indemnitee, the Corporation shall pay all reasonable expenses (including attorneys’ fees) incurred by such an Indemnitee in defending any such Proceeding as they are incurred in advance of its final disposition;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DGCL then so requires, the payment of such expenses incurred by such Indemnitee in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 or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claim for which indemnity is excluded pursuant to these bylaws, but shall apply to any Proceeding referenced in Section 6.1 prior to a determination that the person is not entitled to be indemnified by the corporation. Any advances of expenses or undertakings to repay pursuant to this Section 6.2 shall be unsecured, interest free and without regard to Indemnitee’s ability to pay.</w:t>
      </w:r>
    </w:p>
    <w:p>
      <w:pPr>
        <w:spacing w:after="0" w:line="167"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u w:val="single" w:color="auto"/>
          <w:color w:val="auto"/>
        </w:rPr>
        <w:t>Section 6.3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Non-Exclusivity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conferred on any person in this Article VI shall not be exclusive of any other right that such person</w:t>
      </w:r>
      <w:r>
        <w:rPr>
          <w:rFonts w:ascii="Arial" w:cs="Arial" w:eastAsia="Arial" w:hAnsi="Arial"/>
          <w:sz w:val="16"/>
          <w:szCs w:val="16"/>
          <w:b w:val="1"/>
          <w:bCs w:val="1"/>
          <w:color w:val="auto"/>
        </w:rPr>
        <w:t xml:space="preserve"> </w:t>
      </w:r>
      <w:r>
        <w:rPr>
          <w:rFonts w:ascii="Arial" w:cs="Arial" w:eastAsia="Arial" w:hAnsi="Arial"/>
          <w:sz w:val="16"/>
          <w:szCs w:val="16"/>
          <w:color w:val="auto"/>
        </w:rPr>
        <w:t>may have or hereafter acquire under any statute, provision of the Certificate of Incorporation, Bylaw,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Section 6.4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or agent of the Corporation, or any person serving at the request of the Corporation as a director, officer, employee or agent of another corporation, partnership, joint venture, trust or other enterprise, including employee benefit plans, that provide indemnification or advancement rights to such person. Such rights may be greater than those provided in this Article VI.</w:t>
      </w:r>
    </w:p>
    <w:p>
      <w:pPr>
        <w:spacing w:after="0" w:line="18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Section 6.5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Right of Indemnitee to Bring Suit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shall apply to the extent not in conflict with any indemnification contract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6.4 above.</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6.5.1 </w:t>
      </w:r>
      <w:r>
        <w:rPr>
          <w:rFonts w:ascii="Arial" w:cs="Arial" w:eastAsia="Arial" w:hAnsi="Arial"/>
          <w:sz w:val="17"/>
          <w:szCs w:val="17"/>
          <w:u w:val="single" w:color="auto"/>
          <w:color w:val="auto"/>
        </w:rPr>
        <w:t>Right to Bring Suit</w:t>
      </w:r>
      <w:r>
        <w:rPr>
          <w:rFonts w:ascii="Arial" w:cs="Arial" w:eastAsia="Arial" w:hAnsi="Arial"/>
          <w:sz w:val="17"/>
          <w:szCs w:val="17"/>
          <w:color w:val="auto"/>
        </w:rPr>
        <w:t>. If a claim under Section 6.1 or 6.2 of this Article VI is not paid in full by the Corporation within ninety (90) days after a written claim has been received by the Corporation,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7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0" w:right="499" w:bottom="1440" w:gutter="0" w:footer="0" w:header="0"/>
        </w:sectPr>
      </w:pPr>
    </w:p>
    <w:bookmarkStart w:id="364" w:name="page365"/>
    <w:bookmarkEnd w:id="364"/>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6.5.3 </w:t>
      </w:r>
      <w:r>
        <w:rPr>
          <w:rFonts w:ascii="Arial" w:cs="Arial" w:eastAsia="Arial" w:hAnsi="Arial"/>
          <w:sz w:val="17"/>
          <w:szCs w:val="17"/>
          <w:u w:val="single" w:color="auto"/>
          <w:color w:val="auto"/>
        </w:rPr>
        <w:t>Burden of Proof</w:t>
      </w:r>
      <w:r>
        <w:rPr>
          <w:rFonts w:ascii="Arial" w:cs="Arial" w:eastAsia="Arial" w:hAnsi="Arial"/>
          <w:sz w:val="17"/>
          <w:szCs w:val="17"/>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6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u w:val="single" w:color="auto"/>
          <w:color w:val="auto"/>
        </w:rPr>
        <w:t>Section 6.6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Nature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conferred upon Indemnitees in this Article VI shall be contract rights and such rights shall continue as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u w:val="single" w:color="auto"/>
          <w:color w:val="auto"/>
        </w:rPr>
        <w:t>Section 6.7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purchase and maintain insurance on behalf of any person who is or was a director, officer,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u w:val="single" w:color="auto"/>
          <w:color w:val="auto"/>
        </w:rPr>
        <w:t>Section 6.8</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Indemnification for Successful Defense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an Indemnitee has been successful on the merits or otherwise in defense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Proceeding (or in defense of any claim, issue or matter therein), such Indemnitee shall be indemnified under this Section 6.8 against expenses (including attorneys’ fees) actually and reasonably incurred in connection with such defense. Indemnification under this Section 6.8 shall not be subject to satisfaction of a standard of conduct, and the Corporation may not assert the failure to satisfy a standard of conduct as a basis to deny indemnification or recover amounts advanced, including in a suit brought pursuant to Section 6.5 (notwithstanding anything to the contrary therein);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any Indemnitee who is not a current or former director or officer (as such term is defined in the final sentence of Section 145(c)(1) of the DGCL) shall be entitled to indemnification under Section 6.1 and this Section 6.8 only if such Indemnitee has satisfied the standard of conduct required for indemnification under Section 145(a) or Section 145(b) of the DGCL.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Form and Delivery</w:t>
      </w:r>
      <w:r>
        <w:rPr>
          <w:rFonts w:ascii="Arial" w:cs="Arial" w:eastAsia="Arial" w:hAnsi="Arial"/>
          <w:sz w:val="17"/>
          <w:szCs w:val="17"/>
          <w:color w:val="auto"/>
        </w:rPr>
        <w:t>. Except as otherwise required by law, notice may be given in writing directed to a stockholder’s mailing address as it appears on the 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Securities and Exchange Commission’s proxy rules set forth in Regulation 14A under the Exchange Act, notice shall be given in the manner required by such rules. To the extent permitted by such rules, or if the Corporation is not subject to Regulation 14A,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shall, in the absence of fraud, be prima facie evidence of the facts stated therein.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65" w:name="page366"/>
    <w:bookmarkEnd w:id="365"/>
    <w:p>
      <w:pPr>
        <w:ind w:right="40"/>
        <w:spacing w:after="0" w:line="274"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INTERESTED DIRECTORS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Interested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 contract or transaction between the Corporation and one or more of its members of the Board or officers, or</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6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Section 8.2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directors may be counted in determining the presence of a quorum at a meeting of the Board or of a committee which</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authorizes the contract or transaction.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of the Corporation shall be determined by resolution of the Board.</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u w:val="single" w:color="auto"/>
          <w:color w:val="auto"/>
        </w:rPr>
        <w:t>Section 9.2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 otherwise be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form as may be approved from time to time by the Board.</w:t>
      </w:r>
    </w:p>
    <w:p>
      <w:pPr>
        <w:spacing w:after="0" w:line="16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u w:val="single" w:color="auto"/>
          <w:color w:val="auto"/>
        </w:rPr>
        <w:t>Section 9.3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Form of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Any records maintained by the Corporation in the regular course of its business, including its stock ledger, books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and minute books, may be kept on or by means of, or be in the form of, diskettes, CDs, or any other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u w:val="single" w:color="auto"/>
          <w:color w:val="auto"/>
        </w:rPr>
        <w:t>Section 9.4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Section 9.5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 Bylaws,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Certificate of Incorporation shall govern.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66" w:name="page367"/>
    <w:bookmarkEnd w:id="366"/>
    <w:p>
      <w:pPr>
        <w:ind w:right="20"/>
        <w:spacing w:after="0" w:line="258"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AMENDMENT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Notwithstanding any other provision of these Bylaws, any amendment or repeal of these Bylaws, or adoption of Bylaws, shall require the approval of the Board or the stockholders of the Corporation as provided in the Certificate of Incorporation.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 EXCLUSIVE FORUM</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any security of the Corporation shall be deemed to have notice of and consented to the provisions of this Article XI.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367" w:name="page368"/>
    <w:bookmarkEnd w:id="36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 BYLAWS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AEGLEA BIOTHERAPEUTICS, INC.</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Kastenmayer, certify that I am the General Counsel and Secretary of Aeglea BioTherapeutics, Inc., a Delaware corporation (the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I am duly authorized to make and deliver this certification, that the attached Bylaws are a true and complete copy of the Amended and Restated Bylaws of the Corporation in effect as of the date of this certificate.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James Kastenmayer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Kastenmayer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 and Secretary</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440" w:top="270" w:right="57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AEGLEA BIOTHERAPEUTICS,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NON-VOTING CONVERTIBLE PREFERRED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UNDERSIGNED DOES HEREBY CERTIFY, on behalf of Aeglea BioTherapeutics,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the following resolution was duly adopted by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in accordance with the provisions of Section 151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at a meeting duly called and held on June 21, 2023, which resolution provides for the creation of a series of the Corporation’s Preferred Stock, par value $0.0001 per share, which is designated as “Series A Non-Voting Convertible Preferred Stock,” with the preferences, rights and limitations set forth therein relating to dividends, conversion, redemption, dissolution and distribution of assets of the Corporation.</w:t>
      </w:r>
    </w:p>
    <w:p>
      <w:pPr>
        <w:spacing w:after="0" w:line="188"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Restated 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provides for a class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stock known as Preferred Stock, consisting of 10,000,000 shares, $0.0001 par value per share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issuable from time to time in one or more series.</w:t>
      </w:r>
    </w:p>
    <w:p>
      <w:pPr>
        <w:spacing w:after="0" w:line="176"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pursuant to authority conferred upon the Board of Directors by the Certificate of Incorporation, (i) a series of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be, and hereby is authorized by the Board of Directors, (ii) the Board of Directors hereby authorizes the issuance of 1,086,341 shares of “Series A Non-Voting Convertible Preferred Stock” pursuant to the terms of (a) the Securities Purchase Agreement, dated as of the date hereof, by and among the Corporation and the initial Holders (as defined below)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and (b) the Agreement and Plan of Merger, dated as of the date hereof, by and among the Corporation, Aspen Merger Sub I, Inc., a Delaware corporation and wholly owned subsidiary of Parent, Sequoia Merger Sub II, LLC, a Delaware limited liability company and wholly owned subsidiary of Parent and Spyre Therapeutics, Inc.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(iii) the Board of Directors hereby fixes the designations, powers, preferences and relative, participating, optional or other special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and the qualifications, limitations or restrictions thereof, of such shares of Preferred Stock, in addition to any provisions set forth in the Certificate of Incorporation that are applicable to the Preferred Stock of all classes and series, as follows:</w:t>
      </w:r>
    </w:p>
    <w:p>
      <w:pPr>
        <w:spacing w:after="0" w:line="382"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TERMS OF SERIES A NON-VOTING CONVERTIBLE PREFERRED STOCK</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hereof, the following terms shall have the following meanings:</w:t>
      </w:r>
    </w:p>
    <w:p>
      <w:pPr>
        <w:spacing w:after="0" w:line="117"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Buy-In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6.5.4</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Sale Price</w:t>
      </w:r>
      <w:r>
        <w:rPr>
          <w:rFonts w:ascii="Arial" w:cs="Arial" w:eastAsia="Arial" w:hAnsi="Arial"/>
          <w:sz w:val="18"/>
          <w:szCs w:val="18"/>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9" w:name="page370"/>
    <w:bookmarkEnd w:id="369"/>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Corporation’s common stock, par value $0.0001 per share, and stock of any other class of securities into which such securities may hereafter be reclassified or changed.</w:t>
      </w:r>
    </w:p>
    <w:p>
      <w:pPr>
        <w:spacing w:after="0" w:line="170"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Shares</w:t>
      </w:r>
      <w:r>
        <w:rPr>
          <w:rFonts w:ascii="Arial" w:cs="Arial" w:eastAsia="Arial" w:hAnsi="Arial"/>
          <w:sz w:val="18"/>
          <w:szCs w:val="18"/>
          <w:color w:val="auto"/>
        </w:rPr>
        <w:t>” means, collectively, the shares of Common Stock issuable upon conversion of the shares of Series A Non-Voting Preferred Stock in accordance with the terms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holder of shares of Series A Non-Voting Preferred Stock.</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the principal Trading Market is open for business.</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ind w:right="340" w:firstLine="987"/>
        <w:spacing w:after="0" w:line="263" w:lineRule="auto"/>
        <w:tabs>
          <w:tab w:leader="none" w:pos="1171"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Designation, Amount and Par Value</w:t>
      </w:r>
      <w:r>
        <w:rPr>
          <w:rFonts w:ascii="Arial" w:cs="Arial" w:eastAsia="Arial" w:hAnsi="Arial"/>
          <w:sz w:val="18"/>
          <w:szCs w:val="18"/>
          <w:color w:val="auto"/>
        </w:rPr>
        <w:t>. The series of Preferred Stock shall be designated as the Corporation’s Series A Non-Voting Convertible Preferred Stock (the “</w:t>
      </w:r>
      <w:r>
        <w:rPr>
          <w:rFonts w:ascii="Arial" w:cs="Arial" w:eastAsia="Arial" w:hAnsi="Arial"/>
          <w:sz w:val="18"/>
          <w:szCs w:val="18"/>
          <w:b w:val="1"/>
          <w:bCs w:val="1"/>
          <w:i w:val="1"/>
          <w:iCs w:val="1"/>
          <w:color w:val="auto"/>
        </w:rPr>
        <w:t>Series A Non-Voting Preferred Stock</w:t>
      </w:r>
      <w:r>
        <w:rPr>
          <w:rFonts w:ascii="Arial" w:cs="Arial" w:eastAsia="Arial" w:hAnsi="Arial"/>
          <w:sz w:val="18"/>
          <w:szCs w:val="18"/>
          <w:color w:val="auto"/>
        </w:rPr>
        <w:t>”) and the number of shares so designated shall be 1,086,341. Each share of Series A Non-Voting Preferred Stock shall have a par value of $0.0001 per share.</w:t>
      </w:r>
    </w:p>
    <w:p>
      <w:pPr>
        <w:spacing w:after="0" w:line="183" w:lineRule="exact"/>
        <w:rPr>
          <w:rFonts w:ascii="Arial" w:cs="Arial" w:eastAsia="Arial" w:hAnsi="Arial"/>
          <w:sz w:val="18"/>
          <w:szCs w:val="18"/>
          <w:color w:val="auto"/>
        </w:rPr>
      </w:pPr>
    </w:p>
    <w:p>
      <w:pPr>
        <w:ind w:firstLine="987"/>
        <w:spacing w:after="0" w:line="269" w:lineRule="auto"/>
        <w:tabs>
          <w:tab w:leader="none" w:pos="1171"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Holders shall be entitled to receive, and the Corporation shall pay, dividends on shares of the Series A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provided, however, in no event shall Holders of Series A Non-Voting Preferred Stock be entitled to receive the “rights” distributed pursuant to that certain Contingent Value Rights Agreement dated as of June 22, 2023 by and between the Corporation and American Stock Transfer &amp; Trust Company, LLC, as may be amended from time to time (the “CVR Agreement”), or any amounts paid under the CVR Agreement. Other than as set forth in the previous sentence, no other dividends shall be paid on shares of Series A Non-Voting Preferred Stock, and the Corporation shall pay no dividends (other than dividends payable in the form of Common Stock) on shares of the Common Stock unless it simultaneously complies with the previous sentence.</w:t>
      </w:r>
    </w:p>
    <w:p>
      <w:pPr>
        <w:spacing w:after="0" w:line="185" w:lineRule="exact"/>
        <w:rPr>
          <w:rFonts w:ascii="Arial" w:cs="Arial" w:eastAsia="Arial" w:hAnsi="Arial"/>
          <w:sz w:val="17"/>
          <w:szCs w:val="17"/>
          <w:color w:val="auto"/>
        </w:rPr>
      </w:pPr>
    </w:p>
    <w:p>
      <w:pPr>
        <w:ind w:left="1160" w:hanging="173"/>
        <w:spacing w:after="0"/>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sz w:val="20"/>
          <w:szCs w:val="20"/>
          <w:color w:val="auto"/>
        </w:rPr>
      </w:pPr>
    </w:p>
    <w:p>
      <w:pPr>
        <w:ind w:right="60" w:firstLine="1432"/>
        <w:spacing w:after="0" w:line="311" w:lineRule="auto"/>
        <w:rPr>
          <w:sz w:val="20"/>
          <w:szCs w:val="20"/>
          <w:color w:val="auto"/>
        </w:rPr>
      </w:pPr>
      <w:r>
        <w:rPr>
          <w:rFonts w:ascii="Arial" w:cs="Arial" w:eastAsia="Arial" w:hAnsi="Arial"/>
          <w:sz w:val="16"/>
          <w:szCs w:val="16"/>
          <w:color w:val="auto"/>
        </w:rPr>
        <w:t>4.1 Except as otherwise provided herein or as otherwise required by the DGCL, the Series A Non-Voting Preferred Stock shall have no voting rights. However, as long as any shares of Series A Non-Voting Preferred Stock are outstanding, the Corporation shall not, without the affirmative vote of the holders of a majority of the then outstanding shares of the Series A Non-Voting Preferred Stock: (i) alter or change adversely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70" w:name="page371"/>
    <w:bookmarkEnd w:id="37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powers, preferences or rights given to the Series A Non-Voting Preferred Stock or alter or amend this Certificate of Designation, amend or repeal any provision of, or add any provision to, the Certificate of Incorporation or Amended and Restated Bylaws of the Corporation,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Non-Voting Preferred Stock, regardless of whether any of the foregoing actions shall be by means of amendment to the Certificate of Incorporation or by merger, consolidation, recapitalization, reclassification, conversion or otherwise, (ii) issue further shares of Series A Non-Voting Preferred Stock or increase or decrease (other than by conversion) the number of authorized shares of Series A Non-Voting Preferred Stock, (iii) prior to the Stockholder Approval (as defined below) or at any time while at least 30% of the originally issued Series A Non-Voting Preferred Stock remains issued and outstanding, consummate either: (A) any Fundamental Transaction (as defined below) or (B)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or (iv) enter into any agreement with respect to any of the foregoing. Holders of shares of Common Stock acquired upon the conversion of shares of Series A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w:t>
      </w:r>
    </w:p>
    <w:p>
      <w:pPr>
        <w:spacing w:after="0" w:line="171"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 xml:space="preserve">4.2 Any vote required or permitted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may be taken at a meeting of the Holders or through the execution of an action by written consent in lieu of such meeting, provided that the consent is executed by Holders representing a majority of the outstanding shares of Series A Non-Voting Preferred Stock.</w:t>
      </w:r>
    </w:p>
    <w:p>
      <w:pPr>
        <w:spacing w:after="0" w:line="184" w:lineRule="exact"/>
        <w:rPr>
          <w:sz w:val="20"/>
          <w:szCs w:val="20"/>
          <w:color w:val="auto"/>
        </w:rPr>
      </w:pPr>
    </w:p>
    <w:p>
      <w:pPr>
        <w:ind w:left="1160" w:hanging="173"/>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Rank; Liquidation</w:t>
      </w:r>
      <w:r>
        <w:rPr>
          <w:rFonts w:ascii="Arial" w:cs="Arial" w:eastAsia="Arial" w:hAnsi="Arial"/>
          <w:sz w:val="18"/>
          <w:szCs w:val="18"/>
          <w:color w:val="auto"/>
        </w:rPr>
        <w:t>.</w:t>
      </w:r>
    </w:p>
    <w:p>
      <w:pPr>
        <w:spacing w:after="0" w:line="225" w:lineRule="exact"/>
        <w:rPr>
          <w:sz w:val="20"/>
          <w:szCs w:val="20"/>
          <w:color w:val="auto"/>
        </w:rPr>
      </w:pPr>
    </w:p>
    <w:p>
      <w:pPr>
        <w:ind w:right="700" w:firstLine="1432"/>
        <w:spacing w:after="0" w:line="277" w:lineRule="auto"/>
        <w:rPr>
          <w:sz w:val="20"/>
          <w:szCs w:val="20"/>
          <w:color w:val="auto"/>
        </w:rPr>
      </w:pPr>
      <w:r>
        <w:rPr>
          <w:rFonts w:ascii="Arial" w:cs="Arial" w:eastAsia="Arial" w:hAnsi="Arial"/>
          <w:sz w:val="18"/>
          <w:szCs w:val="18"/>
          <w:color w:val="auto"/>
        </w:rPr>
        <w:t>5.1 The Series A Non-Voting Preferred Stock shall rank on parity with the Common Stock as to distributions of assets upon liquidation, dissolution or winding up of the Corporation, whether voluntarily or involuntarily.</w:t>
      </w:r>
    </w:p>
    <w:p>
      <w:pPr>
        <w:spacing w:after="0" w:line="170" w:lineRule="exact"/>
        <w:rPr>
          <w:sz w:val="20"/>
          <w:szCs w:val="20"/>
          <w:color w:val="auto"/>
        </w:rPr>
      </w:pPr>
    </w:p>
    <w:p>
      <w:pPr>
        <w:ind w:right="40" w:firstLine="1432"/>
        <w:spacing w:after="0" w:line="289" w:lineRule="auto"/>
        <w:rPr>
          <w:sz w:val="20"/>
          <w:szCs w:val="20"/>
          <w:color w:val="auto"/>
        </w:rPr>
      </w:pPr>
      <w:r>
        <w:rPr>
          <w:rFonts w:ascii="Arial" w:cs="Arial" w:eastAsia="Arial" w:hAnsi="Arial"/>
          <w:sz w:val="16"/>
          <w:szCs w:val="16"/>
          <w:color w:val="auto"/>
        </w:rPr>
        <w:t>5.2 Upon any liquidation, dissolution or winding-up of the Corporation, whether voluntary or involuntary (a “</w:t>
      </w:r>
      <w:r>
        <w:rPr>
          <w:rFonts w:ascii="Arial" w:cs="Arial" w:eastAsia="Arial" w:hAnsi="Arial"/>
          <w:sz w:val="16"/>
          <w:szCs w:val="16"/>
          <w:b w:val="1"/>
          <w:bCs w:val="1"/>
          <w:i w:val="1"/>
          <w:iCs w:val="1"/>
          <w:color w:val="auto"/>
        </w:rPr>
        <w:t>Liquidation</w:t>
      </w:r>
      <w:r>
        <w:rPr>
          <w:rFonts w:ascii="Arial" w:cs="Arial" w:eastAsia="Arial" w:hAnsi="Arial"/>
          <w:sz w:val="16"/>
          <w:szCs w:val="16"/>
          <w:color w:val="auto"/>
        </w:rPr>
        <w:t xml:space="preserve">”), each Holder shall be entitled to receive out of the assets, whether capital or surplus, of the Corporation the same amount that a holder of Common Stock would receive if the Series A Non-Voting Preferred Stock were fully converted (disregarding for such purpose any Beneficial Ownership Limitations) to Common Stock which amounts shall be paid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holders of Common Stock, plus an additional amount equal to any dividends declared on but unpaid to such shares. If, upon any such Liquidation, the assets of the Corporation shall be insufficient to pay the Holders of shares of the Series A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166" w:lineRule="exact"/>
        <w:rPr>
          <w:sz w:val="20"/>
          <w:szCs w:val="20"/>
          <w:color w:val="auto"/>
        </w:rPr>
      </w:pPr>
    </w:p>
    <w:p>
      <w:pPr>
        <w:ind w:left="1160" w:hanging="173"/>
        <w:spacing w:after="0"/>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Automatic Conversion on Stockholder Approval</w:t>
      </w:r>
      <w:r>
        <w:rPr>
          <w:rFonts w:ascii="Arial" w:cs="Arial" w:eastAsia="Arial" w:hAnsi="Arial"/>
          <w:sz w:val="18"/>
          <w:szCs w:val="18"/>
          <w:color w:val="auto"/>
        </w:rPr>
        <w:t>. Effective as of 5:00 p.m. Eastern time on the third Business Day after the date that the Corporation’s stockholders approve the conversion of the Series A Non-Voting Preferred Stock into shares of Common Stock in accordance with the listing rules of the Nasdaq Stock Market, as set forth in Section 4.1 of the Merger Agreement (the “</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each share of Series A Non-Voting Preferred Stock then outstanding shall automatically convert into a number of shares of Common Stock equal to the Conversion Ratio (as defined below), subject to the Beneficial Ownership Limitation (the “</w:t>
      </w:r>
      <w:r>
        <w:rPr>
          <w:rFonts w:ascii="Arial" w:cs="Arial" w:eastAsia="Arial" w:hAnsi="Arial"/>
          <w:sz w:val="18"/>
          <w:szCs w:val="18"/>
          <w:b w:val="1"/>
          <w:bCs w:val="1"/>
          <w:i w:val="1"/>
          <w:iCs w:val="1"/>
          <w:color w:val="auto"/>
        </w:rPr>
        <w:t>Automatic Conversion</w:t>
      </w:r>
      <w:r>
        <w:rPr>
          <w:rFonts w:ascii="Arial" w:cs="Arial" w:eastAsia="Arial" w:hAnsi="Arial"/>
          <w:sz w:val="18"/>
          <w:szCs w:val="18"/>
          <w:color w:val="auto"/>
        </w:rPr>
        <w:t>”). The Corporation shall inform each Holder of the occurrence of the Stockholder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71" w:name="page372"/>
    <w:bookmarkEnd w:id="371"/>
    <w:p>
      <w:pPr>
        <w:ind w:left="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within one Business Day of such Stockholder Approval. In determining the application of the Beneficial Ownership Limitations solely with respect to the Automatic Conversion, the Corporation shall calculate beneficial ownership for each Holder assuming beneficial ownership by such Holder of: (x) the number of shares of Common Stock issuable to such Holder in such Automatic Conversion, plus (y) any additional shares of Common Stock for which a Holder has provided the Corporation with prior written notice of beneficial ownership within 30 days prior to the date of Stockholder Approval (a “</w:t>
      </w:r>
      <w:r>
        <w:rPr>
          <w:rFonts w:ascii="Arial" w:cs="Arial" w:eastAsia="Arial" w:hAnsi="Arial"/>
          <w:sz w:val="16"/>
          <w:szCs w:val="16"/>
          <w:b w:val="1"/>
          <w:bCs w:val="1"/>
          <w:i w:val="1"/>
          <w:iCs w:val="1"/>
          <w:color w:val="auto"/>
        </w:rPr>
        <w:t>Beneficial Ownership Statement</w:t>
      </w:r>
      <w:r>
        <w:rPr>
          <w:rFonts w:ascii="Arial" w:cs="Arial" w:eastAsia="Arial" w:hAnsi="Arial"/>
          <w:sz w:val="16"/>
          <w:szCs w:val="16"/>
          <w:color w:val="auto"/>
        </w:rPr>
        <w:t>”) and assuming the conversion of all shares of Series A Non-Voting Preferred Stock held by all other Holders less the aggregate number of shares of Series A Non-Voting Preferred Stock held by all other Holders that will not convert into shares of Common Stock on account of the application of any Beneficial Ownership Limitations applicable to any such other Holders. If a Holder fails to provide the Corporation with a Beneficial Ownership Statement within 30 days prior to the date of Stockholder Approval, then the Corporation shall presume the Holder’s beneficial ownership of Common Stock (excluding the Conversion Shares) to be zero. The shares of Series A Non-Voting Preferred Stock that are converted in the Automatic Conversion are referred to as the “</w:t>
      </w:r>
      <w:r>
        <w:rPr>
          <w:rFonts w:ascii="Arial" w:cs="Arial" w:eastAsia="Arial" w:hAnsi="Arial"/>
          <w:sz w:val="16"/>
          <w:szCs w:val="16"/>
          <w:b w:val="1"/>
          <w:bCs w:val="1"/>
          <w:i w:val="1"/>
          <w:iCs w:val="1"/>
          <w:color w:val="auto"/>
        </w:rPr>
        <w:t>Converted Stock</w:t>
      </w:r>
      <w:r>
        <w:rPr>
          <w:rFonts w:ascii="Arial" w:cs="Arial" w:eastAsia="Arial" w:hAnsi="Arial"/>
          <w:sz w:val="16"/>
          <w:szCs w:val="16"/>
          <w:color w:val="auto"/>
        </w:rPr>
        <w:t>”. The Conversion Shares shall be issued as follows:</w:t>
      </w:r>
    </w:p>
    <w:p>
      <w:pPr>
        <w:spacing w:after="0" w:line="168" w:lineRule="exact"/>
        <w:rPr>
          <w:sz w:val="20"/>
          <w:szCs w:val="20"/>
          <w:color w:val="auto"/>
        </w:rPr>
      </w:pPr>
    </w:p>
    <w:p>
      <w:pPr>
        <w:ind w:left="4" w:right="80" w:firstLine="1983"/>
        <w:spacing w:after="0" w:line="286" w:lineRule="auto"/>
        <w:rPr>
          <w:sz w:val="20"/>
          <w:szCs w:val="20"/>
          <w:color w:val="auto"/>
        </w:rPr>
      </w:pPr>
      <w:r>
        <w:rPr>
          <w:rFonts w:ascii="Arial" w:cs="Arial" w:eastAsia="Arial" w:hAnsi="Arial"/>
          <w:sz w:val="17"/>
          <w:szCs w:val="17"/>
          <w:color w:val="auto"/>
        </w:rPr>
        <w:t>6.1.1 Converted Stock that is registered in book entry form shall be automatically cancelled upon the Automatic Conversion and converted into the corresponding Conversion Shares, which shares shall be issued in book entry form and without any action on the part of the Holders and shall be delivered to the Holders within one Business Day of the effectiveness of the Automatic Conversion.</w:t>
      </w:r>
    </w:p>
    <w:p>
      <w:pPr>
        <w:spacing w:after="0" w:line="165" w:lineRule="exact"/>
        <w:rPr>
          <w:sz w:val="20"/>
          <w:szCs w:val="20"/>
          <w:color w:val="auto"/>
        </w:rPr>
      </w:pPr>
    </w:p>
    <w:p>
      <w:pPr>
        <w:ind w:left="4" w:right="340" w:firstLine="1983"/>
        <w:spacing w:after="0" w:line="259" w:lineRule="auto"/>
        <w:rPr>
          <w:sz w:val="20"/>
          <w:szCs w:val="20"/>
          <w:color w:val="auto"/>
        </w:rPr>
      </w:pPr>
      <w:r>
        <w:rPr>
          <w:rFonts w:ascii="Arial" w:cs="Arial" w:eastAsia="Arial" w:hAnsi="Arial"/>
          <w:sz w:val="18"/>
          <w:szCs w:val="18"/>
          <w:color w:val="auto"/>
        </w:rPr>
        <w:t>6.1.2 Converted Stock that is issued in certificated form shall be deemed converted into the corresponding Conversion Shares on the date of Automatic Conversion and the Holder’s rights as a holder of such shares of Converted Stock shall cease and terminate on such date, excepting only the right to receive the Conversion Shares upon the Holder tendering to the Corporation (or its designated agent) the stock certificate(s) (duly endorsed) representing such certificated Converted Stock.</w:t>
      </w:r>
    </w:p>
    <w:p>
      <w:pPr>
        <w:spacing w:after="0" w:line="187" w:lineRule="exact"/>
        <w:rPr>
          <w:sz w:val="20"/>
          <w:szCs w:val="20"/>
          <w:color w:val="auto"/>
        </w:rPr>
      </w:pPr>
    </w:p>
    <w:p>
      <w:pPr>
        <w:jc w:val="both"/>
        <w:ind w:left="4" w:right="60" w:firstLine="1983"/>
        <w:spacing w:after="0" w:line="259" w:lineRule="auto"/>
        <w:rPr>
          <w:sz w:val="20"/>
          <w:szCs w:val="20"/>
          <w:color w:val="auto"/>
        </w:rPr>
      </w:pPr>
      <w:r>
        <w:rPr>
          <w:rFonts w:ascii="Arial" w:cs="Arial" w:eastAsia="Arial" w:hAnsi="Arial"/>
          <w:sz w:val="18"/>
          <w:szCs w:val="18"/>
          <w:color w:val="auto"/>
        </w:rPr>
        <w:t>6.1.3 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spacing w:after="0" w:line="187" w:lineRule="exact"/>
        <w:rPr>
          <w:sz w:val="20"/>
          <w:szCs w:val="20"/>
          <w:color w:val="auto"/>
        </w:rPr>
      </w:pPr>
    </w:p>
    <w:p>
      <w:pPr>
        <w:ind w:left="4" w:right="20" w:firstLine="1432"/>
        <w:spacing w:after="0" w:line="28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Conversion at Option of Holder</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6.5.3</w:t>
      </w:r>
      <w:r>
        <w:rPr>
          <w:rFonts w:ascii="Arial" w:cs="Arial" w:eastAsia="Arial" w:hAnsi="Arial"/>
          <w:sz w:val="16"/>
          <w:szCs w:val="16"/>
          <w:color w:val="auto"/>
        </w:rPr>
        <w:t>, each share of Series A Non-Voting Preferred Stock then outstanding shall be convertible, at any time and from time to time following 5:00 p.m. Eastern time on the third Business Day after the date that the Stockholder Approval is obtained by the Corporation, at the option of the Holder thereof, into a number of shares of Common Stock equal to the Conversion Ratio, subject to the Beneficial Ownership Limitation (each, an “</w:t>
      </w:r>
      <w:r>
        <w:rPr>
          <w:rFonts w:ascii="Arial" w:cs="Arial" w:eastAsia="Arial" w:hAnsi="Arial"/>
          <w:sz w:val="16"/>
          <w:szCs w:val="16"/>
          <w:b w:val="1"/>
          <w:bCs w:val="1"/>
          <w:i w:val="1"/>
          <w:iCs w:val="1"/>
          <w:color w:val="auto"/>
        </w:rPr>
        <w:t>Optional Conversion</w:t>
      </w:r>
      <w:r>
        <w:rPr>
          <w:rFonts w:ascii="Arial" w:cs="Arial" w:eastAsia="Arial" w:hAnsi="Arial"/>
          <w:sz w:val="16"/>
          <w:szCs w:val="16"/>
          <w:color w:val="auto"/>
        </w:rPr>
        <w:t xml:space="preserve">”). Holders shall effect conversions by providing the Corporation with the form of conversion notice attached hereto as </w:t>
      </w:r>
      <w:r>
        <w:rPr>
          <w:rFonts w:ascii="Arial" w:cs="Arial" w:eastAsia="Arial" w:hAnsi="Arial"/>
          <w:sz w:val="16"/>
          <w:szCs w:val="16"/>
          <w:b w:val="1"/>
          <w:bCs w:val="1"/>
          <w:u w:val="single" w:color="auto"/>
          <w:color w:val="auto"/>
        </w:rPr>
        <w:t>Annex A</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Notice of Conversion</w:t>
      </w:r>
      <w:r>
        <w:rPr>
          <w:rFonts w:ascii="Arial" w:cs="Arial" w:eastAsia="Arial" w:hAnsi="Arial"/>
          <w:sz w:val="16"/>
          <w:szCs w:val="16"/>
          <w:color w:val="auto"/>
        </w:rPr>
        <w:t>”), duly completed and executed. Provided the Corporation’s transfer agent is participating in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Arial" w:cs="Arial" w:eastAsia="Arial" w:hAnsi="Arial"/>
          <w:sz w:val="16"/>
          <w:szCs w:val="16"/>
          <w:b w:val="1"/>
          <w:bCs w:val="1"/>
          <w:i w:val="1"/>
          <w:iCs w:val="1"/>
          <w:color w:val="auto"/>
        </w:rPr>
        <w:t>DWAC Delivery</w:t>
      </w:r>
      <w:r>
        <w:rPr>
          <w:rFonts w:ascii="Arial" w:cs="Arial" w:eastAsia="Arial" w:hAnsi="Arial"/>
          <w:sz w:val="16"/>
          <w:szCs w:val="16"/>
          <w:color w:val="auto"/>
        </w:rPr>
        <w:t>”). The date on which an Optional Conversion shall be deemed effective (the “</w:t>
      </w:r>
      <w:r>
        <w:rPr>
          <w:rFonts w:ascii="Arial" w:cs="Arial" w:eastAsia="Arial" w:hAnsi="Arial"/>
          <w:sz w:val="16"/>
          <w:szCs w:val="16"/>
          <w:b w:val="1"/>
          <w:bCs w:val="1"/>
          <w:i w:val="1"/>
          <w:iCs w:val="1"/>
          <w:color w:val="auto"/>
        </w:rPr>
        <w:t>Conversion Date</w:t>
      </w:r>
      <w:r>
        <w:rPr>
          <w:rFonts w:ascii="Arial" w:cs="Arial" w:eastAsia="Arial" w:hAnsi="Arial"/>
          <w:sz w:val="16"/>
          <w:szCs w:val="16"/>
          <w:color w:val="auto"/>
        </w:rPr>
        <w:t>”) shall be the Trading Day that the Notice of Conversion, completed and executed, is sent via email to, and received during regular business hours by, the Corporation; provided, that the original certificate(s) (if any) representing such shares of Series A Non-Voting Preferred Stock being converted, duly endorsed, and the accompanying Notice of Conversion, are received by the Corporation within two</w:t>
      </w:r>
    </w:p>
    <w:p>
      <w:pPr>
        <w:spacing w:after="0" w:line="4" w:lineRule="exact"/>
        <w:rPr>
          <w:sz w:val="20"/>
          <w:szCs w:val="20"/>
          <w:color w:val="auto"/>
        </w:rPr>
      </w:pPr>
    </w:p>
    <w:p>
      <w:pPr>
        <w:jc w:val="both"/>
        <w:ind w:left="4" w:right="420" w:hanging="4"/>
        <w:spacing w:after="0" w:line="302" w:lineRule="auto"/>
        <w:tabs>
          <w:tab w:leader="none" w:pos="25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Trading Days thereafter. In all other cases, the Conversion Date shall be defined as the Trading Day on which the original certificate(s) (if any) representing such shares of Series A Non-Voting Preferred Stock being converted, duly endorsed, and the accompanying Notice of Conversion, are received by the Corporation. The calculations set forth in the Notice of Conversion shall control in the absence of manifest or mathematical error.</w:t>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72" w:name="page373"/>
    <w:bookmarkEnd w:id="372"/>
    <w:p>
      <w:pPr>
        <w:jc w:val="both"/>
        <w:ind w:right="38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Conversion Ratio</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Conversion Ratio</w:t>
      </w:r>
      <w:r>
        <w:rPr>
          <w:rFonts w:ascii="Arial" w:cs="Arial" w:eastAsia="Arial" w:hAnsi="Arial"/>
          <w:sz w:val="18"/>
          <w:szCs w:val="18"/>
          <w:color w:val="auto"/>
        </w:rPr>
        <w:t>” for each share of Series A Non-Voting Preferred Stock shall be 1,000 shares of Common Stock issuable upon the conversion (the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of each share of Series A Non-Voting Preferred Stock (corresponding to a ratio of 1,000:1), subject to adjustment as provided herein.</w:t>
      </w:r>
    </w:p>
    <w:p>
      <w:pPr>
        <w:spacing w:after="0" w:line="184" w:lineRule="exact"/>
        <w:rPr>
          <w:sz w:val="20"/>
          <w:szCs w:val="20"/>
          <w:color w:val="auto"/>
        </w:rPr>
      </w:pPr>
    </w:p>
    <w:p>
      <w:pPr>
        <w:ind w:firstLine="1432"/>
        <w:spacing w:after="0" w:line="28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Notwithstanding anything herein to the contrary, the Corporation shall not effect any conversion of any share of Series A Non-Voting Preferred Stock, including pursuant to Section 6.1, and a Holder shall not have the right to convert any portion of the Series A Non-Voting Preferred Stock pursuant to Section 6.2, to the extent that, after giving effect to such attempted conversion set forth on an applicable Notice of Conversion (as defined in the Certificate of Designation) with respect to the Series A Preferred Stock, such Holder (or any of such Holder’s Affiliates or any other Person who would be a beneficial owner of Common Stock beneficially owned by the Holder for purposes of Section 13(d) or Section 16 of the Exchange Act and the applicable rules and regulations of the Commission, including any “group” of which the Holder is a member (the foregoing, “</w:t>
      </w:r>
      <w:r>
        <w:rPr>
          <w:rFonts w:ascii="Arial" w:cs="Arial" w:eastAsia="Arial" w:hAnsi="Arial"/>
          <w:sz w:val="16"/>
          <w:szCs w:val="16"/>
          <w:b w:val="1"/>
          <w:bCs w:val="1"/>
          <w:i w:val="1"/>
          <w:iCs w:val="1"/>
          <w:color w:val="auto"/>
        </w:rPr>
        <w:t>Attribution Parties</w:t>
      </w:r>
      <w:r>
        <w:rPr>
          <w:rFonts w:ascii="Arial" w:cs="Arial" w:eastAsia="Arial" w:hAnsi="Arial"/>
          <w:sz w:val="16"/>
          <w:szCs w:val="16"/>
          <w:color w:val="auto"/>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issuable upon conversion of the Series A Non-Voting Preferred Stock subject to the Notice of Conversion or the Automatic Conversion, as applicable, with respect to which such determination is being made, but shall exclude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A Non-Voting Preferred Stock, by such Holder or its Attribution Parties since the date as of which such number of outstanding shares of Common Stock was last publicly reported or confirmed to the Holder. The “</w:t>
      </w:r>
      <w:r>
        <w:rPr>
          <w:rFonts w:ascii="Arial" w:cs="Arial" w:eastAsia="Arial" w:hAnsi="Arial"/>
          <w:sz w:val="16"/>
          <w:szCs w:val="16"/>
          <w:b w:val="1"/>
          <w:bCs w:val="1"/>
          <w:i w:val="1"/>
          <w:iCs w:val="1"/>
          <w:color w:val="auto"/>
        </w:rPr>
        <w:t>Beneficial Ownership Limitation</w:t>
      </w:r>
      <w:r>
        <w:rPr>
          <w:rFonts w:ascii="Arial" w:cs="Arial" w:eastAsia="Arial" w:hAnsi="Arial"/>
          <w:sz w:val="16"/>
          <w:szCs w:val="16"/>
          <w:color w:val="auto"/>
        </w:rPr>
        <w:t>” shall initially be set at the discretion of each Holder to a percentage designated by such Holder on its signature page to the Purchase Agreement between 0% and 19.9% of the number of shares of the Common Stock outstanding or deemed to be outstanding as of the applicable measurement date, and such percentage shall be set at 19.9% for any Holder that does not make such designation in the Purchase Agreement. The Corporation shall be entitled to rely on representations made to it by the Holder in any Notice of Conversion regarding its Beneficial Ownership Limitation. Notwithstanding the foregoing, by written notice to the Corporation, (i) the Holder may reset the Beneficial Ownership Limitation percentage to a higher percentage, not to exceed 19.9%, which increase will not be effective until the sixty-first (61st) day after such written notice is delivered to the Corporation, and (ii) the Holder may reset the Beneficial Ownership Limitation percentage to a lower percentage provided that such decrease shall not become effective until the later of (x) 5:00 p.m. Eastern time on the third Business Day after the date of the Stockholder Approval and (y) if Stockholder Approval is not obtained within six months after the initial issuance of the Series A Non-Voting Preferred Stock, the date that is three Business Days after the date that is six months after the initial issuance of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73" w:name="page374"/>
    <w:bookmarkEnd w:id="373"/>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Series A Non-Voting Preferred Stock. Upon such a change by a Holder of the Beneficial Ownership Limitation, not to exceed 19.9%, the Beneficial Ownership Limitation may not be further amended by such Holder without first providing the minimum notice required by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Notwithstanding the foregoing,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The provisions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w:t>
      </w:r>
    </w:p>
    <w:p>
      <w:pPr>
        <w:spacing w:after="0" w:line="178"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left="4" w:right="20" w:firstLine="1983"/>
        <w:spacing w:after="0" w:line="285" w:lineRule="auto"/>
        <w:rPr>
          <w:sz w:val="20"/>
          <w:szCs w:val="20"/>
          <w:color w:val="auto"/>
        </w:rPr>
      </w:pPr>
      <w:r>
        <w:rPr>
          <w:rFonts w:ascii="Arial" w:cs="Arial" w:eastAsia="Arial" w:hAnsi="Arial"/>
          <w:sz w:val="16"/>
          <w:szCs w:val="16"/>
          <w:color w:val="auto"/>
        </w:rPr>
        <w:t xml:space="preserve">6.5.1 </w:t>
      </w:r>
      <w:r>
        <w:rPr>
          <w:rFonts w:ascii="Arial" w:cs="Arial" w:eastAsia="Arial" w:hAnsi="Arial"/>
          <w:sz w:val="16"/>
          <w:szCs w:val="16"/>
          <w:u w:val="single" w:color="auto"/>
          <w:color w:val="auto"/>
        </w:rPr>
        <w:t>Delivery of Certificate or Electronic Issuance</w:t>
      </w:r>
      <w:r>
        <w:rPr>
          <w:rFonts w:ascii="Arial" w:cs="Arial" w:eastAsia="Arial" w:hAnsi="Arial"/>
          <w:sz w:val="16"/>
          <w:szCs w:val="16"/>
          <w:color w:val="auto"/>
        </w:rPr>
        <w:t>. Upon Conversion not later than two (2) Trading Days after the applicable Conversion Date, or if the Holder requests the issuance of physical certificate(s), two (2) Trading Days after receipt by the Corporation of the original certificate(s) representing such shares of Series A Non-Voting Preferred Stock being converted, duly endorsed, and the accompanying Notice of Conversion (the “</w:t>
      </w:r>
      <w:r>
        <w:rPr>
          <w:rFonts w:ascii="Arial" w:cs="Arial" w:eastAsia="Arial" w:hAnsi="Arial"/>
          <w:sz w:val="16"/>
          <w:szCs w:val="16"/>
          <w:b w:val="1"/>
          <w:bCs w:val="1"/>
          <w:i w:val="1"/>
          <w:iCs w:val="1"/>
          <w:color w:val="auto"/>
        </w:rPr>
        <w:t>Share Delivery Date</w:t>
      </w:r>
      <w:r>
        <w:rPr>
          <w:rFonts w:ascii="Arial" w:cs="Arial" w:eastAsia="Arial" w:hAnsi="Arial"/>
          <w:sz w:val="16"/>
          <w:szCs w:val="16"/>
          <w:color w:val="auto"/>
        </w:rPr>
        <w:t>”), the Corporation shall either: (a) deliver, or cause to be delivered, to the converting Holder a physical certificate or certificates representing the number of Conversion Shares being acquired upon the conversion of shares of Series A Non-Voting Preferred Stock, or</w:t>
      </w:r>
    </w:p>
    <w:p>
      <w:pPr>
        <w:spacing w:after="0" w:line="2" w:lineRule="exact"/>
        <w:rPr>
          <w:sz w:val="20"/>
          <w:szCs w:val="20"/>
          <w:color w:val="auto"/>
        </w:rPr>
      </w:pPr>
    </w:p>
    <w:p>
      <w:pPr>
        <w:ind w:left="4" w:right="40" w:hanging="4"/>
        <w:spacing w:after="0" w:line="268" w:lineRule="auto"/>
        <w:tabs>
          <w:tab w:leader="none" w:pos="25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A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A Non-Voting Preferred Stock unsuccessfully tendered for conversion to the Corporation.</w:t>
      </w:r>
    </w:p>
    <w:p>
      <w:pPr>
        <w:spacing w:after="0" w:line="181" w:lineRule="exact"/>
        <w:rPr>
          <w:sz w:val="20"/>
          <w:szCs w:val="20"/>
          <w:color w:val="auto"/>
        </w:rPr>
      </w:pPr>
    </w:p>
    <w:p>
      <w:pPr>
        <w:ind w:left="4" w:right="20" w:firstLine="1983"/>
        <w:spacing w:after="0" w:line="285"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Obligation Absolute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subject to Holder’s right to rescind a Notice of Conversion pursuant to </w:t>
      </w:r>
      <w:r>
        <w:rPr>
          <w:rFonts w:ascii="Arial" w:cs="Arial" w:eastAsia="Arial" w:hAnsi="Arial"/>
          <w:sz w:val="16"/>
          <w:szCs w:val="16"/>
          <w:u w:val="single" w:color="auto"/>
          <w:color w:val="auto"/>
        </w:rPr>
        <w:t>Section 6.5.1</w:t>
      </w:r>
      <w:r>
        <w:rPr>
          <w:rFonts w:ascii="Arial" w:cs="Arial" w:eastAsia="Arial" w:hAnsi="Arial"/>
          <w:sz w:val="16"/>
          <w:szCs w:val="16"/>
          <w:color w:val="auto"/>
        </w:rPr>
        <w:t xml:space="preserve">, the Corporation’s obligation to issue and deliver the Conversion Shares upon conversion of Series A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subject to Holder’s right to rescind a Notice of Conversion pursuant to </w:t>
      </w:r>
      <w:r>
        <w:rPr>
          <w:rFonts w:ascii="Arial" w:cs="Arial" w:eastAsia="Arial" w:hAnsi="Arial"/>
          <w:sz w:val="16"/>
          <w:szCs w:val="16"/>
          <w:u w:val="single" w:color="auto"/>
          <w:color w:val="auto"/>
        </w:rPr>
        <w:t>Section 6.5.1</w:t>
      </w:r>
      <w:r>
        <w:rPr>
          <w:rFonts w:ascii="Arial" w:cs="Arial" w:eastAsia="Arial" w:hAnsi="Arial"/>
          <w:sz w:val="16"/>
          <w:szCs w:val="16"/>
          <w:color w:val="auto"/>
        </w:rPr>
        <w:t xml:space="preserve">, in the event a Holder shall elect to convert any or all of its Series A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A Non-Voting Preferred Stock of such Holder shall have been sought and obtained by the Corporation, and the Corporation posts a surety bond for the benefit of such Holder in the amount of 150% of the value of the Conversion Shares into which would be converted the Series A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subject to Holder’s right to rescind a Notice of Conversion pursuant to </w:t>
      </w:r>
      <w:r>
        <w:rPr>
          <w:rFonts w:ascii="Arial" w:cs="Arial" w:eastAsia="Arial" w:hAnsi="Arial"/>
          <w:sz w:val="16"/>
          <w:szCs w:val="16"/>
          <w:u w:val="single" w:color="auto"/>
          <w:color w:val="auto"/>
        </w:rPr>
        <w:t>Section 6.5.1</w:t>
      </w:r>
      <w:r>
        <w:rPr>
          <w:rFonts w:ascii="Arial" w:cs="Arial" w:eastAsia="Arial" w:hAnsi="Arial"/>
          <w:sz w:val="16"/>
          <w:szCs w:val="16"/>
          <w:color w:val="auto"/>
        </w:rPr>
        <w:t>, issue Conversion Shares upon a properly noticed conversion.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374" w:name="page375"/>
    <w:bookmarkEnd w:id="374"/>
    <w:p>
      <w:pPr>
        <w:ind w:right="40" w:firstLine="198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6.5.3 </w:t>
      </w:r>
      <w:r>
        <w:rPr>
          <w:rFonts w:ascii="Arial" w:cs="Arial" w:eastAsia="Arial" w:hAnsi="Arial"/>
          <w:sz w:val="17"/>
          <w:szCs w:val="17"/>
          <w:u w:val="single" w:color="auto"/>
          <w:color w:val="auto"/>
        </w:rPr>
        <w:t>Cash Settlement</w:t>
      </w:r>
      <w:r>
        <w:rPr>
          <w:rFonts w:ascii="Arial" w:cs="Arial" w:eastAsia="Arial" w:hAnsi="Arial"/>
          <w:sz w:val="17"/>
          <w:szCs w:val="17"/>
          <w:color w:val="auto"/>
        </w:rPr>
        <w:t xml:space="preserve">. If, at any time after the earlier of Stockholder Approval or six months after the initial issuance of the Series A Non-Voting Preferred Stock, the Corporation fails to deliver to a Holder such certificate or certificates, or electronically deliver (or cause its transfer agent to electronically deliver) such shares in the case of a DWAC Delivery, pursuant to </w:t>
      </w:r>
      <w:r>
        <w:rPr>
          <w:rFonts w:ascii="Arial" w:cs="Arial" w:eastAsia="Arial" w:hAnsi="Arial"/>
          <w:sz w:val="17"/>
          <w:szCs w:val="17"/>
          <w:u w:val="single" w:color="auto"/>
          <w:color w:val="auto"/>
        </w:rPr>
        <w:t>Section 6.5.1</w:t>
      </w:r>
      <w:r>
        <w:rPr>
          <w:rFonts w:ascii="Arial" w:cs="Arial" w:eastAsia="Arial" w:hAnsi="Arial"/>
          <w:sz w:val="17"/>
          <w:szCs w:val="17"/>
          <w:color w:val="auto"/>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then, unless the Holder has rescinded the applicable Notice of Conversion pursuant to </w:t>
      </w:r>
      <w:r>
        <w:rPr>
          <w:rFonts w:ascii="Arial" w:cs="Arial" w:eastAsia="Arial" w:hAnsi="Arial"/>
          <w:sz w:val="17"/>
          <w:szCs w:val="17"/>
          <w:u w:val="single" w:color="auto"/>
          <w:color w:val="auto"/>
        </w:rPr>
        <w:t>Section 6.5.1</w:t>
      </w:r>
      <w:r>
        <w:rPr>
          <w:rFonts w:ascii="Arial" w:cs="Arial" w:eastAsia="Arial" w:hAnsi="Arial"/>
          <w:sz w:val="17"/>
          <w:szCs w:val="17"/>
          <w:color w:val="auto"/>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provided, however that such request shall be presumed to have been made by such Holder if Stockholder Approval shall not have been obtained prior to the date on which the Notice of Conversion is delivered to the Corporation. For purposes of this </w:t>
      </w:r>
      <w:r>
        <w:rPr>
          <w:rFonts w:ascii="Arial" w:cs="Arial" w:eastAsia="Arial" w:hAnsi="Arial"/>
          <w:sz w:val="17"/>
          <w:szCs w:val="17"/>
          <w:u w:val="single" w:color="auto"/>
          <w:color w:val="auto"/>
        </w:rPr>
        <w:t>Section 6.5.3</w:t>
      </w:r>
      <w:r>
        <w:rPr>
          <w:rFonts w:ascii="Arial" w:cs="Arial" w:eastAsia="Arial" w:hAnsi="Arial"/>
          <w:sz w:val="17"/>
          <w:szCs w:val="17"/>
          <w:color w:val="auto"/>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Arial" w:cs="Arial" w:eastAsia="Arial" w:hAnsi="Arial"/>
          <w:sz w:val="17"/>
          <w:szCs w:val="17"/>
          <w:u w:val="single" w:color="auto"/>
          <w:color w:val="auto"/>
        </w:rPr>
        <w:t>Section 6.5.3</w:t>
      </w:r>
      <w:r>
        <w:rPr>
          <w:rFonts w:ascii="Arial" w:cs="Arial" w:eastAsia="Arial" w:hAnsi="Arial"/>
          <w:sz w:val="17"/>
          <w:szCs w:val="17"/>
          <w:color w:val="auto"/>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including due to limitations set forth in </w:t>
      </w:r>
      <w:r>
        <w:rPr>
          <w:rFonts w:ascii="Arial" w:cs="Arial" w:eastAsia="Arial" w:hAnsi="Arial"/>
          <w:sz w:val="17"/>
          <w:szCs w:val="17"/>
          <w:u w:val="single" w:color="auto"/>
          <w:color w:val="auto"/>
        </w:rPr>
        <w:t>Section 6.5.6</w:t>
      </w:r>
      <w:r>
        <w:rPr>
          <w:rFonts w:ascii="Arial" w:cs="Arial" w:eastAsia="Arial" w:hAnsi="Arial"/>
          <w:sz w:val="17"/>
          <w:szCs w:val="17"/>
          <w:color w:val="auto"/>
        </w:rPr>
        <w:t>, the lack of obtaining Stockholder Approval, or due to applicable Trading Market rules.</w:t>
      </w:r>
    </w:p>
    <w:p>
      <w:pPr>
        <w:spacing w:after="0" w:line="190" w:lineRule="exact"/>
        <w:rPr>
          <w:sz w:val="20"/>
          <w:szCs w:val="20"/>
          <w:color w:val="auto"/>
        </w:rPr>
      </w:pPr>
    </w:p>
    <w:p>
      <w:pPr>
        <w:ind w:firstLine="1983"/>
        <w:spacing w:after="0" w:line="267" w:lineRule="auto"/>
        <w:rPr>
          <w:sz w:val="20"/>
          <w:szCs w:val="20"/>
          <w:color w:val="auto"/>
        </w:rPr>
      </w:pPr>
      <w:r>
        <w:rPr>
          <w:rFonts w:ascii="Arial" w:cs="Arial" w:eastAsia="Arial" w:hAnsi="Arial"/>
          <w:sz w:val="17"/>
          <w:szCs w:val="17"/>
          <w:color w:val="auto"/>
        </w:rPr>
        <w:t xml:space="preserve">6.5.4 </w:t>
      </w:r>
      <w:r>
        <w:rPr>
          <w:rFonts w:ascii="Arial" w:cs="Arial" w:eastAsia="Arial" w:hAnsi="Arial"/>
          <w:sz w:val="17"/>
          <w:szCs w:val="17"/>
          <w:u w:val="single" w:color="auto"/>
          <w:color w:val="auto"/>
        </w:rPr>
        <w:t>Buy-In on Failure to Timely Deliver Certificates</w:t>
      </w:r>
      <w:r>
        <w:rPr>
          <w:rFonts w:ascii="Arial" w:cs="Arial" w:eastAsia="Arial" w:hAnsi="Arial"/>
          <w:sz w:val="17"/>
          <w:szCs w:val="17"/>
          <w:color w:val="auto"/>
        </w:rPr>
        <w:t xml:space="preserve">. If the Corporation fails to deliver to a Holder the applicable certificate or certificates or to effect a DWAC Delivery, as applicable, by the Share Delivery Date pursuant to </w:t>
      </w:r>
      <w:r>
        <w:rPr>
          <w:rFonts w:ascii="Arial" w:cs="Arial" w:eastAsia="Arial" w:hAnsi="Arial"/>
          <w:sz w:val="17"/>
          <w:szCs w:val="17"/>
          <w:u w:val="single" w:color="auto"/>
          <w:color w:val="auto"/>
        </w:rPr>
        <w:t>Section 6.5.1</w:t>
      </w:r>
      <w:r>
        <w:rPr>
          <w:rFonts w:ascii="Arial" w:cs="Arial" w:eastAsia="Arial" w:hAnsi="Arial"/>
          <w:sz w:val="17"/>
          <w:szCs w:val="17"/>
          <w:color w:val="auto"/>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Arial" w:cs="Arial" w:eastAsia="Arial" w:hAnsi="Arial"/>
          <w:sz w:val="17"/>
          <w:szCs w:val="17"/>
          <w:b w:val="1"/>
          <w:bCs w:val="1"/>
          <w:i w:val="1"/>
          <w:iCs w:val="1"/>
          <w:color w:val="auto"/>
        </w:rPr>
        <w:t>Buy-In</w:t>
      </w:r>
      <w:r>
        <w:rPr>
          <w:rFonts w:ascii="Arial" w:cs="Arial" w:eastAsia="Arial" w:hAnsi="Arial"/>
          <w:sz w:val="17"/>
          <w:szCs w:val="17"/>
          <w:color w:val="auto"/>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Non-Voting Preferred Stock equal to the number of shares of Series A Non-Voting Preferred Stock submitted for conversion or deliver to such Holder the number of shares of Common Stock that would have been issued if the Corporation had timely complied with its delivery requirements under </w:t>
      </w:r>
      <w:r>
        <w:rPr>
          <w:rFonts w:ascii="Arial" w:cs="Arial" w:eastAsia="Arial" w:hAnsi="Arial"/>
          <w:sz w:val="17"/>
          <w:szCs w:val="17"/>
          <w:u w:val="single" w:color="auto"/>
          <w:color w:val="auto"/>
        </w:rPr>
        <w:t>Section 6.5.1</w:t>
      </w:r>
      <w:r>
        <w:rPr>
          <w:rFonts w:ascii="Arial" w:cs="Arial" w:eastAsia="Arial" w:hAnsi="Arial"/>
          <w:sz w:val="17"/>
          <w:szCs w:val="17"/>
          <w:color w:val="auto"/>
        </w:rPr>
        <w:t>. For example, if a Holder purchases shares of Common Stock having a total purchase price of $11,000 to cover a Buy-In with respect to an attempted conversion of shares of Series A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375" w:name="page376"/>
    <w:bookmarkEnd w:id="375"/>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A Non-Voting Preferred Stock as required pursuant to the terms hereof or the cash settlement remedy set forth in </w:t>
      </w:r>
      <w:r>
        <w:rPr>
          <w:rFonts w:ascii="Arial" w:cs="Arial" w:eastAsia="Arial" w:hAnsi="Arial"/>
          <w:sz w:val="16"/>
          <w:szCs w:val="16"/>
          <w:u w:val="single" w:color="auto"/>
          <w:color w:val="auto"/>
        </w:rPr>
        <w:t>Section 6.5.3</w:t>
      </w:r>
      <w:r>
        <w:rPr>
          <w:rFonts w:ascii="Arial" w:cs="Arial" w:eastAsia="Arial" w:hAnsi="Arial"/>
          <w:sz w:val="16"/>
          <w:szCs w:val="16"/>
          <w:color w:val="auto"/>
        </w:rPr>
        <w:t xml:space="preserve">; provided, however, that the Holder shall not be entitled to both (i) require the reissuance of the shares of Series A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Arial" w:cs="Arial" w:eastAsia="Arial" w:hAnsi="Arial"/>
          <w:sz w:val="16"/>
          <w:szCs w:val="16"/>
          <w:u w:val="single" w:color="auto"/>
          <w:color w:val="auto"/>
        </w:rPr>
        <w:t>Section 6.5.1</w:t>
      </w:r>
      <w:r>
        <w:rPr>
          <w:rFonts w:ascii="Arial" w:cs="Arial" w:eastAsia="Arial" w:hAnsi="Arial"/>
          <w:sz w:val="16"/>
          <w:szCs w:val="16"/>
          <w:color w:val="auto"/>
        </w:rPr>
        <w:t>.</w:t>
      </w:r>
    </w:p>
    <w:p>
      <w:pPr>
        <w:spacing w:after="0" w:line="164" w:lineRule="exact"/>
        <w:rPr>
          <w:sz w:val="20"/>
          <w:szCs w:val="20"/>
          <w:color w:val="auto"/>
        </w:rPr>
      </w:pPr>
    </w:p>
    <w:p>
      <w:pPr>
        <w:ind w:firstLine="1983"/>
        <w:spacing w:after="0" w:line="273" w:lineRule="auto"/>
        <w:rPr>
          <w:sz w:val="20"/>
          <w:szCs w:val="20"/>
          <w:color w:val="auto"/>
        </w:rPr>
      </w:pPr>
      <w:r>
        <w:rPr>
          <w:rFonts w:ascii="Arial" w:cs="Arial" w:eastAsia="Arial" w:hAnsi="Arial"/>
          <w:sz w:val="17"/>
          <w:szCs w:val="17"/>
          <w:color w:val="auto"/>
        </w:rPr>
        <w:t xml:space="preserve">6.5.5 </w:t>
      </w: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xml:space="preserve">. The Corporation covenants that at all times it will reserve and keep available out of its authorized and unissued shares of Common Stock for the sole purpose of issuance upon conversion of the Series A Non-Voting Preferred Stock, free from preemptive rights or any other actual contingent purchase rights of Persons other than the Holders of the Series A Non-Voting Preferred Stock, not less than such aggregate number of shares of the Common Stock as shall be issuable (taking into account the adjustments of </w:t>
      </w:r>
      <w:r>
        <w:rPr>
          <w:rFonts w:ascii="Arial" w:cs="Arial" w:eastAsia="Arial" w:hAnsi="Arial"/>
          <w:sz w:val="17"/>
          <w:szCs w:val="17"/>
          <w:u w:val="single" w:color="auto"/>
          <w:color w:val="auto"/>
        </w:rPr>
        <w:t>Section 7</w:t>
      </w:r>
      <w:r>
        <w:rPr>
          <w:rFonts w:ascii="Arial" w:cs="Arial" w:eastAsia="Arial" w:hAnsi="Arial"/>
          <w:sz w:val="17"/>
          <w:szCs w:val="17"/>
          <w:color w:val="auto"/>
        </w:rPr>
        <w:t>) upon the conversion of all outstanding shares of Series A Non-Voting Preferred Stock. The Corporation covenants that all shares of Common Stock that shall be so issuable shall, upon issue, be duly authorized, validly issued, fully paid and non-assessable.</w:t>
      </w:r>
    </w:p>
    <w:p>
      <w:pPr>
        <w:spacing w:after="0" w:line="178" w:lineRule="exact"/>
        <w:rPr>
          <w:sz w:val="20"/>
          <w:szCs w:val="20"/>
          <w:color w:val="auto"/>
        </w:rPr>
      </w:pPr>
    </w:p>
    <w:p>
      <w:pPr>
        <w:ind w:right="80" w:firstLine="1983"/>
        <w:spacing w:after="0" w:line="254" w:lineRule="auto"/>
        <w:rPr>
          <w:sz w:val="20"/>
          <w:szCs w:val="20"/>
          <w:color w:val="auto"/>
        </w:rPr>
      </w:pPr>
      <w:r>
        <w:rPr>
          <w:rFonts w:ascii="Arial" w:cs="Arial" w:eastAsia="Arial" w:hAnsi="Arial"/>
          <w:sz w:val="18"/>
          <w:szCs w:val="18"/>
          <w:color w:val="auto"/>
        </w:rPr>
        <w:t xml:space="preserve">6.5.6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A Non-Voting Preferred Stock, no certificates or scrip for any such fractional shares shall be issued and no cash shall be paid for any such fractional shares. Any fractional shares of Common Stock that a Holder of Series A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A Non-Voting Preferred Stock the Holder is at the time converting into Common Stock and the aggregate number of shares of Common Stock issuable upon such conversion.</w:t>
      </w:r>
    </w:p>
    <w:p>
      <w:pPr>
        <w:spacing w:after="0" w:line="195"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 xml:space="preserve">6.5.7 </w:t>
      </w:r>
      <w:r>
        <w:rPr>
          <w:rFonts w:ascii="Arial" w:cs="Arial" w:eastAsia="Arial" w:hAnsi="Arial"/>
          <w:sz w:val="18"/>
          <w:szCs w:val="18"/>
          <w:u w:val="single" w:color="auto"/>
          <w:color w:val="auto"/>
        </w:rPr>
        <w:t>Transfer Taxes</w:t>
      </w:r>
      <w:r>
        <w:rPr>
          <w:rFonts w:ascii="Arial" w:cs="Arial" w:eastAsia="Arial" w:hAnsi="Arial"/>
          <w:sz w:val="18"/>
          <w:szCs w:val="18"/>
          <w:color w:val="auto"/>
        </w:rPr>
        <w:t>. The issuance of certificates for shares of the Common Stock upon conversion of the Series A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A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95" w:lineRule="exact"/>
        <w:rPr>
          <w:sz w:val="20"/>
          <w:szCs w:val="20"/>
          <w:color w:val="auto"/>
        </w:rPr>
      </w:pPr>
    </w:p>
    <w:p>
      <w:pPr>
        <w:ind w:right="180" w:firstLine="1983"/>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Status as Stockholder</w:t>
      </w:r>
      <w:r>
        <w:rPr>
          <w:rFonts w:ascii="Arial" w:cs="Arial" w:eastAsia="Arial" w:hAnsi="Arial"/>
          <w:sz w:val="18"/>
          <w:szCs w:val="18"/>
          <w:color w:val="auto"/>
        </w:rPr>
        <w:t>. Upon each Conversion Date, (i) the shares of Series A Non-Voting Preferred Stock being converted shall be deemed converted into shares of Common Stock and (ii) the Holder’s rights as a holder of such converted shares of Series A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 Non-Voting Preferred Stock. In no event shall the Series A Non-Voting Preferred Stock convert into shares of Common Stock prior to the Stockholder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76" w:name="page377"/>
    <w:bookmarkEnd w:id="376"/>
    <w:p>
      <w:pPr>
        <w:ind w:left="1164" w:hanging="173"/>
        <w:spacing w:after="0"/>
        <w:tabs>
          <w:tab w:leader="none" w:pos="1164"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Adjustments</w:t>
      </w:r>
      <w:r>
        <w:rPr>
          <w:rFonts w:ascii="Arial" w:cs="Arial" w:eastAsia="Arial" w:hAnsi="Arial"/>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the Corporation, at any time while this Series A Non-Voting Preferred Stock is outstanding:</w:t>
      </w:r>
    </w:p>
    <w:p>
      <w:pPr>
        <w:spacing w:after="0" w:line="46" w:lineRule="exact"/>
        <w:rPr>
          <w:sz w:val="20"/>
          <w:szCs w:val="20"/>
          <w:color w:val="auto"/>
        </w:rPr>
      </w:pPr>
    </w:p>
    <w:p>
      <w:pPr>
        <w:ind w:left="4" w:right="220" w:hanging="4"/>
        <w:spacing w:after="0" w:line="268" w:lineRule="auto"/>
        <w:tabs>
          <w:tab w:leader="none" w:pos="29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pays a stock dividend or otherwise makes a distribution or distributions payable in shares of Common Stock (which, for avoidance of doubt, shall not include any shares of Common Stock issued by the Corporation upon conversion of this Series A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81" w:lineRule="exact"/>
        <w:rPr>
          <w:sz w:val="20"/>
          <w:szCs w:val="20"/>
          <w:color w:val="auto"/>
        </w:rPr>
      </w:pPr>
    </w:p>
    <w:p>
      <w:pPr>
        <w:ind w:left="4" w:firstLine="1432"/>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Series A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(whether by the Corporation or another Person) is completed pursuant to which more than 50% of the Common Stock not held by the Corporation or such Person is exchanged for or converted into other securities, cash or property, or</w:t>
      </w:r>
    </w:p>
    <w:p>
      <w:pPr>
        <w:spacing w:after="0" w:line="2" w:lineRule="exact"/>
        <w:rPr>
          <w:sz w:val="20"/>
          <w:szCs w:val="20"/>
          <w:color w:val="auto"/>
        </w:rPr>
      </w:pPr>
    </w:p>
    <w:p>
      <w:pPr>
        <w:ind w:left="4" w:hanging="4"/>
        <w:spacing w:after="0" w:line="283" w:lineRule="auto"/>
        <w:tabs>
          <w:tab w:leader="none" w:pos="29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the Corporation effects any reclassification of the Common Stock or any compulsory share exchange pursuant (other than as a result of a dividend, subdivision or combination covered by </w:t>
      </w:r>
      <w:r>
        <w:rPr>
          <w:rFonts w:ascii="Arial" w:cs="Arial" w:eastAsia="Arial" w:hAnsi="Arial"/>
          <w:sz w:val="16"/>
          <w:szCs w:val="16"/>
          <w:u w:val="single" w:color="auto"/>
          <w:color w:val="auto"/>
        </w:rPr>
        <w:t>Section 7.1</w:t>
      </w:r>
      <w:r>
        <w:rPr>
          <w:rFonts w:ascii="Arial" w:cs="Arial" w:eastAsia="Arial" w:hAnsi="Arial"/>
          <w:sz w:val="16"/>
          <w:szCs w:val="16"/>
          <w:color w:val="auto"/>
        </w:rPr>
        <w:t>) to which the Common Stock is effectively converted into or exchanged for other securities, cash or property (in any such case, a “</w:t>
      </w:r>
      <w:r>
        <w:rPr>
          <w:rFonts w:ascii="Arial" w:cs="Arial" w:eastAsia="Arial" w:hAnsi="Arial"/>
          <w:sz w:val="16"/>
          <w:szCs w:val="16"/>
          <w:b w:val="1"/>
          <w:bCs w:val="1"/>
          <w:i w:val="1"/>
          <w:iCs w:val="1"/>
          <w:color w:val="auto"/>
        </w:rPr>
        <w:t>Fundamental Transaction</w:t>
      </w:r>
      <w:r>
        <w:rPr>
          <w:rFonts w:ascii="Arial" w:cs="Arial" w:eastAsia="Arial" w:hAnsi="Arial"/>
          <w:sz w:val="16"/>
          <w:szCs w:val="16"/>
          <w:color w:val="auto"/>
        </w:rPr>
        <w:t>”), then, upon any subsequent conversion of this Series A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Arial" w:cs="Arial" w:eastAsia="Arial" w:hAnsi="Arial"/>
          <w:sz w:val="16"/>
          <w:szCs w:val="16"/>
          <w:b w:val="1"/>
          <w:bCs w:val="1"/>
          <w:i w:val="1"/>
          <w:iCs w:val="1"/>
          <w:color w:val="auto"/>
        </w:rPr>
        <w:t>Alternate Consideration</w:t>
      </w:r>
      <w:r>
        <w:rPr>
          <w:rFonts w:ascii="Arial" w:cs="Arial" w:eastAsia="Arial" w:hAnsi="Arial"/>
          <w:sz w:val="16"/>
          <w:szCs w:val="16"/>
          <w:color w:val="auto"/>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A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insuring that this Series A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Notwithstanding anything to the contrary herein, the Corporation’s disposition of certain assets pursuant to the CVR Agreement shall not constitute a Fundamental Transaction.</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77" w:name="page378"/>
    <w:bookmarkEnd w:id="377"/>
    <w:p>
      <w:pPr>
        <w:jc w:val="both"/>
        <w:ind w:right="80" w:firstLine="1432"/>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Arial" w:cs="Arial" w:eastAsia="Arial" w:hAnsi="Arial"/>
          <w:sz w:val="17"/>
          <w:szCs w:val="17"/>
          <w:u w:val="single" w:color="auto"/>
          <w:color w:val="auto"/>
        </w:rPr>
        <w:t>Calculations</w:t>
      </w:r>
      <w:r>
        <w:rPr>
          <w:rFonts w:ascii="Arial" w:cs="Arial" w:eastAsia="Arial" w:hAnsi="Arial"/>
          <w:sz w:val="17"/>
          <w:szCs w:val="17"/>
          <w:color w:val="auto"/>
        </w:rPr>
        <w:t xml:space="preserve">. All calculations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made to the nearest cent or the nearest 1/100th of a share, as the case may be. For purposes of this </w:t>
      </w:r>
      <w:r>
        <w:rPr>
          <w:rFonts w:ascii="Arial" w:cs="Arial" w:eastAsia="Arial" w:hAnsi="Arial"/>
          <w:sz w:val="17"/>
          <w:szCs w:val="17"/>
          <w:u w:val="single" w:color="auto"/>
          <w:color w:val="auto"/>
        </w:rPr>
        <w:t>Section 7</w:t>
      </w:r>
      <w:r>
        <w:rPr>
          <w:rFonts w:ascii="Arial" w:cs="Arial" w:eastAsia="Arial" w:hAnsi="Arial"/>
          <w:sz w:val="17"/>
          <w:szCs w:val="17"/>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65" w:lineRule="exact"/>
        <w:rPr>
          <w:sz w:val="20"/>
          <w:szCs w:val="20"/>
          <w:color w:val="auto"/>
        </w:rPr>
      </w:pPr>
    </w:p>
    <w:p>
      <w:pPr>
        <w:jc w:val="both"/>
        <w:ind w:right="240" w:firstLine="987"/>
        <w:spacing w:after="0" w:line="263" w:lineRule="auto"/>
        <w:tabs>
          <w:tab w:leader="none" w:pos="1171"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xml:space="preserve">. The shares of Series A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Arial" w:cs="Arial" w:eastAsia="Arial" w:hAnsi="Arial"/>
          <w:sz w:val="18"/>
          <w:szCs w:val="18"/>
          <w:u w:val="single" w:color="auto"/>
          <w:color w:val="auto"/>
        </w:rPr>
        <w:t>Section 6.5.3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60" w:firstLine="987"/>
        <w:spacing w:after="0" w:line="293" w:lineRule="auto"/>
        <w:tabs>
          <w:tab w:leader="none" w:pos="1171"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A Holder may transfer any shares of Series A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A Non-Voting Preferred Stock may reasonably request in order to carry out the intent and accomplish the purposes of this </w:t>
      </w:r>
      <w:r>
        <w:rPr>
          <w:rFonts w:ascii="Arial" w:cs="Arial" w:eastAsia="Arial" w:hAnsi="Arial"/>
          <w:sz w:val="16"/>
          <w:szCs w:val="16"/>
          <w:u w:val="single" w:color="auto"/>
          <w:color w:val="auto"/>
        </w:rPr>
        <w:t>Section 9</w:t>
      </w:r>
      <w:r>
        <w:rPr>
          <w:rFonts w:ascii="Arial" w:cs="Arial" w:eastAsia="Arial" w:hAnsi="Arial"/>
          <w:sz w:val="16"/>
          <w:szCs w:val="16"/>
          <w:color w:val="auto"/>
        </w:rPr>
        <w:t>. The transferee of any shares of Series A Non-Voting Preferred Stock shall be subject to the Beneficial Ownership Limitation applicable to the transferor as of the time of such transfer.</w:t>
      </w:r>
    </w:p>
    <w:p>
      <w:pPr>
        <w:spacing w:after="0" w:line="164" w:lineRule="exact"/>
        <w:rPr>
          <w:rFonts w:ascii="Arial" w:cs="Arial" w:eastAsia="Arial" w:hAnsi="Arial"/>
          <w:sz w:val="16"/>
          <w:szCs w:val="16"/>
          <w:color w:val="auto"/>
        </w:rPr>
      </w:pPr>
    </w:p>
    <w:p>
      <w:pPr>
        <w:ind w:right="40" w:firstLine="987"/>
        <w:spacing w:after="0" w:line="291" w:lineRule="auto"/>
        <w:tabs>
          <w:tab w:leader="none" w:pos="1261"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Series A Non-Voting Preferred Stock Register</w:t>
      </w:r>
      <w:r>
        <w:rPr>
          <w:rFonts w:ascii="Arial" w:cs="Arial" w:eastAsia="Arial" w:hAnsi="Arial"/>
          <w:sz w:val="16"/>
          <w:szCs w:val="16"/>
          <w:color w:val="auto"/>
        </w:rPr>
        <w:t xml:space="preserve">. The Corporation shall maintain at its principal executive offices (or such other office or agency of the Corporation as it may designate by notice to the Holders in accordance with </w:t>
      </w:r>
      <w:r>
        <w:rPr>
          <w:rFonts w:ascii="Arial" w:cs="Arial" w:eastAsia="Arial" w:hAnsi="Arial"/>
          <w:sz w:val="16"/>
          <w:szCs w:val="16"/>
          <w:u w:val="single" w:color="auto"/>
          <w:color w:val="auto"/>
        </w:rPr>
        <w:t>Section 11</w:t>
      </w:r>
      <w:r>
        <w:rPr>
          <w:rFonts w:ascii="Arial" w:cs="Arial" w:eastAsia="Arial" w:hAnsi="Arial"/>
          <w:sz w:val="16"/>
          <w:szCs w:val="16"/>
          <w:color w:val="auto"/>
        </w:rPr>
        <w:t>), a register for the Series A Non-Voting Preferred Stock, in which the Corporation shall record (i) the name, address, and electronic mail address of each holder in whose name the shares of Series A Non-Voting Preferred Stock have been issued and (ii) the name, address, and electronic mail address of each transferee of any shares of Series A Non-Voting Preferred Stock. The Corporation may deem and treat the registered Holder of shares of Series A Non-Voting Preferred Stock as the absolute owner thereof for the purpose of any conversion thereof and for all other purposes. The Corporation shall keep the register open and available at all times during business hours for inspection by any holder of Series A Non-Voting Preferred Stock or his, her or its legal representatives.</w:t>
      </w:r>
    </w:p>
    <w:p>
      <w:pPr>
        <w:spacing w:after="0" w:line="166" w:lineRule="exact"/>
        <w:rPr>
          <w:rFonts w:ascii="Arial" w:cs="Arial" w:eastAsia="Arial" w:hAnsi="Arial"/>
          <w:sz w:val="16"/>
          <w:szCs w:val="16"/>
          <w:color w:val="auto"/>
        </w:rPr>
      </w:pPr>
    </w:p>
    <w:p>
      <w:pPr>
        <w:ind w:right="80" w:firstLine="987"/>
        <w:spacing w:after="0" w:line="259" w:lineRule="auto"/>
        <w:tabs>
          <w:tab w:leader="none" w:pos="1254"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the provisions of this Certificate of Designation to be given to a Holder of shares of Series A Non-Voting Preferred Stock shall be mailed, postage prepaid, to the post office address last shown on the records of the Corporation, or given by electronic communication in compliance with the provisions of the Delaware General Corporation Law, and shall be deemed sent upon such mailing or electronic transmission.</w:t>
      </w:r>
    </w:p>
    <w:p>
      <w:pPr>
        <w:spacing w:after="0" w:line="186" w:lineRule="exact"/>
        <w:rPr>
          <w:rFonts w:ascii="Arial" w:cs="Arial" w:eastAsia="Arial" w:hAnsi="Arial"/>
          <w:sz w:val="18"/>
          <w:szCs w:val="18"/>
          <w:color w:val="auto"/>
        </w:rPr>
      </w:pPr>
    </w:p>
    <w:p>
      <w:pPr>
        <w:ind w:right="300" w:firstLine="987"/>
        <w:spacing w:after="0" w:line="257" w:lineRule="auto"/>
        <w:tabs>
          <w:tab w:leader="none" w:pos="1261"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Book-Entry; Certificates</w:t>
      </w:r>
      <w:r>
        <w:rPr>
          <w:rFonts w:ascii="Arial" w:cs="Arial" w:eastAsia="Arial" w:hAnsi="Arial"/>
          <w:sz w:val="18"/>
          <w:szCs w:val="18"/>
          <w:color w:val="auto"/>
        </w:rPr>
        <w:t>. The Series A Non-Voting Preferred Stock will be issued in book-entry form; provided that, if a Holder requests that such Holder’s shares of Series A Non-Voting Preferred Stock be issued in certificated form, the Corporation will instead issue a stock certificate to such Holder representing such Holder’s shares of Series A Non-Voting Preferred Stock. To the extent that any shares of Series A Non-Voting Preferred Stock are issued in book-entry form, references herein to “certificates” shall instead refer to the book-entry notation relating to such shares.</w:t>
      </w:r>
    </w:p>
    <w:p>
      <w:pPr>
        <w:spacing w:after="0" w:line="187" w:lineRule="exact"/>
        <w:rPr>
          <w:rFonts w:ascii="Arial" w:cs="Arial" w:eastAsia="Arial" w:hAnsi="Arial"/>
          <w:sz w:val="18"/>
          <w:szCs w:val="18"/>
          <w:color w:val="auto"/>
        </w:rPr>
      </w:pPr>
    </w:p>
    <w:p>
      <w:pPr>
        <w:ind w:firstLine="987"/>
        <w:spacing w:after="0" w:line="254" w:lineRule="auto"/>
        <w:tabs>
          <w:tab w:leader="none" w:pos="1261"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 Non-Voting Preferred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78" w:name="page379"/>
    <w:bookmarkEnd w:id="378"/>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granted hereunder may be waived as to all shares of Series A Non-Voting Preferred Stock (and the Holders thereof) upon the written consent of the Holders of not less than a majority of the shares of Series A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spacing w:after="0" w:line="176" w:lineRule="exact"/>
        <w:rPr>
          <w:sz w:val="20"/>
          <w:szCs w:val="20"/>
          <w:color w:val="auto"/>
        </w:rPr>
      </w:pPr>
    </w:p>
    <w:p>
      <w:pPr>
        <w:ind w:right="20" w:firstLine="987"/>
        <w:spacing w:after="0" w:line="286" w:lineRule="auto"/>
        <w:tabs>
          <w:tab w:leader="none" w:pos="1261"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165" w:lineRule="exact"/>
        <w:rPr>
          <w:rFonts w:ascii="Arial" w:cs="Arial" w:eastAsia="Arial" w:hAnsi="Arial"/>
          <w:sz w:val="17"/>
          <w:szCs w:val="17"/>
          <w:color w:val="auto"/>
        </w:rPr>
      </w:pPr>
    </w:p>
    <w:p>
      <w:pPr>
        <w:ind w:firstLine="987"/>
        <w:spacing w:after="0" w:line="275" w:lineRule="auto"/>
        <w:tabs>
          <w:tab w:leader="none" w:pos="1261"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Status of Converted Series A Non-Voting Preferred Stock</w:t>
      </w:r>
      <w:r>
        <w:rPr>
          <w:rFonts w:ascii="Arial" w:cs="Arial" w:eastAsia="Arial" w:hAnsi="Arial"/>
          <w:sz w:val="17"/>
          <w:szCs w:val="17"/>
          <w:color w:val="auto"/>
        </w:rPr>
        <w:t>. If any shares of Series A Non-Voting Preferred Stock shall be converted or redeemed by the Corporation, such shares shall, to the fullest extent permitted by applicable law, be retired and cancelled upon such acquisition, and shall not be reissued as a share of Series A Non-Voting Preferred Stock. Any share of Series A Non-Voting Preferred Stock so acquired shall, upon its retirement and cancellation, and upon the taking of any action required by applicable law, resume the status of authorized but unissued shares of preferred stock and shall no longer be designated as Series A Non-Voting Preferred Stock.</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40" w:top="274" w:right="579" w:bottom="1440" w:gutter="0" w:footer="0" w:header="0"/>
        </w:sectPr>
      </w:pPr>
    </w:p>
    <w:bookmarkStart w:id="379" w:name="page380"/>
    <w:bookmarkEnd w:id="37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Aeglea BioTherapeutics, Inc. has caused this Certificate of Designation of Preferences, Rights and Limitations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 Non-Voting Convertible Preferred Stock to be duly executed by its Chief Executive Officer on June 22, 2023.</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Jonathan Alspaugh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Alspaugh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740"/>
          </w:cols>
          <w:pgMar w:left="440" w:top="270" w:right="719" w:bottom="1440" w:gutter="0" w:footer="0" w:header="0"/>
        </w:sectPr>
      </w:pPr>
    </w:p>
    <w:bookmarkStart w:id="380" w:name="page381"/>
    <w:bookmarkEnd w:id="38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NOTICE OF CONVERSION</w:t>
      </w:r>
    </w:p>
    <w:p>
      <w:pPr>
        <w:spacing w:after="0" w:line="225" w:lineRule="exact"/>
        <w:rPr>
          <w:sz w:val="20"/>
          <w:szCs w:val="20"/>
          <w:color w:val="auto"/>
        </w:rPr>
      </w:pPr>
    </w:p>
    <w:p>
      <w:pPr>
        <w:jc w:val="center"/>
        <w:ind w:left="520" w:right="160"/>
        <w:spacing w:after="0" w:line="277" w:lineRule="auto"/>
        <w:rPr>
          <w:sz w:val="20"/>
          <w:szCs w:val="20"/>
          <w:color w:val="auto"/>
        </w:rPr>
      </w:pPr>
      <w:r>
        <w:rPr>
          <w:rFonts w:ascii="Arial" w:cs="Arial" w:eastAsia="Arial" w:hAnsi="Arial"/>
          <w:sz w:val="18"/>
          <w:szCs w:val="18"/>
          <w:color w:val="auto"/>
        </w:rPr>
        <w:t>(TO BE EXECUTED BY THE REGISTERED HOLDER IN ORDER TO CONVERT SHARES OF SERIES A NON-VOTING CONVERTIBLE PREFERRED STOCK)</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Holder hereby irrevocably elects to convert the number of shares of Series A Non-Voting Preferred Stock indicated below, represented in book-entry form, into shares of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Aeglea BioTherapeutics,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 Non-Voting Convertible Preferred Stock (the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filed by the Corporation with the Secretary of State of the State of Delaware on June 22, 2023.</w:t>
      </w:r>
    </w:p>
    <w:p>
      <w:pPr>
        <w:spacing w:after="0" w:line="16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 xml:space="preserve">As of the date hereof, the number of shares of Common Stock beneficially owned by the undersigned Holder (together with such Holder’s Attribution Parties), including the number of shares of Common Stock issuable upon conversion of the Series A Non-Voting Preferred Stock subject to this Notice of Conversion, but excluding the number of shares of Common Stock which are issuable upon (A) conversion of the remaining, unconverted Series A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of the Certificate of Designation, is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_____. For purposes hereof, beneficial ownership shall be calculated in accordance with Section 13(d) of the Exchange Act and the applicable</w:t>
      </w:r>
    </w:p>
    <w:p>
      <w:pPr>
        <w:spacing w:after="0" w:line="2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regulations of the Commission. In addition, for purposes hereof, “group” has the meaning set forth in Section 13(d) of the Exchange Act and the applicable regulations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CONVERSION CALCULATIONS: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A Non-Voting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A Non-Voting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14605</wp:posOffset>
            </wp:positionV>
            <wp:extent cx="13970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DWAC Delivery, please provide the following: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Broker No.: ________________</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No.: _______________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14605</wp:posOffset>
            </wp:positionV>
            <wp:extent cx="252031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dated as of June 22, 2023, by and among </w:t>
      </w:r>
      <w:r>
        <w:rPr>
          <w:rFonts w:ascii="Arial" w:cs="Arial" w:eastAsia="Arial" w:hAnsi="Arial"/>
          <w:sz w:val="18"/>
          <w:szCs w:val="18"/>
          <w:b w:val="1"/>
          <w:bCs w:val="1"/>
          <w:color w:val="auto"/>
        </w:rPr>
        <w:t>A</w:t>
      </w:r>
      <w:r>
        <w:rPr>
          <w:rFonts w:ascii="Arial" w:cs="Arial" w:eastAsia="Arial" w:hAnsi="Arial"/>
          <w:sz w:val="14"/>
          <w:szCs w:val="14"/>
          <w:b w:val="1"/>
          <w:bCs w:val="1"/>
          <w:color w:val="auto"/>
        </w:rPr>
        <w:t>EGLEA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4"/>
          <w:szCs w:val="14"/>
          <w:b w:val="1"/>
          <w:bCs w:val="1"/>
          <w:color w:val="auto"/>
        </w:rPr>
        <w:t>IO</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each purchaser identified on Annex A hereto (each, including its successors and assigns, a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Purchasers</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436"/>
        <w:spacing w:after="0" w:line="259" w:lineRule="auto"/>
        <w:tabs>
          <w:tab w:leader="none" w:pos="795"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The Company and each Purchaser is executing and delivering this Agreement in reliance upon the exemption from securities registration afforded by Section 4(a)(2) of the Securities Act of 1933, as amended, and the rules and regulations thereunder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Rule 506 of Regulation D (“</w:t>
      </w:r>
      <w:r>
        <w:rPr>
          <w:rFonts w:ascii="Arial" w:cs="Arial" w:eastAsia="Arial" w:hAnsi="Arial"/>
          <w:sz w:val="18"/>
          <w:szCs w:val="18"/>
          <w:b w:val="1"/>
          <w:bCs w:val="1"/>
          <w:i w:val="1"/>
          <w:iCs w:val="1"/>
          <w:color w:val="auto"/>
        </w:rPr>
        <w:t>Regulation D</w:t>
      </w:r>
      <w:r>
        <w:rPr>
          <w:rFonts w:ascii="Arial" w:cs="Arial" w:eastAsia="Arial" w:hAnsi="Arial"/>
          <w:sz w:val="18"/>
          <w:szCs w:val="18"/>
          <w:color w:val="auto"/>
        </w:rPr>
        <w:t>”) as promulgated by the United States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w:t>
      </w:r>
    </w:p>
    <w:p>
      <w:pPr>
        <w:spacing w:after="0" w:line="186" w:lineRule="exact"/>
        <w:rPr>
          <w:rFonts w:ascii="Arial" w:cs="Arial" w:eastAsia="Arial" w:hAnsi="Arial"/>
          <w:sz w:val="18"/>
          <w:szCs w:val="18"/>
          <w:b w:val="1"/>
          <w:bCs w:val="1"/>
          <w:color w:val="auto"/>
        </w:rPr>
      </w:pPr>
    </w:p>
    <w:p>
      <w:pPr>
        <w:ind w:right="60" w:firstLine="436"/>
        <w:spacing w:after="0" w:line="272" w:lineRule="auto"/>
        <w:tabs>
          <w:tab w:leader="none" w:pos="785"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Each Purchaser, severally and not jointly, wishes to purchase, and the Company wishes to issue and sell, upon the terms and conditions stated in this Agreement, an aggregate of 721,452 shares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of Series A Non-Voting Convertible Preferred Stock, par value $0.0001 per share (and including any other class of securities into which the Series A Preferred Stock may hereafter be reclassified or changed into, the “</w:t>
      </w:r>
      <w:r>
        <w:rPr>
          <w:rFonts w:ascii="Arial" w:cs="Arial" w:eastAsia="Arial" w:hAnsi="Arial"/>
          <w:sz w:val="17"/>
          <w:szCs w:val="17"/>
          <w:b w:val="1"/>
          <w:bCs w:val="1"/>
          <w:i w:val="1"/>
          <w:iCs w:val="1"/>
          <w:color w:val="auto"/>
        </w:rPr>
        <w:t>Series 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of the Company, having the designation, preferences, conversion or other rights, voting powers, restrictions, limitations as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dividends, qualifications and terms and conditions as specified in the Certificate of Designation, in the form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Certificate of Designation</w:t>
      </w:r>
      <w:r>
        <w:rPr>
          <w:rFonts w:ascii="Arial" w:cs="Arial" w:eastAsia="Arial" w:hAnsi="Arial"/>
          <w:sz w:val="17"/>
          <w:szCs w:val="17"/>
          <w:color w:val="auto"/>
        </w:rPr>
        <w:t>”), which will be convertible into shares (the “</w:t>
      </w:r>
      <w:r>
        <w:rPr>
          <w:rFonts w:ascii="Arial" w:cs="Arial" w:eastAsia="Arial" w:hAnsi="Arial"/>
          <w:sz w:val="17"/>
          <w:szCs w:val="17"/>
          <w:b w:val="1"/>
          <w:bCs w:val="1"/>
          <w:i w:val="1"/>
          <w:iCs w:val="1"/>
          <w:color w:val="auto"/>
        </w:rPr>
        <w:t>Conversion Shares</w:t>
      </w:r>
      <w:r>
        <w:rPr>
          <w:rFonts w:ascii="Arial" w:cs="Arial" w:eastAsia="Arial" w:hAnsi="Arial"/>
          <w:sz w:val="17"/>
          <w:szCs w:val="17"/>
          <w:color w:val="auto"/>
        </w:rPr>
        <w:t>”) of the Company’s common stock, par value $0.0001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in accordance with the terms set forth in the Certificate of Designation.</w:t>
      </w:r>
    </w:p>
    <w:p>
      <w:pPr>
        <w:spacing w:after="0" w:line="177" w:lineRule="exact"/>
        <w:rPr>
          <w:rFonts w:ascii="Arial" w:cs="Arial" w:eastAsia="Arial" w:hAnsi="Arial"/>
          <w:sz w:val="17"/>
          <w:szCs w:val="17"/>
          <w:b w:val="1"/>
          <w:bCs w:val="1"/>
          <w:color w:val="auto"/>
        </w:rPr>
      </w:pPr>
    </w:p>
    <w:p>
      <w:pPr>
        <w:ind w:right="460" w:firstLine="436"/>
        <w:spacing w:after="0" w:line="277" w:lineRule="auto"/>
        <w:tabs>
          <w:tab w:leader="none" w:pos="795"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Pursuant to the terms and conditions of the Certificate of Designation, the conversion of the Series A Preferred Stock shall be subject to receipt of the Requisite Stockholder Approval (as defined herein).</w:t>
      </w:r>
    </w:p>
    <w:p>
      <w:pPr>
        <w:spacing w:after="0" w:line="170" w:lineRule="exact"/>
        <w:rPr>
          <w:rFonts w:ascii="Arial" w:cs="Arial" w:eastAsia="Arial" w:hAnsi="Arial"/>
          <w:sz w:val="18"/>
          <w:szCs w:val="18"/>
          <w:b w:val="1"/>
          <w:bCs w:val="1"/>
          <w:color w:val="auto"/>
        </w:rPr>
      </w:pPr>
    </w:p>
    <w:p>
      <w:pPr>
        <w:ind w:right="700" w:firstLine="436"/>
        <w:spacing w:after="0" w:line="342" w:lineRule="auto"/>
        <w:tabs>
          <w:tab w:leader="none" w:pos="795" w:val="left"/>
        </w:tabs>
        <w:numPr>
          <w:ilvl w:val="0"/>
          <w:numId w:val="267"/>
        </w:numPr>
        <w:rPr>
          <w:rFonts w:ascii="Arial" w:cs="Arial" w:eastAsia="Arial" w:hAnsi="Arial"/>
          <w:sz w:val="16"/>
          <w:szCs w:val="16"/>
          <w:b w:val="1"/>
          <w:bCs w:val="1"/>
          <w:color w:val="auto"/>
        </w:rPr>
      </w:pPr>
      <w:r>
        <w:rPr>
          <w:rFonts w:ascii="Arial" w:cs="Arial" w:eastAsia="Arial" w:hAnsi="Arial"/>
          <w:sz w:val="16"/>
          <w:szCs w:val="16"/>
          <w:color w:val="auto"/>
        </w:rPr>
        <w:t>The Company has engaged Jefferies LLC; Cowen and Company, LLC; Stifel, Nicolaus &amp; Company, Incorporated; and Guggenheim Securities, LLC as its exclusive placement agents (the “</w:t>
      </w:r>
      <w:r>
        <w:rPr>
          <w:rFonts w:ascii="Arial" w:cs="Arial" w:eastAsia="Arial" w:hAnsi="Arial"/>
          <w:sz w:val="16"/>
          <w:szCs w:val="16"/>
          <w:b w:val="1"/>
          <w:bCs w:val="1"/>
          <w:i w:val="1"/>
          <w:iCs w:val="1"/>
          <w:color w:val="auto"/>
        </w:rPr>
        <w:t>Placement Agents</w:t>
      </w:r>
      <w:r>
        <w:rPr>
          <w:rFonts w:ascii="Arial" w:cs="Arial" w:eastAsia="Arial" w:hAnsi="Arial"/>
          <w:sz w:val="16"/>
          <w:szCs w:val="16"/>
          <w:color w:val="auto"/>
        </w:rPr>
        <w:t>”) for the offering of the Securities on a “best efforts” basis.</w:t>
      </w:r>
    </w:p>
    <w:p>
      <w:pPr>
        <w:spacing w:after="0" w:line="123" w:lineRule="exact"/>
        <w:rPr>
          <w:rFonts w:ascii="Arial" w:cs="Arial" w:eastAsia="Arial" w:hAnsi="Arial"/>
          <w:sz w:val="16"/>
          <w:szCs w:val="16"/>
          <w:b w:val="1"/>
          <w:bCs w:val="1"/>
          <w:color w:val="auto"/>
        </w:rPr>
      </w:pPr>
    </w:p>
    <w:p>
      <w:pPr>
        <w:ind w:right="60" w:firstLine="436"/>
        <w:spacing w:after="0" w:line="271" w:lineRule="auto"/>
        <w:tabs>
          <w:tab w:leader="none" w:pos="785"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Concurrently with the execution and delivery of this Agreement, the Company is entering into an Agreement and Plan of Merger by and among the Company, Aspen Merger Sub I, Inc., a Delaware corporation and wholly owned subsidiary of Parent (the “</w:t>
      </w:r>
      <w:r>
        <w:rPr>
          <w:rFonts w:ascii="Arial" w:cs="Arial" w:eastAsia="Arial" w:hAnsi="Arial"/>
          <w:sz w:val="17"/>
          <w:szCs w:val="17"/>
          <w:b w:val="1"/>
          <w:bCs w:val="1"/>
          <w:i w:val="1"/>
          <w:iCs w:val="1"/>
          <w:color w:val="auto"/>
        </w:rPr>
        <w:t>First Merger Sub</w:t>
      </w:r>
      <w:r>
        <w:rPr>
          <w:rFonts w:ascii="Arial" w:cs="Arial" w:eastAsia="Arial" w:hAnsi="Arial"/>
          <w:sz w:val="17"/>
          <w:szCs w:val="17"/>
          <w:color w:val="auto"/>
        </w:rPr>
        <w:t>”), Sequoia Merger Sub II, LLC, a Delaware limited liability company and wholly owned subsidiary of Parent (the “</w:t>
      </w:r>
      <w:r>
        <w:rPr>
          <w:rFonts w:ascii="Arial" w:cs="Arial" w:eastAsia="Arial" w:hAnsi="Arial"/>
          <w:sz w:val="17"/>
          <w:szCs w:val="17"/>
          <w:b w:val="1"/>
          <w:bCs w:val="1"/>
          <w:i w:val="1"/>
          <w:iCs w:val="1"/>
          <w:color w:val="auto"/>
        </w:rPr>
        <w:t>Second Merger Sub</w:t>
      </w:r>
      <w:r>
        <w:rPr>
          <w:rFonts w:ascii="Arial" w:cs="Arial" w:eastAsia="Arial" w:hAnsi="Arial"/>
          <w:sz w:val="17"/>
          <w:szCs w:val="17"/>
          <w:color w:val="auto"/>
        </w:rPr>
        <w:t>”), and Spyre Therapeutics, Inc. (“</w:t>
      </w:r>
      <w:r>
        <w:rPr>
          <w:rFonts w:ascii="Arial" w:cs="Arial" w:eastAsia="Arial" w:hAnsi="Arial"/>
          <w:sz w:val="17"/>
          <w:szCs w:val="17"/>
          <w:b w:val="1"/>
          <w:bCs w:val="1"/>
          <w:i w:val="1"/>
          <w:iCs w:val="1"/>
          <w:color w:val="auto"/>
        </w:rPr>
        <w:t>Spyre</w:t>
      </w:r>
      <w:r>
        <w:rPr>
          <w:rFonts w:ascii="Arial" w:cs="Arial" w:eastAsia="Arial" w:hAnsi="Arial"/>
          <w:sz w:val="17"/>
          <w:szCs w:val="17"/>
          <w:color w:val="auto"/>
        </w:rPr>
        <w:t xml:space="preserve">”), in substantially the form attached hereto as </w:t>
      </w:r>
      <w:r>
        <w:rPr>
          <w:rFonts w:ascii="Arial" w:cs="Arial" w:eastAsia="Arial" w:hAnsi="Arial"/>
          <w:sz w:val="17"/>
          <w:szCs w:val="17"/>
          <w:b w:val="1"/>
          <w:bCs w:val="1"/>
          <w:color w:val="auto"/>
        </w:rPr>
        <w:t>Exhibit G</w:t>
      </w:r>
      <w:r>
        <w:rPr>
          <w:rFonts w:ascii="Arial" w:cs="Arial" w:eastAsia="Arial" w:hAnsi="Arial"/>
          <w:sz w:val="17"/>
          <w:szCs w:val="17"/>
          <w:color w:val="auto"/>
        </w:rPr>
        <w:t xml:space="preserve"> attached hereto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pursuant to which the Company and Spyre intend to effect a merger of First Merger Sub with and into Spyre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Upon consummation of the First Merger, the First Merger Sub will cease to exist and Spyre will become a wholly-owned subsidiary of the Company. Immediately following the First Merger and as part of the same overall transaction as the First Merger, Spyre will merge with and into Second Merger Sub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with Second Merger Sub being the surviving entity of the Second Merger.</w:t>
      </w:r>
    </w:p>
    <w:p>
      <w:pPr>
        <w:spacing w:after="0" w:line="178" w:lineRule="exact"/>
        <w:rPr>
          <w:rFonts w:ascii="Arial" w:cs="Arial" w:eastAsia="Arial" w:hAnsi="Arial"/>
          <w:sz w:val="17"/>
          <w:szCs w:val="17"/>
          <w:b w:val="1"/>
          <w:bCs w:val="1"/>
          <w:color w:val="auto"/>
        </w:rPr>
      </w:pPr>
    </w:p>
    <w:p>
      <w:pPr>
        <w:ind w:right="80" w:firstLine="436"/>
        <w:spacing w:after="0" w:line="263" w:lineRule="auto"/>
        <w:tabs>
          <w:tab w:leader="none" w:pos="759"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 xml:space="preserve">Prior to the Closing: (i) the parties hereto shall execute and deliver a Registration Rights Agreement, substantially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pursuant to which, among other things, the Company will agree to provide certain registration rights with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82" w:name="page383"/>
    <w:bookmarkEnd w:id="382"/>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the Conversion Shares under the Securities Act and the rules and regulations promulgated thereunder and applicable state securities laws and (ii) the Company shall file with the Delaware Secretary of State the Certificate of Designation, duly executed by an officer of the Company.</w:t>
      </w:r>
    </w:p>
    <w:p>
      <w:pPr>
        <w:spacing w:after="0" w:line="120"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OW</w:t>
      </w:r>
      <w:r>
        <w:rPr>
          <w:rFonts w:ascii="Arial" w:cs="Arial" w:eastAsia="Arial" w:hAnsi="Arial"/>
          <w:sz w:val="16"/>
          <w:szCs w:val="16"/>
          <w:b w:val="1"/>
          <w:bCs w:val="1"/>
          <w:color w:val="auto"/>
        </w:rPr>
        <w:t>, T</w:t>
      </w:r>
      <w:r>
        <w:rPr>
          <w:rFonts w:ascii="Arial" w:cs="Arial" w:eastAsia="Arial" w:hAnsi="Arial"/>
          <w:sz w:val="12"/>
          <w:szCs w:val="12"/>
          <w:b w:val="1"/>
          <w:bCs w:val="1"/>
          <w:color w:val="auto"/>
        </w:rPr>
        <w:t>HEREFORE</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mutual covenants contained in this Agreement,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adequacy of which are hereby acknowledged, the Company and each Purchaser, severally and not jointly, hereby agree as follows: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In addition to the terms defined elsewhere in this Agreement, for all purposes of this Agreement, the following terms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meanings indicated in this Section 1.1:</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has the meaning set forth in Section 4.5.</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Action</w:t>
      </w:r>
      <w:r>
        <w:rPr>
          <w:rFonts w:ascii="Arial" w:cs="Arial" w:eastAsia="Arial" w:hAnsi="Arial"/>
          <w:sz w:val="16"/>
          <w:szCs w:val="16"/>
          <w:color w:val="auto"/>
        </w:rPr>
        <w:t>” means any action, suit, inquiry, notice of violation, proceeding (including any partial proceeding such as a deposition) or investigation pending or, to the Company’s Knowledge, threatened against the Company, its Subsidiaries or any of their respective properties, or any officer, director or employee of the Company or any of its Subsidiaries acting in his or her capacity as an officer, director or employee, before or by any federal, state, county, local or foreign court, arbitrator, governmental or administrative agency, regulatory authority, stock market, stock exchange or trading facility.</w:t>
      </w:r>
    </w:p>
    <w:p>
      <w:pPr>
        <w:spacing w:after="0" w:line="157"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such Person, as such terms are used in and construed under Rule 405 under the Securities Act.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any day except Saturday, Sunday, any day which is a federal legal holiday in the United States or any day on which banking institutions in the State of New York are authorized or required by law or other governmental action to close.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Designation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has the meaning set forth in Section 2.2(a).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Counsel</w:t>
      </w:r>
      <w:r>
        <w:rPr>
          <w:rFonts w:ascii="Arial" w:cs="Arial" w:eastAsia="Arial" w:hAnsi="Arial"/>
          <w:sz w:val="18"/>
          <w:szCs w:val="18"/>
          <w:color w:val="auto"/>
        </w:rPr>
        <w:t>” means Cooley LLP, with offices at 110 N. Upper Wacker Dr., Suite 4200, Chicago, IL 60606.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Deliverables</w:t>
      </w:r>
      <w:r>
        <w:rPr>
          <w:rFonts w:ascii="Arial" w:cs="Arial" w:eastAsia="Arial" w:hAnsi="Arial"/>
          <w:sz w:val="18"/>
          <w:szCs w:val="18"/>
          <w:color w:val="auto"/>
        </w:rPr>
        <w:t>” has the meaning set forth in Section 2.3(a).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383" w:name="page384"/>
    <w:bookmarkEnd w:id="383"/>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Company’s Knowledge</w:t>
      </w:r>
      <w:r>
        <w:rPr>
          <w:rFonts w:ascii="Arial" w:cs="Arial" w:eastAsia="Arial" w:hAnsi="Arial"/>
          <w:sz w:val="17"/>
          <w:szCs w:val="17"/>
          <w:color w:val="auto"/>
        </w:rPr>
        <w:t>” means with respect to any statement made to the Company’s Knowledge, that the statement is based upon the actual knowledge, or knowledge that would have been acquired after reasonable inquiry, of the executive officers or directors of the Company having responsibility for the matter or matters that are the subject of the statement.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176"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with respect to any Person, any written or oral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84"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means any effect, change, event, circumstance, state of fact, occurrence or development.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the initial Registration Statement required by Section 2(a) of the Registration Rights Agreement is first declared effective by the Commission.</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 Plan</w:t>
      </w:r>
      <w:r>
        <w:rPr>
          <w:rFonts w:ascii="Arial" w:cs="Arial" w:eastAsia="Arial" w:hAnsi="Arial"/>
          <w:sz w:val="17"/>
          <w:szCs w:val="17"/>
          <w:color w:val="auto"/>
        </w:rPr>
        <w:t>” means any “employee benefit plan” as defined in Section 3(3) of ERISA and any other pension, retirement, deferred compensation, excess benefit, profit-sharing, bonus, incentive, equity or equity-based, phantom equity, employment, consulting, severance, change-of-control, retention, health, life, disability, group insurance, paid time off, holiday, welfare and fringe benefit plan, program, agreement, Contract, or arrangement (whether written or unwritten, qualified or nonqualified, funded or unfunded, subject or not subject to ERISA and including any that have been frozen) that the Company or any of its Subsidiaries (i) sponsors, maintains, administers, or contributes to, (ii) provides benefits under or through, (iii) has any obligation to contribute to or provide benefits under or through, (iv) with respect to which have any liability, or (v) utilizes to provide benefits to or otherwise cover any current or former employee, officer, director or other service provider of the Company or any of its Subsidiaries (or their spouses, dependents, or beneficiaries).</w:t>
      </w:r>
    </w:p>
    <w:p>
      <w:pPr>
        <w:spacing w:after="0" w:line="178"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has the meaning set forth in Section 3.1(dd).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thereunder.</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and practices in effect from time to time within the United States applied consistently throughout the period involved.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84" w:name="page385"/>
    <w:bookmarkEnd w:id="384"/>
    <w:p>
      <w:pPr>
        <w:ind w:right="1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any taxing authority) or (d) self-regulatory organization (including Nasdaq).</w:t>
      </w:r>
    </w:p>
    <w:p>
      <w:pPr>
        <w:spacing w:after="0" w:line="157"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has the meaning set forth in Section 3.1(p).</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Irrevocable Transfer Agent Instructions</w:t>
      </w:r>
      <w:r>
        <w:rPr>
          <w:rFonts w:ascii="Arial" w:cs="Arial" w:eastAsia="Arial" w:hAnsi="Arial"/>
          <w:sz w:val="18"/>
          <w:szCs w:val="18"/>
          <w:color w:val="auto"/>
        </w:rPr>
        <w:t xml:space="preserve">” means, with respect to the Company, the Irrevocable Transfer Agent Instructions, in substantially the form of </w:t>
      </w:r>
      <w:r>
        <w:rPr>
          <w:rFonts w:ascii="Arial" w:cs="Arial" w:eastAsia="Arial" w:hAnsi="Arial"/>
          <w:sz w:val="18"/>
          <w:szCs w:val="18"/>
          <w:b w:val="1"/>
          <w:bCs w:val="1"/>
          <w:color w:val="auto"/>
        </w:rPr>
        <w:t>Exhibit D</w:t>
      </w:r>
      <w:r>
        <w:rPr>
          <w:rFonts w:ascii="Arial" w:cs="Arial" w:eastAsia="Arial" w:hAnsi="Arial"/>
          <w:sz w:val="18"/>
          <w:szCs w:val="18"/>
          <w:color w:val="auto"/>
        </w:rPr>
        <w:t>, executed by the Company and delivered to and acknowledged in writing by the Transfer Agent.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state, national, supra-national, foreign, local or municipal or other law, statute, constitution, principle of common law, resolution, ordinance, code, edict, decree, rule, regulation, ruling, order, judgment or requirement issued, enacted, adopted, promulgated, implemented or otherwise put into effect by or under the authority of any Governmental Authority (including under the authority of Nasdaq or the Financial Industry Regulatory Authority, Inc.).</w:t>
      </w:r>
    </w:p>
    <w:p>
      <w:pPr>
        <w:spacing w:after="0" w:line="187"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xml:space="preserve">” means any Effect, individually or together with any other Effect, that (a) has had, has, or would reasonably be expected to have a material adverse effect on the business, condition (financial or otherwise), general affairs, management, assets, liabilities, results of operations, earnings, prospects or properties of the Company or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Effects arising or resulting from the following shall not be taken into account in determining whether there has been a Material Adverse Effect: (1) the announcement or disclosure of the sale of the Securities or other transactions contemplated by this Agreement, (2) the taking of any action, or the failure to take any action, by the Company that is required to comply with the terms of this Agreement, (3)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(4) any change in GAAP or applicable Law or the interpretation thereof, (5) general economic or political conditions or conditions generally affecting the industries in which the Company and its Subsidiaries operate or (6) any change in the cash position of the Company and its Subsidiaries which results from operations in the ordinary course of business; except in each case with respect to clauses (3), (4) and (5), (x) to the extent disproportionately affecting the Company and its Subsidiaries, taken as a whole, relative to other similarly situated companies in the industries in which the Company and its Subsidiaries operate and (y) the underlying cause of such Effect may be considered except to the extent such underlying cause would otherwise be excluded in accordance with the foregoing; or (b) prevents, materially adversely delays or materially adversely impedes, or could reasonably be expected to prevent, materially adversely delay or materially adversely impede the performance by the Company of its obligations under this Agreement and the other Transaction Documents, including, without limitation, the issuance and sale of the Securities and the Conversion Shares.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85" w:name="page386"/>
    <w:bookmarkEnd w:id="3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New York Courts</w:t>
      </w:r>
      <w:r>
        <w:rPr>
          <w:rFonts w:ascii="Arial" w:cs="Arial" w:eastAsia="Arial" w:hAnsi="Arial"/>
          <w:sz w:val="18"/>
          <w:szCs w:val="18"/>
          <w:color w:val="auto"/>
        </w:rPr>
        <w:t>” means the state and federal courts sitting in the City of New York, Borough of Manhattan.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means the fifteenth (15</w:t>
      </w:r>
      <w:r>
        <w:rPr>
          <w:rFonts w:ascii="Arial" w:cs="Arial" w:eastAsia="Arial" w:hAnsi="Arial"/>
          <w:sz w:val="26"/>
          <w:szCs w:val="26"/>
          <w:color w:val="auto"/>
          <w:vertAlign w:val="superscript"/>
        </w:rPr>
        <w:t>th</w:t>
      </w:r>
      <w:r>
        <w:rPr>
          <w:rFonts w:ascii="Arial" w:cs="Arial" w:eastAsia="Arial" w:hAnsi="Arial"/>
          <w:sz w:val="18"/>
          <w:szCs w:val="18"/>
          <w:color w:val="auto"/>
        </w:rPr>
        <w:t>) day following the date of this Agreement.</w:t>
      </w:r>
    </w:p>
    <w:p>
      <w:pPr>
        <w:spacing w:after="0" w:line="133"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Encumbrances</w:t>
      </w:r>
      <w:r>
        <w:rPr>
          <w:rFonts w:ascii="Arial" w:cs="Arial" w:eastAsia="Arial" w:hAnsi="Arial"/>
          <w:sz w:val="17"/>
          <w:szCs w:val="17"/>
          <w:color w:val="auto"/>
        </w:rPr>
        <w:t>” means: (a) any Encumbrance for current taxes not yet due and payable or for taxes that are being contested in good faith and, in each case, for which adequate reserves have been made on the Unaudited Interim Balance Sheet in accordance with GAAP; (b) minor liens that have arisen in the ordinary course of business and that do not (individually or in the aggregate) materially detract from the value of the assets or properties subject thereto or materially impair the operations of the Company or any of its Subsidiaries;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rights granted by the Company or any of its Subsidiaries in the ordinary course of business and that do not (individually or in the aggregate) materially detract from the value of the Intellectual Property rights subject thereto; and (f) statutory liens in favor of carriers, warehousemen, mechanics and materialmen, to secure claims for labor, materials or supplies.</w:t>
      </w:r>
    </w:p>
    <w:p>
      <w:pPr>
        <w:spacing w:after="0" w:line="18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Placement Agents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Press Release</w:t>
      </w:r>
      <w:r>
        <w:rPr>
          <w:rFonts w:ascii="Arial" w:cs="Arial" w:eastAsia="Arial" w:hAnsi="Arial"/>
          <w:sz w:val="18"/>
          <w:szCs w:val="18"/>
          <w:color w:val="auto"/>
        </w:rPr>
        <w:t>” has the meaning set forth in Section 4.4.</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Trading Market</w:t>
      </w:r>
      <w:r>
        <w:rPr>
          <w:rFonts w:ascii="Arial" w:cs="Arial" w:eastAsia="Arial" w:hAnsi="Arial"/>
          <w:sz w:val="18"/>
          <w:szCs w:val="18"/>
          <w:color w:val="auto"/>
        </w:rPr>
        <w:t>” means the Trading Market on which the Common Stock is primarily listed on and quoted for trading, which, as of the date of this Agreement and the Closing Date, shall be the Nasdaq Global Market.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Purchasers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Purchaser Deliverables</w:t>
      </w:r>
      <w:r>
        <w:rPr>
          <w:rFonts w:ascii="Arial" w:cs="Arial" w:eastAsia="Arial" w:hAnsi="Arial"/>
          <w:sz w:val="18"/>
          <w:szCs w:val="18"/>
          <w:color w:val="auto"/>
        </w:rPr>
        <w:t>” has the meaning set forth in Section 2.2(b).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by the Purchasers of the Registrable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Reports</w:t>
      </w:r>
      <w:r>
        <w:rPr>
          <w:rFonts w:ascii="Arial" w:cs="Arial" w:eastAsia="Arial" w:hAnsi="Arial"/>
          <w:sz w:val="18"/>
          <w:szCs w:val="18"/>
          <w:color w:val="auto"/>
        </w:rPr>
        <w:t>” has the meaning set forth in Section 3.1(h).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86" w:name="page387"/>
    <w:bookmarkEnd w:id="3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Secretary’s Certificate</w:t>
      </w:r>
      <w:r>
        <w:rPr>
          <w:rFonts w:ascii="Arial" w:cs="Arial" w:eastAsia="Arial" w:hAnsi="Arial"/>
          <w:sz w:val="18"/>
          <w:szCs w:val="18"/>
          <w:color w:val="auto"/>
        </w:rPr>
        <w:t>” has the meaning set forth in 2.3(a)(vi).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has the meaning set forth in the Recitals, and also includes any other class of securities into which the Series A Preferred Stock may hereafter be reclassified or changed into.</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Short Sales</w:t>
      </w:r>
      <w:r>
        <w:rPr>
          <w:rFonts w:ascii="Arial" w:cs="Arial" w:eastAsia="Arial" w:hAnsi="Arial"/>
          <w:sz w:val="18"/>
          <w:szCs w:val="18"/>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w:t>
      </w:r>
    </w:p>
    <w:p>
      <w:pPr>
        <w:spacing w:after="0" w:line="188" w:lineRule="exact"/>
        <w:rPr>
          <w:sz w:val="20"/>
          <w:szCs w:val="20"/>
          <w:color w:val="auto"/>
        </w:rPr>
      </w:pPr>
    </w:p>
    <w:p>
      <w:pPr>
        <w:jc w:val="both"/>
        <w:ind w:right="5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Subscription Amount</w:t>
      </w:r>
      <w:r>
        <w:rPr>
          <w:rFonts w:ascii="Arial" w:cs="Arial" w:eastAsia="Arial" w:hAnsi="Arial"/>
          <w:sz w:val="17"/>
          <w:szCs w:val="17"/>
          <w:color w:val="auto"/>
        </w:rPr>
        <w:t>” means, with respect to each Purchaser, the aggregate amount to be paid for the Securities purchased hereunder as indicated on Annex A opposite such Purchaser’s name, in United States dollars and in immediately available funds, which amount represents the number of Securities being purchased by such Purchaser multiplied by the per Security price of $291.08.</w:t>
      </w:r>
    </w:p>
    <w:p>
      <w:pPr>
        <w:spacing w:after="0" w:line="16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subsidiary of the Company and shall include any subsidiary of the Company formed or acquired on or after the date hereof, including Spyre.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Support Agreement</w:t>
      </w:r>
      <w:r>
        <w:rPr>
          <w:rFonts w:ascii="Arial" w:cs="Arial" w:eastAsia="Arial" w:hAnsi="Arial"/>
          <w:sz w:val="18"/>
          <w:szCs w:val="18"/>
          <w:color w:val="auto"/>
        </w:rPr>
        <w:t>” means each Parent Stockholder Support Agreement (as defined in the Merger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the principal Trading Market is open for business.</w:t>
      </w:r>
    </w:p>
    <w:p>
      <w:pPr>
        <w:spacing w:after="0" w:line="22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Documents</w:t>
      </w:r>
      <w:r>
        <w:rPr>
          <w:rFonts w:ascii="Arial" w:cs="Arial" w:eastAsia="Arial" w:hAnsi="Arial"/>
          <w:sz w:val="16"/>
          <w:szCs w:val="16"/>
          <w:color w:val="auto"/>
        </w:rPr>
        <w:t>” means this Agreement, the schedules and exhibits attached hereto, the Registration Rights Agreement, the Certificate of Designation, the Irrevocable Transfer Agent Instructions and any other documents or agreements explicitly contemplated hereunder.</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means American Stock Transfer &amp; Trust Company, LLC, the current transfer agent of the Company, or any successor transfer agent for the Company.</w:t>
      </w:r>
    </w:p>
    <w:p>
      <w:pPr>
        <w:spacing w:after="0" w:line="170"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Unaudited Interim Balance Sheet</w:t>
      </w:r>
      <w:r>
        <w:rPr>
          <w:rFonts w:ascii="Arial" w:cs="Arial" w:eastAsia="Arial" w:hAnsi="Arial"/>
          <w:sz w:val="17"/>
          <w:szCs w:val="17"/>
          <w:color w:val="auto"/>
        </w:rPr>
        <w:t>” means the unaudited condensed consolidated balance sheets of the Company and its Subsidiaries as of March 31, 2023 included in the Company’s Quarterly Report on Form 10-Q filed with the Commission on May 11, 2023.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b w:val="1"/>
          <w:bCs w:val="1"/>
          <w:color w:val="auto"/>
        </w:rPr>
        <w:t>2.1 Purchase and Sale</w:t>
      </w:r>
      <w:r>
        <w:rPr>
          <w:rFonts w:ascii="Arial" w:cs="Arial" w:eastAsia="Arial" w:hAnsi="Arial"/>
          <w:sz w:val="17"/>
          <w:szCs w:val="17"/>
          <w:color w:val="auto"/>
        </w:rPr>
        <w:t>. On the Closing Date, upon the terms and subject to the conditions set forth herein, the Company will issue and sell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Purchasers, and the Purchasers will purchase, severally and not jointly, the number of Securities set forth opposite the names of each such Purchaser under the heading “</w:t>
      </w:r>
      <w:r>
        <w:rPr>
          <w:rFonts w:ascii="Arial" w:cs="Arial" w:eastAsia="Arial" w:hAnsi="Arial"/>
          <w:sz w:val="17"/>
          <w:szCs w:val="17"/>
          <w:b w:val="1"/>
          <w:bCs w:val="1"/>
          <w:i w:val="1"/>
          <w:iCs w:val="1"/>
          <w:color w:val="auto"/>
        </w:rPr>
        <w:t>Number of Securities Purchased</w:t>
      </w:r>
      <w:r>
        <w:rPr>
          <w:rFonts w:ascii="Arial" w:cs="Arial" w:eastAsia="Arial" w:hAnsi="Arial"/>
          <w:sz w:val="17"/>
          <w:szCs w:val="17"/>
          <w:color w:val="auto"/>
        </w:rPr>
        <w:t>” for the Subscription Amount set forth on Annex A attached hereto.</w:t>
      </w:r>
    </w:p>
    <w:p>
      <w:pPr>
        <w:spacing w:after="0" w:line="26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Closing</w:t>
      </w:r>
      <w:r>
        <w:rPr>
          <w:rFonts w:ascii="Arial" w:cs="Arial" w:eastAsia="Arial" w:hAnsi="Arial"/>
          <w:sz w:val="15"/>
          <w:szCs w:val="15"/>
          <w:color w:val="auto"/>
        </w:rPr>
        <w:t>.</w:t>
      </w:r>
    </w:p>
    <w:p>
      <w:pPr>
        <w:spacing w:after="0" w:line="117" w:lineRule="exact"/>
        <w:rPr>
          <w:sz w:val="20"/>
          <w:szCs w:val="20"/>
          <w:color w:val="auto"/>
        </w:rPr>
      </w:pPr>
    </w:p>
    <w:p>
      <w:pPr>
        <w:ind w:right="180" w:firstLine="987"/>
        <w:spacing w:after="0" w:line="230" w:lineRule="auto"/>
        <w:tabs>
          <w:tab w:leader="none" w:pos="1381"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r>
        <w:rPr>
          <w:rFonts w:ascii="Arial" w:cs="Arial" w:eastAsia="Arial" w:hAnsi="Arial"/>
          <w:sz w:val="18"/>
          <w:szCs w:val="18"/>
          <w:color w:val="auto"/>
        </w:rPr>
        <w:t>. Upon the satisfaction or waiver of the conditions set forth in Section 2.1, Section 2.2 and Article 5, the closing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and sale of the Securities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take place remotely via exchange of executed documents and funds on the second (2</w:t>
      </w:r>
      <w:r>
        <w:rPr>
          <w:rFonts w:ascii="Arial" w:cs="Arial" w:eastAsia="Arial" w:hAnsi="Arial"/>
          <w:sz w:val="26"/>
          <w:szCs w:val="26"/>
          <w:color w:val="auto"/>
          <w:vertAlign w:val="superscript"/>
        </w:rPr>
        <w:t>nd</w:t>
      </w:r>
      <w:r>
        <w:rPr>
          <w:rFonts w:ascii="Arial" w:cs="Arial" w:eastAsia="Arial" w:hAnsi="Arial"/>
          <w:sz w:val="18"/>
          <w:szCs w:val="18"/>
          <w:color w:val="auto"/>
        </w:rPr>
        <w:t>) Business Day after the date hereof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or at such other time and place as mutually agreed by the Company and Purchasers, but in no event later than the 15th (fifteenth) Business Day following the date of this Agreement.</w:t>
      </w:r>
    </w:p>
    <w:p>
      <w:pPr>
        <w:spacing w:after="0" w:line="198" w:lineRule="exact"/>
        <w:rPr>
          <w:rFonts w:ascii="Arial" w:cs="Arial" w:eastAsia="Arial" w:hAnsi="Arial"/>
          <w:sz w:val="18"/>
          <w:szCs w:val="18"/>
          <w:b w:val="1"/>
          <w:bCs w:val="1"/>
          <w:color w:val="auto"/>
        </w:rPr>
      </w:pPr>
    </w:p>
    <w:p>
      <w:pPr>
        <w:ind w:firstLine="987"/>
        <w:spacing w:after="0" w:line="285" w:lineRule="auto"/>
        <w:tabs>
          <w:tab w:leader="none" w:pos="1391" w:val="left"/>
        </w:tabs>
        <w:numPr>
          <w:ilvl w:val="0"/>
          <w:numId w:val="268"/>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On or prior to the Closing Date, each Purchaser shall deliver to the Company the Subscription Amount via wire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available funds to an account designated in writing by the Company or by other means approved by the Company on or prior to the Closing Date. At the Closing, the Company shall deliver to such Purchaser against payment a book-entry statement (or, if requested by the Purchaser, a certificate) from the Transfer Agent evidencing the number of Securities set forth opposite such Purchaser’s name on Annex A, registered in the name of such Purchaser (or its nominee in accordance with its delivery instructions), free and clear of any liens or restrictions (other than those arising under state and federal securities laws and bearing the legend set forth in Section 4.1(b), provided that the original of any certificate shall be delivered to such Purchaser as promptly as practicable after the Closing Date but in no event more than three (3) Business Days after the Closing Date); provided that, notwithstanding anything in this Agreement to the contrary and as may be agreed to among the Company and one or more Purchasers, a Purchaser shall not be required to wire its Subscription Amount as set forth on Annex A until it confirms receipt of a book-entry statement from the Company’s transfer agent evidencing the issuance of the Securities to such Purchaser on and as of the Closing Date. If a Purchaser has delivered the Subscription Amount prior to the Closing Date, and the Closing does not occur for any reason on or prior to the fifth (5th) Business Day following the expected Closing Date, the Company shall promptly (but not later than one (1) Business Day thereafter) return the Subscription Amount to such Purchasers by wire transfer of United States dollars in immediately available funds to the account specified by such Purchaser, and any book entries for the Securities shall be deemed cancelled; provided that, unless this Agreement has been terminated pursuant to Section 6.18, such return of funds shall not terminate this Agreement or relieve the Purchasers of their respective obligations to purchase the Securities at the Closing. Notwithstanding anything in this Agreement to the contrary and as may be agreed to among the Company and one or more Purchasers, a Purchaser that is a mutual fund and subject to regulations related to the timing of funding and the issuance of securities thereunder or a Purchaser that has internal policies and/or procedures relating to the timing of funding and issuance of securities thereafter shall not be required to wire its respective portion of the Subscription Amount as set forth on Annex A until it confirms receipt of a book-entry statement from the Company’s transfer agent evidencing the issuance of the Securities to such Purchaser on and as of the Closing Date.</w:t>
      </w:r>
    </w:p>
    <w:p>
      <w:pPr>
        <w:spacing w:after="0" w:line="200" w:lineRule="exact"/>
        <w:rPr>
          <w:sz w:val="20"/>
          <w:szCs w:val="20"/>
          <w:color w:val="auto"/>
        </w:rPr>
      </w:pPr>
    </w:p>
    <w:p>
      <w:pPr>
        <w:spacing w:after="0" w:line="29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Closing Deliverables</w:t>
      </w:r>
      <w:r>
        <w:rPr>
          <w:rFonts w:ascii="Arial" w:cs="Arial" w:eastAsia="Arial" w:hAnsi="Arial"/>
          <w:sz w:val="16"/>
          <w:szCs w:val="16"/>
          <w:color w:val="auto"/>
        </w:rPr>
        <w:t>.</w:t>
      </w:r>
    </w:p>
    <w:p>
      <w:pPr>
        <w:spacing w:after="0" w:line="121" w:lineRule="exact"/>
        <w:rPr>
          <w:sz w:val="20"/>
          <w:szCs w:val="20"/>
          <w:color w:val="auto"/>
        </w:rPr>
      </w:pPr>
    </w:p>
    <w:p>
      <w:pPr>
        <w:ind w:left="1380" w:hanging="393"/>
        <w:spacing w:after="0"/>
        <w:tabs>
          <w:tab w:leader="none" w:pos="1380" w:val="left"/>
        </w:tabs>
        <w:numPr>
          <w:ilvl w:val="0"/>
          <w:numId w:val="269"/>
        </w:numPr>
        <w:rPr>
          <w:rFonts w:ascii="Arial" w:cs="Arial" w:eastAsia="Arial" w:hAnsi="Arial"/>
          <w:sz w:val="16"/>
          <w:szCs w:val="16"/>
          <w:b w:val="1"/>
          <w:bCs w:val="1"/>
          <w:color w:val="auto"/>
        </w:rPr>
      </w:pPr>
      <w:r>
        <w:rPr>
          <w:rFonts w:ascii="Arial" w:cs="Arial" w:eastAsia="Arial" w:hAnsi="Arial"/>
          <w:sz w:val="16"/>
          <w:szCs w:val="16"/>
          <w:color w:val="auto"/>
        </w:rPr>
        <w:t>On or prior to the Closing, the Company shall issue, deliver or cause to be delivered to each Purchaser the following (the “</w:t>
      </w:r>
      <w:r>
        <w:rPr>
          <w:rFonts w:ascii="Arial" w:cs="Arial" w:eastAsia="Arial" w:hAnsi="Arial"/>
          <w:sz w:val="16"/>
          <w:szCs w:val="16"/>
          <w:b w:val="1"/>
          <w:bCs w:val="1"/>
          <w:i w:val="1"/>
          <w:iCs w:val="1"/>
          <w:color w:val="auto"/>
        </w:rPr>
        <w:t>Company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Deliverables</w:t>
      </w:r>
      <w:r>
        <w:rPr>
          <w:rFonts w:ascii="Arial" w:cs="Arial" w:eastAsia="Arial" w:hAnsi="Arial"/>
          <w:sz w:val="18"/>
          <w:szCs w:val="18"/>
          <w:color w:val="auto"/>
        </w:rPr>
        <w:t>”):</w:t>
      </w:r>
    </w:p>
    <w:p>
      <w:pPr>
        <w:spacing w:after="0" w:line="210" w:lineRule="exact"/>
        <w:rPr>
          <w:rFonts w:ascii="Arial" w:cs="Arial" w:eastAsia="Arial" w:hAnsi="Arial"/>
          <w:sz w:val="16"/>
          <w:szCs w:val="16"/>
          <w:b w:val="1"/>
          <w:bCs w:val="1"/>
          <w:color w:val="auto"/>
        </w:rPr>
      </w:pPr>
    </w:p>
    <w:p>
      <w:pPr>
        <w:ind w:right="140" w:firstLine="1428"/>
        <w:spacing w:after="0" w:line="286" w:lineRule="auto"/>
        <w:tabs>
          <w:tab w:leader="none" w:pos="1782" w:val="left"/>
        </w:tabs>
        <w:numPr>
          <w:ilvl w:val="1"/>
          <w:numId w:val="269"/>
        </w:numPr>
        <w:rPr>
          <w:rFonts w:ascii="Arial" w:cs="Arial" w:eastAsia="Arial" w:hAnsi="Arial"/>
          <w:sz w:val="17"/>
          <w:szCs w:val="17"/>
          <w:b w:val="1"/>
          <w:bCs w:val="1"/>
          <w:color w:val="auto"/>
        </w:rPr>
      </w:pPr>
      <w:r>
        <w:rPr>
          <w:rFonts w:ascii="Arial" w:cs="Arial" w:eastAsia="Arial" w:hAnsi="Arial"/>
          <w:sz w:val="17"/>
          <w:szCs w:val="17"/>
          <w:color w:val="auto"/>
        </w:rPr>
        <w:t xml:space="preserve">evidence of the issuance of the Securities in the names of the Purchasers by book-entry statement from the Transfer Agent (or, if the Purchaser requests that the Securities are to be represented in certificated form, a certificate representing the Securities in the name of such Purchaser as set forth on the Stock Certificate Questionnaire included as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Stock Certificate</w:t>
      </w:r>
      <w:r>
        <w:rPr>
          <w:rFonts w:ascii="Arial" w:cs="Arial" w:eastAsia="Arial" w:hAnsi="Arial"/>
          <w:sz w:val="17"/>
          <w:szCs w:val="17"/>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88" w:name="page389"/>
    <w:bookmarkEnd w:id="388"/>
    <w:p>
      <w:pPr>
        <w:ind w:left="4" w:right="300" w:firstLine="1428"/>
        <w:spacing w:after="0" w:line="277" w:lineRule="auto"/>
        <w:tabs>
          <w:tab w:leader="none" w:pos="1836" w:val="left"/>
        </w:tabs>
        <w:numPr>
          <w:ilvl w:val="2"/>
          <w:numId w:val="27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legal opinion of Company Counsel, dated as of the Closing Date and in form and substance reasonably satisfactory to the Purchasers, executed by such counsel and addressed to the Purchasers and the Placement Agents;</w:t>
      </w:r>
    </w:p>
    <w:p>
      <w:pPr>
        <w:spacing w:after="0" w:line="170" w:lineRule="exact"/>
        <w:rPr>
          <w:rFonts w:ascii="Arial" w:cs="Arial" w:eastAsia="Arial" w:hAnsi="Arial"/>
          <w:sz w:val="18"/>
          <w:szCs w:val="18"/>
          <w:b w:val="1"/>
          <w:bCs w:val="1"/>
          <w:color w:val="auto"/>
        </w:rPr>
      </w:pPr>
    </w:p>
    <w:p>
      <w:pPr>
        <w:ind w:left="1884" w:hanging="452"/>
        <w:spacing w:after="0"/>
        <w:tabs>
          <w:tab w:leader="none" w:pos="1884" w:val="left"/>
        </w:tabs>
        <w:numPr>
          <w:ilvl w:val="2"/>
          <w:numId w:val="270"/>
        </w:numPr>
        <w:rPr>
          <w:rFonts w:ascii="Arial" w:cs="Arial" w:eastAsia="Arial" w:hAnsi="Arial"/>
          <w:sz w:val="18"/>
          <w:szCs w:val="18"/>
          <w:b w:val="1"/>
          <w:bCs w:val="1"/>
          <w:color w:val="auto"/>
        </w:rPr>
      </w:pPr>
      <w:r>
        <w:rPr>
          <w:rFonts w:ascii="Arial" w:cs="Arial" w:eastAsia="Arial" w:hAnsi="Arial"/>
          <w:sz w:val="18"/>
          <w:szCs w:val="18"/>
          <w:color w:val="auto"/>
        </w:rPr>
        <w:t>the Registration Rights Agreement, duly executed by the Company;</w:t>
      </w:r>
    </w:p>
    <w:p>
      <w:pPr>
        <w:spacing w:after="0" w:line="225" w:lineRule="exact"/>
        <w:rPr>
          <w:rFonts w:ascii="Arial" w:cs="Arial" w:eastAsia="Arial" w:hAnsi="Arial"/>
          <w:sz w:val="18"/>
          <w:szCs w:val="18"/>
          <w:b w:val="1"/>
          <w:bCs w:val="1"/>
          <w:color w:val="auto"/>
        </w:rPr>
      </w:pPr>
    </w:p>
    <w:p>
      <w:pPr>
        <w:ind w:left="4" w:firstLine="1428"/>
        <w:spacing w:after="0" w:line="311" w:lineRule="auto"/>
        <w:tabs>
          <w:tab w:leader="none" w:pos="1876" w:val="left"/>
        </w:tabs>
        <w:numPr>
          <w:ilvl w:val="2"/>
          <w:numId w:val="270"/>
        </w:numPr>
        <w:rPr>
          <w:rFonts w:ascii="Arial" w:cs="Arial" w:eastAsia="Arial" w:hAnsi="Arial"/>
          <w:sz w:val="16"/>
          <w:szCs w:val="16"/>
          <w:b w:val="1"/>
          <w:bCs w:val="1"/>
          <w:color w:val="auto"/>
        </w:rPr>
      </w:pPr>
      <w:r>
        <w:rPr>
          <w:rFonts w:ascii="Arial" w:cs="Arial" w:eastAsia="Arial" w:hAnsi="Arial"/>
          <w:sz w:val="16"/>
          <w:szCs w:val="16"/>
          <w:color w:val="auto"/>
        </w:rPr>
        <w:t>duly executed Irrevocable Transfer Agent Instructions acknowledged in writing by the Transfer Agent instructing the Transfer Agent to deliver, on an expedited basis, of the issuance of the number of Securities set forth opposite the name of such Purchaser under the heading “</w:t>
      </w:r>
      <w:r>
        <w:rPr>
          <w:rFonts w:ascii="Arial" w:cs="Arial" w:eastAsia="Arial" w:hAnsi="Arial"/>
          <w:sz w:val="16"/>
          <w:szCs w:val="16"/>
          <w:b w:val="1"/>
          <w:bCs w:val="1"/>
          <w:i w:val="1"/>
          <w:iCs w:val="1"/>
          <w:color w:val="auto"/>
        </w:rPr>
        <w:t>Number of Securities Purchased</w:t>
      </w:r>
      <w:r>
        <w:rPr>
          <w:rFonts w:ascii="Arial" w:cs="Arial" w:eastAsia="Arial" w:hAnsi="Arial"/>
          <w:sz w:val="16"/>
          <w:szCs w:val="16"/>
          <w:color w:val="auto"/>
        </w:rPr>
        <w:t>” on Annex A attached hereto, registered in the name of such Purchaser (or its nominee, as directed by the Purchaser);</w:t>
      </w:r>
    </w:p>
    <w:p>
      <w:pPr>
        <w:spacing w:after="0" w:line="148" w:lineRule="exact"/>
        <w:rPr>
          <w:rFonts w:ascii="Arial" w:cs="Arial" w:eastAsia="Arial" w:hAnsi="Arial"/>
          <w:sz w:val="16"/>
          <w:szCs w:val="16"/>
          <w:b w:val="1"/>
          <w:bCs w:val="1"/>
          <w:color w:val="auto"/>
        </w:rPr>
      </w:pPr>
    </w:p>
    <w:p>
      <w:pPr>
        <w:ind w:left="4" w:right="140" w:firstLine="1428"/>
        <w:spacing w:after="0" w:line="263" w:lineRule="auto"/>
        <w:tabs>
          <w:tab w:leader="none" w:pos="1826" w:val="left"/>
        </w:tabs>
        <w:numPr>
          <w:ilvl w:val="2"/>
          <w:numId w:val="270"/>
        </w:numPr>
        <w:rPr>
          <w:rFonts w:ascii="Arial" w:cs="Arial" w:eastAsia="Arial" w:hAnsi="Arial"/>
          <w:sz w:val="18"/>
          <w:szCs w:val="18"/>
          <w:b w:val="1"/>
          <w:bCs w:val="1"/>
          <w:color w:val="auto"/>
        </w:rPr>
      </w:pPr>
      <w:r>
        <w:rPr>
          <w:rFonts w:ascii="Arial" w:cs="Arial" w:eastAsia="Arial" w:hAnsi="Arial"/>
          <w:sz w:val="18"/>
          <w:szCs w:val="18"/>
          <w:color w:val="auto"/>
        </w:rPr>
        <w:t>the Company shall have filed with Nasdaq a Notification Form: Listing of Additional Shares for the listing of the Conversion Shares and shall have received confirmation from Nasdaq that it has completed its review of such form with no objections to the transactions contemplated in the Transaction Documents or the Merger Agreement;</w:t>
      </w:r>
    </w:p>
    <w:p>
      <w:pPr>
        <w:spacing w:after="0" w:line="183" w:lineRule="exact"/>
        <w:rPr>
          <w:rFonts w:ascii="Arial" w:cs="Arial" w:eastAsia="Arial" w:hAnsi="Arial"/>
          <w:sz w:val="18"/>
          <w:szCs w:val="18"/>
          <w:b w:val="1"/>
          <w:bCs w:val="1"/>
          <w:color w:val="auto"/>
        </w:rPr>
      </w:pPr>
    </w:p>
    <w:p>
      <w:pPr>
        <w:ind w:left="4" w:right="160" w:firstLine="1428"/>
        <w:spacing w:after="0" w:line="296" w:lineRule="auto"/>
        <w:tabs>
          <w:tab w:leader="none" w:pos="1876" w:val="left"/>
        </w:tabs>
        <w:numPr>
          <w:ilvl w:val="2"/>
          <w:numId w:val="270"/>
        </w:numPr>
        <w:rPr>
          <w:rFonts w:ascii="Arial" w:cs="Arial" w:eastAsia="Arial" w:hAnsi="Arial"/>
          <w:sz w:val="16"/>
          <w:szCs w:val="16"/>
          <w:b w:val="1"/>
          <w:bCs w:val="1"/>
          <w:color w:val="auto"/>
        </w:rPr>
      </w:pPr>
      <w:r>
        <w:rPr>
          <w:rFonts w:ascii="Arial" w:cs="Arial" w:eastAsia="Arial" w:hAnsi="Arial"/>
          <w:sz w:val="16"/>
          <w:szCs w:val="16"/>
          <w:color w:val="auto"/>
        </w:rPr>
        <w:t>a certificate of the Secretary of the Company (the “</w:t>
      </w:r>
      <w:r>
        <w:rPr>
          <w:rFonts w:ascii="Arial" w:cs="Arial" w:eastAsia="Arial" w:hAnsi="Arial"/>
          <w:sz w:val="16"/>
          <w:szCs w:val="16"/>
          <w:b w:val="1"/>
          <w:bCs w:val="1"/>
          <w:i w:val="1"/>
          <w:iCs w:val="1"/>
          <w:color w:val="auto"/>
        </w:rPr>
        <w:t>Secretary’s Certificate</w:t>
      </w:r>
      <w:r>
        <w:rPr>
          <w:rFonts w:ascii="Arial" w:cs="Arial" w:eastAsia="Arial" w:hAnsi="Arial"/>
          <w:sz w:val="16"/>
          <w:szCs w:val="16"/>
          <w:color w:val="auto"/>
        </w:rPr>
        <w:t xml:space="preserve">”), dated as of the Closing Date, (A) certifying the resolutions adopted by the Board of Directors or a duly authorized committee thereof approving the transactions contemplated by this Agreement, the other Transaction Documents and the Merger Agreement and the issuance of the Securities and the Conversion Shares, (B) certifying the current versions of the certificate of incorporation, as amended, and bylaws of the Company and (C) certifying as to the signatures and authority of persons signing the Transaction Documents and related documents on behalf of the Company, in substantially the form attached hereto as </w:t>
      </w:r>
      <w:r>
        <w:rPr>
          <w:rFonts w:ascii="Arial" w:cs="Arial" w:eastAsia="Arial" w:hAnsi="Arial"/>
          <w:sz w:val="16"/>
          <w:szCs w:val="16"/>
          <w:b w:val="1"/>
          <w:bCs w:val="1"/>
          <w:color w:val="auto"/>
        </w:rPr>
        <w:t>Exhibit E</w:t>
      </w:r>
      <w:r>
        <w:rPr>
          <w:rFonts w:ascii="Arial" w:cs="Arial" w:eastAsia="Arial" w:hAnsi="Arial"/>
          <w:sz w:val="16"/>
          <w:szCs w:val="16"/>
          <w:color w:val="auto"/>
        </w:rPr>
        <w:t>;</w:t>
      </w:r>
    </w:p>
    <w:p>
      <w:pPr>
        <w:spacing w:after="0" w:line="161" w:lineRule="exact"/>
        <w:rPr>
          <w:rFonts w:ascii="Arial" w:cs="Arial" w:eastAsia="Arial" w:hAnsi="Arial"/>
          <w:sz w:val="16"/>
          <w:szCs w:val="16"/>
          <w:b w:val="1"/>
          <w:bCs w:val="1"/>
          <w:color w:val="auto"/>
        </w:rPr>
      </w:pPr>
    </w:p>
    <w:p>
      <w:pPr>
        <w:ind w:left="1924" w:hanging="492"/>
        <w:spacing w:after="0"/>
        <w:tabs>
          <w:tab w:leader="none" w:pos="1924" w:val="left"/>
        </w:tabs>
        <w:numPr>
          <w:ilvl w:val="2"/>
          <w:numId w:val="270"/>
        </w:numPr>
        <w:rPr>
          <w:rFonts w:ascii="Arial" w:cs="Arial" w:eastAsia="Arial" w:hAnsi="Arial"/>
          <w:sz w:val="18"/>
          <w:szCs w:val="18"/>
          <w:b w:val="1"/>
          <w:bCs w:val="1"/>
          <w:color w:val="auto"/>
        </w:rPr>
      </w:pPr>
      <w:r>
        <w:rPr>
          <w:rFonts w:ascii="Arial" w:cs="Arial" w:eastAsia="Arial" w:hAnsi="Arial"/>
          <w:sz w:val="18"/>
          <w:szCs w:val="18"/>
          <w:color w:val="auto"/>
        </w:rPr>
        <w:t>the Compliance Certificate referred to in Section 5.1(h);</w:t>
      </w:r>
    </w:p>
    <w:p>
      <w:pPr>
        <w:spacing w:after="0" w:line="225" w:lineRule="exact"/>
        <w:rPr>
          <w:rFonts w:ascii="Arial" w:cs="Arial" w:eastAsia="Arial" w:hAnsi="Arial"/>
          <w:sz w:val="18"/>
          <w:szCs w:val="18"/>
          <w:b w:val="1"/>
          <w:bCs w:val="1"/>
          <w:color w:val="auto"/>
        </w:rPr>
      </w:pPr>
    </w:p>
    <w:p>
      <w:pPr>
        <w:ind w:left="4" w:right="380" w:firstLine="1428"/>
        <w:spacing w:after="0" w:line="277" w:lineRule="auto"/>
        <w:tabs>
          <w:tab w:leader="none" w:pos="1976" w:val="left"/>
        </w:tabs>
        <w:numPr>
          <w:ilvl w:val="2"/>
          <w:numId w:val="270"/>
        </w:numPr>
        <w:rPr>
          <w:rFonts w:ascii="Arial" w:cs="Arial" w:eastAsia="Arial" w:hAnsi="Arial"/>
          <w:sz w:val="18"/>
          <w:szCs w:val="18"/>
          <w:b w:val="1"/>
          <w:bCs w:val="1"/>
          <w:color w:val="auto"/>
        </w:rPr>
      </w:pPr>
      <w:r>
        <w:rPr>
          <w:rFonts w:ascii="Arial" w:cs="Arial" w:eastAsia="Arial" w:hAnsi="Arial"/>
          <w:sz w:val="18"/>
          <w:szCs w:val="18"/>
          <w:color w:val="auto"/>
        </w:rPr>
        <w:t>a certificate evidencing the formation and good standing of the Company issued by the Secretary of State of the State of Delaware, as of a date within three (3) Business Days of the Closing Date;</w:t>
      </w:r>
    </w:p>
    <w:p>
      <w:pPr>
        <w:spacing w:after="0" w:line="170" w:lineRule="exact"/>
        <w:rPr>
          <w:rFonts w:ascii="Arial" w:cs="Arial" w:eastAsia="Arial" w:hAnsi="Arial"/>
          <w:sz w:val="18"/>
          <w:szCs w:val="18"/>
          <w:b w:val="1"/>
          <w:bCs w:val="1"/>
          <w:color w:val="auto"/>
        </w:rPr>
      </w:pPr>
    </w:p>
    <w:p>
      <w:pPr>
        <w:jc w:val="both"/>
        <w:ind w:left="4" w:right="320" w:firstLine="1428"/>
        <w:spacing w:after="0" w:line="291" w:lineRule="auto"/>
        <w:tabs>
          <w:tab w:leader="none" w:pos="1876" w:val="left"/>
        </w:tabs>
        <w:numPr>
          <w:ilvl w:val="2"/>
          <w:numId w:val="270"/>
        </w:numPr>
        <w:rPr>
          <w:rFonts w:ascii="Arial" w:cs="Arial" w:eastAsia="Arial" w:hAnsi="Arial"/>
          <w:sz w:val="16"/>
          <w:szCs w:val="16"/>
          <w:b w:val="1"/>
          <w:bCs w:val="1"/>
          <w:color w:val="auto"/>
        </w:rPr>
      </w:pPr>
      <w:r>
        <w:rPr>
          <w:rFonts w:ascii="Arial" w:cs="Arial" w:eastAsia="Arial" w:hAnsi="Arial"/>
          <w:sz w:val="16"/>
          <w:szCs w:val="16"/>
          <w:color w:val="auto"/>
        </w:rPr>
        <w:t>a certificate evidencing the Company’s qualification as a foreign corporation and good standing issued by the Secretary of State (or comparable office) of each jurisdiction in which the Company is qualified to do business as a foreign corporation, as of a date within three</w:t>
      </w:r>
    </w:p>
    <w:p>
      <w:pPr>
        <w:ind w:left="264" w:hanging="264"/>
        <w:spacing w:after="0"/>
        <w:tabs>
          <w:tab w:leader="none" w:pos="2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Business Days of the Closing Date; and</w:t>
      </w:r>
    </w:p>
    <w:p>
      <w:pPr>
        <w:spacing w:after="0" w:line="210" w:lineRule="exact"/>
        <w:rPr>
          <w:rFonts w:ascii="Arial" w:cs="Arial" w:eastAsia="Arial" w:hAnsi="Arial"/>
          <w:sz w:val="18"/>
          <w:szCs w:val="18"/>
          <w:color w:val="auto"/>
        </w:rPr>
      </w:pPr>
    </w:p>
    <w:p>
      <w:pPr>
        <w:ind w:left="1824" w:hanging="392"/>
        <w:spacing w:after="0"/>
        <w:tabs>
          <w:tab w:leader="none" w:pos="1824" w:val="left"/>
        </w:tabs>
        <w:numPr>
          <w:ilvl w:val="2"/>
          <w:numId w:val="271"/>
        </w:numPr>
        <w:rPr>
          <w:rFonts w:ascii="Arial" w:cs="Arial" w:eastAsia="Arial" w:hAnsi="Arial"/>
          <w:sz w:val="18"/>
          <w:szCs w:val="18"/>
          <w:b w:val="1"/>
          <w:bCs w:val="1"/>
          <w:color w:val="auto"/>
        </w:rPr>
      </w:pPr>
      <w:r>
        <w:rPr>
          <w:rFonts w:ascii="Arial" w:cs="Arial" w:eastAsia="Arial" w:hAnsi="Arial"/>
          <w:sz w:val="18"/>
          <w:szCs w:val="18"/>
          <w:color w:val="auto"/>
        </w:rPr>
        <w:t>a certified copy of the Certificate of Designation, as filed with the Secretary of State of the State of Delaware.</w:t>
      </w:r>
    </w:p>
    <w:p>
      <w:pPr>
        <w:spacing w:after="0" w:line="225" w:lineRule="exact"/>
        <w:rPr>
          <w:rFonts w:ascii="Arial" w:cs="Arial" w:eastAsia="Arial" w:hAnsi="Arial"/>
          <w:sz w:val="18"/>
          <w:szCs w:val="18"/>
          <w:b w:val="1"/>
          <w:bCs w:val="1"/>
          <w:color w:val="auto"/>
        </w:rPr>
      </w:pPr>
    </w:p>
    <w:p>
      <w:pPr>
        <w:ind w:left="1384" w:hanging="393"/>
        <w:spacing w:after="0"/>
        <w:tabs>
          <w:tab w:leader="none" w:pos="1384" w:val="left"/>
        </w:tabs>
        <w:numPr>
          <w:ilvl w:val="1"/>
          <w:numId w:val="271"/>
        </w:numPr>
        <w:rPr>
          <w:rFonts w:ascii="Arial" w:cs="Arial" w:eastAsia="Arial" w:hAnsi="Arial"/>
          <w:sz w:val="17"/>
          <w:szCs w:val="17"/>
          <w:b w:val="1"/>
          <w:bCs w:val="1"/>
          <w:color w:val="auto"/>
        </w:rPr>
      </w:pPr>
      <w:r>
        <w:rPr>
          <w:rFonts w:ascii="Arial" w:cs="Arial" w:eastAsia="Arial" w:hAnsi="Arial"/>
          <w:sz w:val="17"/>
          <w:szCs w:val="17"/>
          <w:color w:val="auto"/>
        </w:rPr>
        <w:t>On or prior to the Closing, each Purchaser shall deliver or cause to be delivered to the Company the following (the “</w:t>
      </w:r>
      <w:r>
        <w:rPr>
          <w:rFonts w:ascii="Arial" w:cs="Arial" w:eastAsia="Arial" w:hAnsi="Arial"/>
          <w:sz w:val="17"/>
          <w:szCs w:val="17"/>
          <w:b w:val="1"/>
          <w:bCs w:val="1"/>
          <w:i w:val="1"/>
          <w:iCs w:val="1"/>
          <w:color w:val="auto"/>
        </w:rPr>
        <w:t>Purchaser</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Deliverables</w:t>
      </w:r>
      <w:r>
        <w:rPr>
          <w:rFonts w:ascii="Arial" w:cs="Arial" w:eastAsia="Arial" w:hAnsi="Arial"/>
          <w:sz w:val="18"/>
          <w:szCs w:val="18"/>
          <w:color w:val="auto"/>
        </w:rPr>
        <w:t>”):</w:t>
      </w:r>
    </w:p>
    <w:p>
      <w:pPr>
        <w:spacing w:after="0" w:line="210" w:lineRule="exact"/>
        <w:rPr>
          <w:rFonts w:ascii="Arial" w:cs="Arial" w:eastAsia="Arial" w:hAnsi="Arial"/>
          <w:sz w:val="17"/>
          <w:szCs w:val="17"/>
          <w:b w:val="1"/>
          <w:bCs w:val="1"/>
          <w:color w:val="auto"/>
        </w:rPr>
      </w:pPr>
    </w:p>
    <w:p>
      <w:pPr>
        <w:ind w:left="1784" w:hanging="352"/>
        <w:spacing w:after="0"/>
        <w:tabs>
          <w:tab w:leader="none" w:pos="1784" w:val="left"/>
        </w:tabs>
        <w:numPr>
          <w:ilvl w:val="2"/>
          <w:numId w:val="272"/>
        </w:numPr>
        <w:rPr>
          <w:rFonts w:ascii="Arial" w:cs="Arial" w:eastAsia="Arial" w:hAnsi="Arial"/>
          <w:sz w:val="18"/>
          <w:szCs w:val="18"/>
          <w:b w:val="1"/>
          <w:bCs w:val="1"/>
          <w:color w:val="auto"/>
        </w:rPr>
      </w:pPr>
      <w:r>
        <w:rPr>
          <w:rFonts w:ascii="Arial" w:cs="Arial" w:eastAsia="Arial" w:hAnsi="Arial"/>
          <w:sz w:val="18"/>
          <w:szCs w:val="18"/>
          <w:color w:val="auto"/>
        </w:rPr>
        <w:t>this Agreement, duly executed by such Purchaser;</w:t>
      </w:r>
    </w:p>
    <w:p>
      <w:pPr>
        <w:spacing w:after="0" w:line="225" w:lineRule="exact"/>
        <w:rPr>
          <w:rFonts w:ascii="Arial" w:cs="Arial" w:eastAsia="Arial" w:hAnsi="Arial"/>
          <w:sz w:val="18"/>
          <w:szCs w:val="18"/>
          <w:b w:val="1"/>
          <w:bCs w:val="1"/>
          <w:color w:val="auto"/>
        </w:rPr>
      </w:pPr>
    </w:p>
    <w:p>
      <w:pPr>
        <w:ind w:left="4" w:firstLine="1428"/>
        <w:spacing w:after="0" w:line="342" w:lineRule="auto"/>
        <w:tabs>
          <w:tab w:leader="none" w:pos="1836" w:val="left"/>
        </w:tabs>
        <w:numPr>
          <w:ilvl w:val="2"/>
          <w:numId w:val="272"/>
        </w:numPr>
        <w:rPr>
          <w:rFonts w:ascii="Arial" w:cs="Arial" w:eastAsia="Arial" w:hAnsi="Arial"/>
          <w:sz w:val="16"/>
          <w:szCs w:val="16"/>
          <w:b w:val="1"/>
          <w:bCs w:val="1"/>
          <w:color w:val="auto"/>
        </w:rPr>
      </w:pPr>
      <w:r>
        <w:rPr>
          <w:rFonts w:ascii="Arial" w:cs="Arial" w:eastAsia="Arial" w:hAnsi="Arial"/>
          <w:sz w:val="16"/>
          <w:szCs w:val="16"/>
          <w:color w:val="auto"/>
        </w:rPr>
        <w:t>its Subscription Amount, in United States dollars and in immediately available funds, in the amount set forth in the “</w:t>
      </w:r>
      <w:r>
        <w:rPr>
          <w:rFonts w:ascii="Arial" w:cs="Arial" w:eastAsia="Arial" w:hAnsi="Arial"/>
          <w:sz w:val="16"/>
          <w:szCs w:val="16"/>
          <w:b w:val="1"/>
          <w:bCs w:val="1"/>
          <w:i w:val="1"/>
          <w:iCs w:val="1"/>
          <w:color w:val="auto"/>
        </w:rPr>
        <w:t>Aggregate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Purchase Price (Subscription Amount)</w:t>
      </w:r>
      <w:r>
        <w:rPr>
          <w:rFonts w:ascii="Arial" w:cs="Arial" w:eastAsia="Arial" w:hAnsi="Arial"/>
          <w:sz w:val="16"/>
          <w:szCs w:val="16"/>
          <w:color w:val="auto"/>
        </w:rPr>
        <w:t>” column opposite each Purchaser’s name in the table set forth on Annex A by wire transfer to the Company;</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389" w:name="page390"/>
    <w:bookmarkEnd w:id="389"/>
    <w:p>
      <w:pPr>
        <w:ind w:left="1880" w:hanging="452"/>
        <w:spacing w:after="0"/>
        <w:tabs>
          <w:tab w:leader="none" w:pos="1880" w:val="left"/>
        </w:tabs>
        <w:numPr>
          <w:ilvl w:val="0"/>
          <w:numId w:val="27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Rights Agreement, duly executed by such Purchaser; and</w:t>
      </w:r>
    </w:p>
    <w:p>
      <w:pPr>
        <w:spacing w:after="0" w:line="221" w:lineRule="exact"/>
        <w:rPr>
          <w:rFonts w:ascii="Arial" w:cs="Arial" w:eastAsia="Arial" w:hAnsi="Arial"/>
          <w:sz w:val="18"/>
          <w:szCs w:val="18"/>
          <w:b w:val="1"/>
          <w:bCs w:val="1"/>
          <w:color w:val="auto"/>
        </w:rPr>
      </w:pPr>
    </w:p>
    <w:p>
      <w:pPr>
        <w:ind w:left="1860" w:hanging="432"/>
        <w:spacing w:after="0"/>
        <w:tabs>
          <w:tab w:leader="none" w:pos="1860" w:val="left"/>
        </w:tabs>
        <w:numPr>
          <w:ilvl w:val="0"/>
          <w:numId w:val="273"/>
        </w:numPr>
        <w:rPr>
          <w:rFonts w:ascii="Arial" w:cs="Arial" w:eastAsia="Arial" w:hAnsi="Arial"/>
          <w:sz w:val="16"/>
          <w:szCs w:val="16"/>
          <w:b w:val="1"/>
          <w:bCs w:val="1"/>
          <w:color w:val="auto"/>
        </w:rPr>
      </w:pPr>
      <w:r>
        <w:rPr>
          <w:rFonts w:ascii="Arial" w:cs="Arial" w:eastAsia="Arial" w:hAnsi="Arial"/>
          <w:sz w:val="16"/>
          <w:szCs w:val="16"/>
          <w:color w:val="auto"/>
        </w:rPr>
        <w:t xml:space="preserve">a fully completed and duly executed Stock Certificate Questionnaire in the form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if applicable.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3.1 Representations and Warranties of the Company</w:t>
      </w:r>
      <w:r>
        <w:rPr>
          <w:rFonts w:ascii="Arial" w:cs="Arial" w:eastAsia="Arial" w:hAnsi="Arial"/>
          <w:sz w:val="18"/>
          <w:szCs w:val="18"/>
          <w:color w:val="auto"/>
        </w:rPr>
        <w:t>. Except as previously disclosed in the SEC Reports, the Company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the following as of the date hereof and the Closing Date (except for the representations and warranties that speak as of a specific date, which shall be made as of such date) to each of the Purchasers and to the Placement Agents:</w:t>
      </w:r>
    </w:p>
    <w:p>
      <w:pPr>
        <w:spacing w:after="0" w:line="176" w:lineRule="exact"/>
        <w:rPr>
          <w:sz w:val="20"/>
          <w:szCs w:val="20"/>
          <w:color w:val="auto"/>
        </w:rPr>
      </w:pPr>
    </w:p>
    <w:p>
      <w:pPr>
        <w:ind w:firstLine="987"/>
        <w:spacing w:after="0" w:line="271" w:lineRule="auto"/>
        <w:tabs>
          <w:tab w:leader="none" w:pos="1381"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Due Organization; Subsidiaries</w:t>
      </w:r>
      <w:r>
        <w:rPr>
          <w:rFonts w:ascii="Arial" w:cs="Arial" w:eastAsia="Arial" w:hAnsi="Arial"/>
          <w:sz w:val="17"/>
          <w:szCs w:val="17"/>
          <w:color w:val="auto"/>
        </w:rPr>
        <w:t>. Each of the Company and its Subsidiaries is a corporation or limited liability company duly</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or formed, validly existing and in good standing under the Laws of the jurisdiction of its incorporation or organization and has all necessary corporate power and authority: (i) to conduct its business in the manner in which its business is currently being conducted and as proposed to be conducted as described in the SEC Reports, (ii) to own or lease and use its property and assets in the manner in which its property and assets are currently owned or leased and used and (iii) to perform its obligations under all Contracts by which it is bound. All of the Subsidiaries are wholly owned by the Company. Each of the Company and the Subsidiaries is licensed and qualified to do business, and is in good standing (to the extent applicable in such jurisdiction), under the Laws of all jurisdictions where the nature of its business or the manner in which its business is currently being conducted requires such licensing or qualification other than in jurisdictions where the failure to be so qualified individually or in the aggregate would not have or reasonably be expected to have a Material Adverse Effect.</w:t>
      </w:r>
    </w:p>
    <w:p>
      <w:pPr>
        <w:spacing w:after="0" w:line="173" w:lineRule="exact"/>
        <w:rPr>
          <w:rFonts w:ascii="Arial" w:cs="Arial" w:eastAsia="Arial" w:hAnsi="Arial"/>
          <w:sz w:val="17"/>
          <w:szCs w:val="17"/>
          <w:b w:val="1"/>
          <w:bCs w:val="1"/>
          <w:color w:val="auto"/>
        </w:rPr>
      </w:pPr>
    </w:p>
    <w:p>
      <w:pPr>
        <w:ind w:firstLine="987"/>
        <w:spacing w:after="0" w:line="270" w:lineRule="auto"/>
        <w:tabs>
          <w:tab w:leader="none" w:pos="1391"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Authorization; Enforcement; Validity</w:t>
      </w:r>
      <w:r>
        <w:rPr>
          <w:rFonts w:ascii="Arial" w:cs="Arial" w:eastAsia="Arial" w:hAnsi="Arial"/>
          <w:sz w:val="17"/>
          <w:szCs w:val="17"/>
          <w:color w:val="auto"/>
        </w:rPr>
        <w:t>. The Company has the requisite corporate power and authority to enter into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to perform its obligations under and consummate the transactions contemplated hereby or thereby. All corporate action on the part of the Company, its directors and stockholders necessary for the authorization, execution, sale, issuance and delivery of the Securities and, subject to the Requisite Stockholder Approval, the Conversion Shares contemplated herein has been taken. Each of the Transaction Documents have been (or upon delivery will have been) duly executed and delivered by the Company and is, or when delivered in accordance with the terms hereof or thereof, will constitute the legal, valid and binding obligation of the Company enforceable against the Company in accordance with its respective terms, except (i)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 (ii) as limited by Laws relating to the availability of specific performance, injunctive relief or other equitable remedies and (iii) insofar as indemnification and contribution provisions may be limited by applicable law.</w:t>
      </w:r>
    </w:p>
    <w:p>
      <w:pPr>
        <w:spacing w:after="0" w:line="176" w:lineRule="exact"/>
        <w:rPr>
          <w:rFonts w:ascii="Arial" w:cs="Arial" w:eastAsia="Arial" w:hAnsi="Arial"/>
          <w:sz w:val="17"/>
          <w:szCs w:val="17"/>
          <w:b w:val="1"/>
          <w:bCs w:val="1"/>
          <w:color w:val="auto"/>
        </w:rPr>
      </w:pPr>
    </w:p>
    <w:p>
      <w:pPr>
        <w:ind w:right="120" w:firstLine="987"/>
        <w:spacing w:after="0" w:line="273" w:lineRule="auto"/>
        <w:tabs>
          <w:tab w:leader="none" w:pos="1371"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No Conflicts</w:t>
      </w:r>
      <w:r>
        <w:rPr>
          <w:rFonts w:ascii="Arial" w:cs="Arial" w:eastAsia="Arial" w:hAnsi="Arial"/>
          <w:sz w:val="17"/>
          <w:szCs w:val="17"/>
          <w:color w:val="auto"/>
        </w:rPr>
        <w:t>. The execution, delivery and performance by the Company of the Transaction Documents and the issuance, sale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the securities to be sold by the Company under the Transaction Documents (including, subject to the Company obtaining Requisite Stockholder Approval, the issuance of Conversion Shares upon the conversion of the Securities), the performance by the Company of its obligations under the Transaction Documents and the consummation of the transactions contemplated hereby or thereby (including without limitation, the issuance of the Securities and the reservation for issuance of the Conversion Shares) do not and will not conflict with, result in the breach or violation of, or constitute (with or without the giving of notice or the passage of time or both) a violation of, or default under, (i) any bond, debenture, note or other evidence of indebtedness, or under any lease,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90" w:name="page391"/>
    <w:bookmarkEnd w:id="390"/>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 franchise, permit, indenture, mortgage, deed of trust, loan agreement, joint venture or other Contract, agreement or instrument to which the Company or any of its Subsidiaries is a party or by which it or its properties may be bound or affected, (ii) the Company’s restated certificate of incorporation, as amended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Company’s bylaws, as amended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or the equivalent document with respect to any of the Company’s Subsidiaries, as amended and as in effect on the date hereof, or (iii) subject to the Requisite Stockholder Approval, any statute or Law, judgment, decree, rule, regulation, ordinance or order of any court or governmental or regulatory body (including Nasdaq), governmental agency, arbitration panel or authority applicable to the Company, any of its subsidiaries or their respective properties, except in the case of clauses</w:t>
      </w:r>
    </w:p>
    <w:p>
      <w:pPr>
        <w:spacing w:after="0" w:line="4" w:lineRule="exact"/>
        <w:rPr>
          <w:sz w:val="20"/>
          <w:szCs w:val="20"/>
          <w:color w:val="auto"/>
        </w:rPr>
      </w:pPr>
    </w:p>
    <w:p>
      <w:pPr>
        <w:ind w:left="4" w:right="40" w:hanging="4"/>
        <w:spacing w:after="0" w:line="260" w:lineRule="auto"/>
        <w:tabs>
          <w:tab w:leader="none" w:pos="21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and (iii) for such conflicts, breaches, violations or defaults that would not reasonably be expected to have, individually or in the aggregate, a Material Adverse Effect.</w:t>
      </w:r>
    </w:p>
    <w:p>
      <w:pPr>
        <w:spacing w:after="0" w:line="181" w:lineRule="exact"/>
        <w:rPr>
          <w:rFonts w:ascii="Arial" w:cs="Arial" w:eastAsia="Arial" w:hAnsi="Arial"/>
          <w:sz w:val="18"/>
          <w:szCs w:val="18"/>
          <w:color w:val="auto"/>
        </w:rPr>
      </w:pPr>
    </w:p>
    <w:p>
      <w:pPr>
        <w:ind w:left="4" w:firstLine="987"/>
        <w:spacing w:after="0" w:line="268" w:lineRule="auto"/>
        <w:tabs>
          <w:tab w:leader="none" w:pos="1395" w:val="left"/>
        </w:tabs>
        <w:numPr>
          <w:ilvl w:val="1"/>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Filings, Consents and Approvals</w:t>
      </w:r>
      <w:r>
        <w:rPr>
          <w:rFonts w:ascii="Arial" w:cs="Arial" w:eastAsia="Arial" w:hAnsi="Arial"/>
          <w:sz w:val="17"/>
          <w:szCs w:val="17"/>
          <w:color w:val="auto"/>
        </w:rPr>
        <w:t>. Except for any Current Report on Form 8-K or Notice of Exempt Offering of Securities on Form</w:t>
      </w:r>
      <w:r>
        <w:rPr>
          <w:rFonts w:ascii="Arial" w:cs="Arial" w:eastAsia="Arial" w:hAnsi="Arial"/>
          <w:sz w:val="17"/>
          <w:szCs w:val="17"/>
          <w:b w:val="1"/>
          <w:bCs w:val="1"/>
          <w:color w:val="auto"/>
        </w:rPr>
        <w:t xml:space="preserve"> </w:t>
      </w:r>
      <w:r>
        <w:rPr>
          <w:rFonts w:ascii="Arial" w:cs="Arial" w:eastAsia="Arial" w:hAnsi="Arial"/>
          <w:sz w:val="17"/>
          <w:szCs w:val="17"/>
          <w:color w:val="auto"/>
        </w:rPr>
        <w:t>D to be filed by the Company in connection with the transaction contemplated hereby, any required filing with Nasdaq (other than the Listing of Additional Shares notification form for the listing of the Conversion Shares), the Requisite Stockholder Approval, the filing of the Certificate of Designation and the Registration Statement required to be filed by the Registration Rights Agreement, neither the Company nor any of its Subsidiaries is required to give any notice to, or make any filings with, or obtain any authorization, consent, or approval of any government or governmental agency in order to consummate the transactions contemplated by the Transaction Documents. Assuming the accuracy of the representations of the Purchasers in Section 3.2, no consent, approval, authorization or other order of, or registration, qualification or filing with, any court, regulatory body, administrative agency, self-regulatory organization, stock exchange or market (including Nasdaq), or other governmental body is required for the execution and delivery of the Transaction Documents, the valid issuance, sale and delivery of the Securities to be sold pursuant to the Transaction Documents (including, subject to the Company obtaining the Requisite Stockholder Approval, the issuance of Conversion Shares upon conversion of the Securities) other than such as have been or will be made or obtained, or for any securities filings required to be made under federal or state securities laws applicable to the offering of the Securities or the issuance of Conversion Shares upon conversion of the Securities (other than the Requisite Stockholder Approval and filings that have been made, or will be made, pursuant to the rules and regulations of Nasdaq). The Company and its Subsidiaries are unaware of any facts or circumstances that might prevent the Company from obtaining or effecting any of the registration, application or filings pursuant to this Section 3.1(d).</w:t>
      </w:r>
    </w:p>
    <w:p>
      <w:pPr>
        <w:spacing w:after="0" w:line="181" w:lineRule="exact"/>
        <w:rPr>
          <w:rFonts w:ascii="Arial" w:cs="Arial" w:eastAsia="Arial" w:hAnsi="Arial"/>
          <w:sz w:val="17"/>
          <w:szCs w:val="17"/>
          <w:b w:val="1"/>
          <w:bCs w:val="1"/>
          <w:color w:val="auto"/>
        </w:rPr>
      </w:pPr>
    </w:p>
    <w:p>
      <w:pPr>
        <w:ind w:left="4" w:right="120" w:firstLine="987"/>
        <w:spacing w:after="0" w:line="289" w:lineRule="auto"/>
        <w:tabs>
          <w:tab w:leader="none" w:pos="1375" w:val="left"/>
        </w:tabs>
        <w:numPr>
          <w:ilvl w:val="1"/>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Issuance of the Securities and Conversion Shares</w:t>
      </w:r>
      <w:r>
        <w:rPr>
          <w:rFonts w:ascii="Arial" w:cs="Arial" w:eastAsia="Arial" w:hAnsi="Arial"/>
          <w:sz w:val="16"/>
          <w:szCs w:val="16"/>
          <w:color w:val="auto"/>
        </w:rPr>
        <w:t>. The issuance of the Securities has been duly authorized, and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when issued and paid for in accordance with the terms of the Transaction Documents, will be duly and validly issued, fully paid and nonassessable and free and clear of any Encumbrances, preemptive rights or restrictions (other than as provided in the Certificate of Designation or any restrictions on transfer generally imposed under applicable securities laws). The issuance of the Conversion Shares has been duly authorized and the Conversion Shares, subject to receipt of the Requisite Stockholder Approval, when issued in accordance with the terms of the Certificate of Designation, will be duly authorized, validly issued, fully paid and non-assessable, and shall be free and clear of any Encumbrances, preemptive rights or restrictions (other than as provided in this Agreement or any restrictions on transfer generally imposed under applicable securities laws). The Company has reserved such number of shares of Common Stock sufficient to enable full conversion of all of the Securities to the extent allowable prior to receipt of the Requisite Stockholder Approval and, upon receipt of the Requisite Stockholder Approval, the Company shall have reserved such number of shares of Common Stock sufficient to enable the full conversion of all of the Securities.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91" w:name="page392"/>
    <w:bookmarkEnd w:id="391"/>
    <w:p>
      <w:pPr>
        <w:ind w:left="1340" w:hanging="353"/>
        <w:spacing w:after="0"/>
        <w:tabs>
          <w:tab w:leader="none" w:pos="13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1428"/>
        <w:spacing w:after="0" w:line="283" w:lineRule="auto"/>
        <w:tabs>
          <w:tab w:leader="none" w:pos="1782" w:val="left"/>
        </w:tabs>
        <w:numPr>
          <w:ilvl w:val="1"/>
          <w:numId w:val="276"/>
        </w:numPr>
        <w:rPr>
          <w:rFonts w:ascii="Arial" w:cs="Arial" w:eastAsia="Arial" w:hAnsi="Arial"/>
          <w:sz w:val="16"/>
          <w:szCs w:val="16"/>
          <w:b w:val="1"/>
          <w:bCs w:val="1"/>
          <w:color w:val="auto"/>
        </w:rPr>
      </w:pPr>
      <w:r>
        <w:rPr>
          <w:rFonts w:ascii="Arial" w:cs="Arial" w:eastAsia="Arial" w:hAnsi="Arial"/>
          <w:sz w:val="16"/>
          <w:szCs w:val="16"/>
          <w:color w:val="auto"/>
        </w:rPr>
        <w:t>As of June 20, 2023 (the “</w:t>
      </w:r>
      <w:r>
        <w:rPr>
          <w:rFonts w:ascii="Arial" w:cs="Arial" w:eastAsia="Arial" w:hAnsi="Arial"/>
          <w:sz w:val="16"/>
          <w:szCs w:val="16"/>
          <w:b w:val="1"/>
          <w:bCs w:val="1"/>
          <w:i w:val="1"/>
          <w:iCs w:val="1"/>
          <w:color w:val="auto"/>
        </w:rPr>
        <w:t>Capitalization Date</w:t>
      </w:r>
      <w:r>
        <w:rPr>
          <w:rFonts w:ascii="Arial" w:cs="Arial" w:eastAsia="Arial" w:hAnsi="Arial"/>
          <w:sz w:val="16"/>
          <w:szCs w:val="16"/>
          <w:color w:val="auto"/>
        </w:rPr>
        <w:t>”), the authorized capital stock of the Company consisted of (i) 10,000,000 shares of convertible preferred stock, par value $0.0001 per share (the “</w:t>
      </w:r>
      <w:r>
        <w:rPr>
          <w:rFonts w:ascii="Arial" w:cs="Arial" w:eastAsia="Arial" w:hAnsi="Arial"/>
          <w:sz w:val="16"/>
          <w:szCs w:val="16"/>
          <w:b w:val="1"/>
          <w:bCs w:val="1"/>
          <w:i w:val="1"/>
          <w:iCs w:val="1"/>
          <w:color w:val="auto"/>
        </w:rPr>
        <w:t>Convertible Preferred Stock</w:t>
      </w:r>
      <w:r>
        <w:rPr>
          <w:rFonts w:ascii="Arial" w:cs="Arial" w:eastAsia="Arial" w:hAnsi="Arial"/>
          <w:sz w:val="16"/>
          <w:szCs w:val="16"/>
          <w:color w:val="auto"/>
        </w:rPr>
        <w:t>”), none of which were issued and outstanding and (ii) 500,000,000 shares of Common Stock, 65,395,159 shares of which were issued and outstanding. The Convertible Preferred Stock and the Common Stock are collectively referred to herein as the “</w:t>
      </w: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All of the issued and shares of Capital Stock have been duly authorized and validly issued and are fully paid and nonassessable and are free of any Encumbrances. As of the Capitalization Date, the Company has reserved (A) (i) 1,667 shares of Common Stock for issuance under the Company’s 2013 Equity Incentive Plan, as amended (the “</w:t>
      </w:r>
      <w:r>
        <w:rPr>
          <w:rFonts w:ascii="Arial" w:cs="Arial" w:eastAsia="Arial" w:hAnsi="Arial"/>
          <w:sz w:val="16"/>
          <w:szCs w:val="16"/>
          <w:b w:val="1"/>
          <w:bCs w:val="1"/>
          <w:i w:val="1"/>
          <w:iCs w:val="1"/>
          <w:color w:val="auto"/>
        </w:rPr>
        <w:t>2013 Plan</w:t>
      </w:r>
      <w:r>
        <w:rPr>
          <w:rFonts w:ascii="Arial" w:cs="Arial" w:eastAsia="Arial" w:hAnsi="Arial"/>
          <w:sz w:val="16"/>
          <w:szCs w:val="16"/>
          <w:color w:val="auto"/>
        </w:rPr>
        <w:t>”), of which 1,667 shares have been reserved for issuance upon exercise or settlement of Company restricted stock units granted and outstanding under the 2013 Plan and no shares remain available for future issuance pursuant to the 2013 Plan, (ii) 499,402 shares of Common Stock for issuance under the Company’s 2015 Equity Incentive Plan, as amended (the “</w:t>
      </w:r>
      <w:r>
        <w:rPr>
          <w:rFonts w:ascii="Arial" w:cs="Arial" w:eastAsia="Arial" w:hAnsi="Arial"/>
          <w:sz w:val="16"/>
          <w:szCs w:val="16"/>
          <w:b w:val="1"/>
          <w:bCs w:val="1"/>
          <w:i w:val="1"/>
          <w:iCs w:val="1"/>
          <w:color w:val="auto"/>
        </w:rPr>
        <w:t>2015 Plan</w:t>
      </w:r>
      <w:r>
        <w:rPr>
          <w:rFonts w:ascii="Arial" w:cs="Arial" w:eastAsia="Arial" w:hAnsi="Arial"/>
          <w:sz w:val="16"/>
          <w:szCs w:val="16"/>
          <w:color w:val="auto"/>
        </w:rPr>
        <w:t>”), of which 499,402 shares have been reserved for issuance upon exercise or settlement of Company options granted and outstanding under the 2015 Plan and no shares remain available for future issuance pursuant to the 2015 Plan, (iii) 13,432,161 shares of Common Stock for issuance under the Company’s 2016 Equity Incentive Plan, as amended (the “</w:t>
      </w:r>
      <w:r>
        <w:rPr>
          <w:rFonts w:ascii="Arial" w:cs="Arial" w:eastAsia="Arial" w:hAnsi="Arial"/>
          <w:sz w:val="16"/>
          <w:szCs w:val="16"/>
          <w:b w:val="1"/>
          <w:bCs w:val="1"/>
          <w:i w:val="1"/>
          <w:iCs w:val="1"/>
          <w:color w:val="auto"/>
        </w:rPr>
        <w:t>2016 Plan</w:t>
      </w:r>
      <w:r>
        <w:rPr>
          <w:rFonts w:ascii="Arial" w:cs="Arial" w:eastAsia="Arial" w:hAnsi="Arial"/>
          <w:sz w:val="16"/>
          <w:szCs w:val="16"/>
          <w:color w:val="auto"/>
        </w:rPr>
        <w:t>”), of which 8,687,838 shares have been reserved for issuance upon exercise or settlement of Company options granted and outstanding under the 2016 Plan and 4,744,323 shares remain available for future issuance pursuant to the 2016 Plan, (iv) 1,100,000 shares of Common Stock for issuance under the Company’s 2018 Equity Inducement Plan, as amended (the “</w:t>
      </w:r>
      <w:r>
        <w:rPr>
          <w:rFonts w:ascii="Arial" w:cs="Arial" w:eastAsia="Arial" w:hAnsi="Arial"/>
          <w:sz w:val="16"/>
          <w:szCs w:val="16"/>
          <w:b w:val="1"/>
          <w:bCs w:val="1"/>
          <w:i w:val="1"/>
          <w:iCs w:val="1"/>
          <w:color w:val="auto"/>
        </w:rPr>
        <w:t>2018 Plan</w:t>
      </w:r>
      <w:r>
        <w:rPr>
          <w:rFonts w:ascii="Arial" w:cs="Arial" w:eastAsia="Arial" w:hAnsi="Arial"/>
          <w:sz w:val="16"/>
          <w:szCs w:val="16"/>
          <w:color w:val="auto"/>
        </w:rPr>
        <w:t>”), of which 306,000 shares have been reserved for issuance upon exercise or settlement of Company options granted and outstanding under the 2018 Plan and 794,000 shares remain available for future issuance pursuant to the 2018 Plan and (v) 667,546 shares of Common Stock for issuance pursuant to the Company’s CEO Inducement Grant (the “</w:t>
      </w:r>
      <w:r>
        <w:rPr>
          <w:rFonts w:ascii="Arial" w:cs="Arial" w:eastAsia="Arial" w:hAnsi="Arial"/>
          <w:sz w:val="16"/>
          <w:szCs w:val="16"/>
          <w:b w:val="1"/>
          <w:bCs w:val="1"/>
          <w:i w:val="1"/>
          <w:iCs w:val="1"/>
          <w:color w:val="auto"/>
        </w:rPr>
        <w:t>2022 Inducement Grant</w:t>
      </w:r>
      <w:r>
        <w:rPr>
          <w:rFonts w:ascii="Arial" w:cs="Arial" w:eastAsia="Arial" w:hAnsi="Arial"/>
          <w:sz w:val="16"/>
          <w:szCs w:val="16"/>
          <w:color w:val="auto"/>
        </w:rPr>
        <w:t>”), of which 667,546 shares have been reserved for issuance upon exercise or settlement of Company options granted and outstanding pursuant to the 2022 Inducement Grant and no shares remain available for future issuance pursuant to the 2022 Inducement Grant, (B) 2,323,888 shares of Common Stock for future issuance pursuant to the Company’s 2016 Employee Stock Purchase Plan (of which 498,554 shares have been issued and are currently outstanding) and (C) 28,869,251 shares of Common Stock for issuance upon the exercise of 28,891,578 pre-funded warrants to acquire shares of Common Stock, all of which remain subject to exercise in exchange for Common Stock. As of the date hereof, the Company has declared a distribution of one contingent value right for each outstanding share of Common Stock as of immediately prior to the closing of the Merger, representing the right to receive contingent payments, payable in cash or Common Stock, upon the occurrence of certain events relating to the sale of the Company’s legacy non-cash assets (the “</w:t>
      </w:r>
      <w:r>
        <w:rPr>
          <w:rFonts w:ascii="Arial" w:cs="Arial" w:eastAsia="Arial" w:hAnsi="Arial"/>
          <w:sz w:val="16"/>
          <w:szCs w:val="16"/>
          <w:b w:val="1"/>
          <w:bCs w:val="1"/>
          <w:i w:val="1"/>
          <w:iCs w:val="1"/>
          <w:color w:val="auto"/>
        </w:rPr>
        <w:t>CVRs</w:t>
      </w:r>
      <w:r>
        <w:rPr>
          <w:rFonts w:ascii="Arial" w:cs="Arial" w:eastAsia="Arial" w:hAnsi="Arial"/>
          <w:sz w:val="16"/>
          <w:szCs w:val="16"/>
          <w:color w:val="auto"/>
        </w:rPr>
        <w:t>”). After giving effect to the Merger and the issuance of the Securities, the Company will have 1,086,341 shares of Series A Preferred Stock authorized, 1,086,341 of which will be issued and outstanding. None of the outstanding shares of the Company were issued in violation of any preemptive rights, rights of first refusal or other similar rights to subscribe for or purchase securities of the Company. Except as otherwise set forth in this Agreement or in the Merger Agreement, as of the date hereof there are no outstanding options, warrants, rights (including conversion or preemptive rights), agreements, arrangements or commitments of any character, whether or not contingent, relating to the issued or unissued Capital Stock of the Company or obligating the Company to issue or sell any share of Capital Stock of, or other equity interest in, the Company. The issuance and sale of the Securities (including, subject to the Company obtaining the Requisite Stockholder Approval, the issuance of Conversion Shares upon conversion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w:t>
      </w:r>
    </w:p>
    <w:p>
      <w:pPr>
        <w:spacing w:after="0" w:line="185" w:lineRule="exact"/>
        <w:rPr>
          <w:rFonts w:ascii="Arial" w:cs="Arial" w:eastAsia="Arial" w:hAnsi="Arial"/>
          <w:sz w:val="16"/>
          <w:szCs w:val="16"/>
          <w:b w:val="1"/>
          <w:bCs w:val="1"/>
          <w:color w:val="auto"/>
        </w:rPr>
      </w:pPr>
    </w:p>
    <w:p>
      <w:pPr>
        <w:ind w:left="1820" w:hanging="392"/>
        <w:spacing w:after="0"/>
        <w:tabs>
          <w:tab w:leader="none" w:pos="1820"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Effective as of the consummation of the Merger, Spyre will be a wholly-owned subsidiary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92" w:name="page393"/>
    <w:bookmarkEnd w:id="392"/>
    <w:p>
      <w:pPr>
        <w:ind w:left="1384" w:hanging="393"/>
        <w:spacing w:after="0"/>
        <w:tabs>
          <w:tab w:leader="none" w:pos="1384" w:val="left"/>
        </w:tabs>
        <w:numPr>
          <w:ilvl w:val="1"/>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 Agreement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280" w:firstLine="1428"/>
        <w:spacing w:after="0" w:line="275" w:lineRule="auto"/>
        <w:tabs>
          <w:tab w:leader="none" w:pos="1786" w:val="left"/>
        </w:tabs>
        <w:numPr>
          <w:ilvl w:val="2"/>
          <w:numId w:val="277"/>
        </w:numPr>
        <w:rPr>
          <w:rFonts w:ascii="Arial" w:cs="Arial" w:eastAsia="Arial" w:hAnsi="Arial"/>
          <w:sz w:val="17"/>
          <w:szCs w:val="17"/>
          <w:b w:val="1"/>
          <w:bCs w:val="1"/>
          <w:color w:val="auto"/>
        </w:rPr>
      </w:pPr>
      <w:r>
        <w:rPr>
          <w:rFonts w:ascii="Arial" w:cs="Arial" w:eastAsia="Arial" w:hAnsi="Arial"/>
          <w:sz w:val="17"/>
          <w:szCs w:val="17"/>
          <w:color w:val="auto"/>
        </w:rPr>
        <w:t>The Merger Agreement has been duly and validly authorized, executed and delivered by the Company, the First Merger Sub and the Second Merger Sub and, assuming due authorization, execution and delivery by the other parties thereto, constitutes a valid and binding agreement of the Company, the First Merger Sub and the Second Merger Sub enforceable against the Company, the First Merger Sub and the Second Merger Sub in accordance with its terms, except as enforceability may be limited by applicable bankruptcy, insolvency or similar laws affecting the enforcement of creditors’ rights generally or by equitable principles relating to enforceability.</w:t>
      </w:r>
    </w:p>
    <w:p>
      <w:pPr>
        <w:spacing w:after="0" w:line="176" w:lineRule="exact"/>
        <w:rPr>
          <w:rFonts w:ascii="Arial" w:cs="Arial" w:eastAsia="Arial" w:hAnsi="Arial"/>
          <w:sz w:val="17"/>
          <w:szCs w:val="17"/>
          <w:b w:val="1"/>
          <w:bCs w:val="1"/>
          <w:color w:val="auto"/>
        </w:rPr>
      </w:pPr>
    </w:p>
    <w:p>
      <w:pPr>
        <w:ind w:left="4" w:firstLine="1428"/>
        <w:spacing w:after="0" w:line="259" w:lineRule="auto"/>
        <w:tabs>
          <w:tab w:leader="none" w:pos="1836" w:val="left"/>
        </w:tabs>
        <w:numPr>
          <w:ilvl w:val="2"/>
          <w:numId w:val="277"/>
        </w:numPr>
        <w:rPr>
          <w:rFonts w:ascii="Arial" w:cs="Arial" w:eastAsia="Arial" w:hAnsi="Arial"/>
          <w:sz w:val="18"/>
          <w:szCs w:val="18"/>
          <w:b w:val="1"/>
          <w:bCs w:val="1"/>
          <w:color w:val="auto"/>
        </w:rPr>
      </w:pPr>
      <w:r>
        <w:rPr>
          <w:rFonts w:ascii="Arial" w:cs="Arial" w:eastAsia="Arial" w:hAnsi="Arial"/>
          <w:sz w:val="18"/>
          <w:szCs w:val="18"/>
          <w:color w:val="auto"/>
        </w:rPr>
        <w:t>To the Company’s Knowledge, the representations and warranties of Spyre contained in Section 2 of the Merger Agreement (as qualified therein and in the disclosure schedules thereto) were, as of the date of the Merger Agreement, and are, as of the date hereof, true and accurate in all material respects (or, if any such representations or warranties are qualified by materiality, material adverse effect or similar language, true and correct in all respects).</w:t>
      </w:r>
    </w:p>
    <w:p>
      <w:pPr>
        <w:spacing w:after="0" w:line="182" w:lineRule="exact"/>
        <w:rPr>
          <w:rFonts w:ascii="Arial" w:cs="Arial" w:eastAsia="Arial" w:hAnsi="Arial"/>
          <w:sz w:val="18"/>
          <w:szCs w:val="18"/>
          <w:b w:val="1"/>
          <w:bCs w:val="1"/>
          <w:color w:val="auto"/>
        </w:rPr>
      </w:pPr>
    </w:p>
    <w:p>
      <w:pPr>
        <w:ind w:left="4" w:firstLine="987"/>
        <w:spacing w:after="0" w:line="270" w:lineRule="auto"/>
        <w:tabs>
          <w:tab w:leader="none" w:pos="1395" w:val="left"/>
        </w:tabs>
        <w:numPr>
          <w:ilvl w:val="1"/>
          <w:numId w:val="277"/>
        </w:numPr>
        <w:rPr>
          <w:rFonts w:ascii="Arial" w:cs="Arial" w:eastAsia="Arial" w:hAnsi="Arial"/>
          <w:sz w:val="17"/>
          <w:szCs w:val="17"/>
          <w:b w:val="1"/>
          <w:bCs w:val="1"/>
          <w:color w:val="auto"/>
        </w:rPr>
      </w:pPr>
      <w:r>
        <w:rPr>
          <w:rFonts w:ascii="Arial" w:cs="Arial" w:eastAsia="Arial" w:hAnsi="Arial"/>
          <w:sz w:val="17"/>
          <w:szCs w:val="17"/>
          <w:b w:val="1"/>
          <w:bCs w:val="1"/>
          <w:color w:val="auto"/>
        </w:rPr>
        <w:t>SEC Reports; Disclosure Materials</w:t>
      </w:r>
      <w:r>
        <w:rPr>
          <w:rFonts w:ascii="Arial" w:cs="Arial" w:eastAsia="Arial" w:hAnsi="Arial"/>
          <w:sz w:val="17"/>
          <w:szCs w:val="17"/>
          <w:color w:val="auto"/>
        </w:rPr>
        <w:t>. The Company has filed or furnished, as applicable, on a timely basis all forms,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schedules, certifications, reports and other documents required to be filed or furnished by it with the Commission under the Exchange Act or the Securities Act since January 1, 2021 (collectively, and in each case including all exhibits and schedules thereto and documents incorporated by reference therein, the “</w:t>
      </w:r>
      <w:r>
        <w:rPr>
          <w:rFonts w:ascii="Arial" w:cs="Arial" w:eastAsia="Arial" w:hAnsi="Arial"/>
          <w:sz w:val="17"/>
          <w:szCs w:val="17"/>
          <w:b w:val="1"/>
          <w:bCs w:val="1"/>
          <w:i w:val="1"/>
          <w:iCs w:val="1"/>
          <w:color w:val="auto"/>
        </w:rPr>
        <w:t>SEC Reports</w:t>
      </w:r>
      <w:r>
        <w:rPr>
          <w:rFonts w:ascii="Arial" w:cs="Arial" w:eastAsia="Arial" w:hAnsi="Arial"/>
          <w:sz w:val="17"/>
          <w:szCs w:val="17"/>
          <w:color w:val="auto"/>
        </w:rPr>
        <w:t>”). As of the time it was filed with the Commission (or, if amended or superseded by a filing prior to the date of this Agreement, then on the date of such filing), each of the SEC Reports complied in all material respects with the applicable requirements of the Securities Act or the Exchange Act (as the case may be) and as of the time they were filed, none of the SEC Reports contained any untrue statement of a material fact or omitted to state a material fact required to be stated therein or necessary in order to make the statements therein, in the light of the circumstances under which they were made, not misleading. There are no material outstanding or unresolved comments in comment letters from the staff of the Division of Corporation Finance of the Commission with respect to any of the SEC Reports. The Company meets the requirements for use of Form S-3 under the Securities Act.</w:t>
      </w:r>
    </w:p>
    <w:p>
      <w:pPr>
        <w:spacing w:after="0" w:line="176" w:lineRule="exact"/>
        <w:rPr>
          <w:rFonts w:ascii="Arial" w:cs="Arial" w:eastAsia="Arial" w:hAnsi="Arial"/>
          <w:sz w:val="17"/>
          <w:szCs w:val="17"/>
          <w:b w:val="1"/>
          <w:bCs w:val="1"/>
          <w:color w:val="auto"/>
        </w:rPr>
      </w:pPr>
    </w:p>
    <w:p>
      <w:pPr>
        <w:ind w:left="4" w:right="180" w:firstLine="987"/>
        <w:spacing w:after="0" w:line="285" w:lineRule="auto"/>
        <w:tabs>
          <w:tab w:leader="none" w:pos="1345" w:val="left"/>
        </w:tabs>
        <w:numPr>
          <w:ilvl w:val="1"/>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r>
        <w:rPr>
          <w:rFonts w:ascii="Arial" w:cs="Arial" w:eastAsia="Arial" w:hAnsi="Arial"/>
          <w:sz w:val="16"/>
          <w:szCs w:val="16"/>
          <w:color w:val="auto"/>
        </w:rPr>
        <w:t>. As of their respective filing dates, the financial statements (including any related notes) contained or</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in the SEC Reports (i) complied as to form in all material respects with the Securities Act and the Exchange Act, as applicable, and the published rules and regulations of the Commission applicable thereto, (ii) were prepared in accordance with GAAP (except as may be indicated in the notes to such financial statements or, in the case of unaudited financial statements, as permitted by Form 10-Q of the Commission,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w:t>
      </w:r>
    </w:p>
    <w:p>
      <w:pPr>
        <w:spacing w:after="0" w:line="3" w:lineRule="exact"/>
        <w:rPr>
          <w:rFonts w:ascii="Arial" w:cs="Arial" w:eastAsia="Arial" w:hAnsi="Arial"/>
          <w:sz w:val="16"/>
          <w:szCs w:val="16"/>
          <w:b w:val="1"/>
          <w:bCs w:val="1"/>
          <w:color w:val="auto"/>
        </w:rPr>
      </w:pPr>
    </w:p>
    <w:p>
      <w:pPr>
        <w:ind w:left="4" w:right="500" w:hanging="4"/>
        <w:spacing w:after="0" w:line="281" w:lineRule="auto"/>
        <w:tabs>
          <w:tab w:leader="none" w:pos="31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fairly present, in all material respects, the consolidated financial position of the Company as of the respective dates thereof and the results of operations and cash flows of the Company for the periods covered thereby. Other than as expressly disclosed in the SEC Reports filed at least one</w:t>
      </w:r>
    </w:p>
    <w:p>
      <w:pPr>
        <w:spacing w:after="0" w:line="1" w:lineRule="exact"/>
        <w:rPr>
          <w:rFonts w:ascii="Arial" w:cs="Arial" w:eastAsia="Arial" w:hAnsi="Arial"/>
          <w:sz w:val="16"/>
          <w:szCs w:val="16"/>
          <w:color w:val="auto"/>
        </w:rPr>
      </w:pPr>
    </w:p>
    <w:p>
      <w:pPr>
        <w:ind w:left="4" w:right="100"/>
        <w:spacing w:after="0" w:line="290" w:lineRule="auto"/>
        <w:rPr>
          <w:rFonts w:ascii="Arial" w:cs="Arial" w:eastAsia="Arial" w:hAnsi="Arial"/>
          <w:sz w:val="16"/>
          <w:szCs w:val="16"/>
          <w:color w:val="auto"/>
        </w:rPr>
      </w:pPr>
      <w:r>
        <w:rPr>
          <w:rFonts w:ascii="Arial" w:cs="Arial" w:eastAsia="Arial" w:hAnsi="Arial"/>
          <w:sz w:val="16"/>
          <w:szCs w:val="16"/>
          <w:color w:val="auto"/>
        </w:rPr>
        <w:t>(1) Business Day prior to the date hereof, there has been no material change in the Company’s accounting methods or principles that would be required to be disclosed in the Company’s financial statements in accordance with GAAP. Except as set forth in the consolidated financial statements of the Company included in the SEC Reports filed at least one (1) Business Day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books of account and other financial records of the Company and each of its Subsidiaries are true and complete in all material respects.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393" w:name="page394"/>
    <w:bookmarkEnd w:id="393"/>
    <w:p>
      <w:pPr>
        <w:ind w:left="4" w:right="240" w:firstLine="987"/>
        <w:spacing w:after="0" w:line="274" w:lineRule="auto"/>
        <w:tabs>
          <w:tab w:leader="none" w:pos="1355" w:val="left"/>
        </w:tabs>
        <w:numPr>
          <w:ilvl w:val="1"/>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Accountants</w:t>
      </w:r>
      <w:r>
        <w:rPr>
          <w:rFonts w:ascii="Arial" w:cs="Arial" w:eastAsia="Arial" w:hAnsi="Arial"/>
          <w:sz w:val="17"/>
          <w:szCs w:val="17"/>
          <w:color w:val="auto"/>
        </w:rPr>
        <w:t>. PricewaterhouseCoopers LLP, who have certified certain financial statements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their report with respect to the audited financial statements included in the SEC Reports, have at all times since the date of enactment of the Sarbanes-Oxley Act been (i) a registered public accounting firm (as defined in Section 2(a)(12) of the Sarbanes-Oxley Act), (ii) to the Company’s Knowledge, “independent” with respect to the Company within the meaning of Regulation S-X under the Exchange Act and (iii) to the Company’s Knowledge, in compliance with subsections (g) through (l) of Section 10A of the Exchange Act and the rules and regulations promulgated by the Commission and the Public Accounting Oversight Board thereunder.</w:t>
      </w:r>
    </w:p>
    <w:p>
      <w:pPr>
        <w:spacing w:after="0" w:line="173" w:lineRule="exact"/>
        <w:rPr>
          <w:rFonts w:ascii="Arial" w:cs="Arial" w:eastAsia="Arial" w:hAnsi="Arial"/>
          <w:sz w:val="17"/>
          <w:szCs w:val="17"/>
          <w:b w:val="1"/>
          <w:bCs w:val="1"/>
          <w:color w:val="auto"/>
        </w:rPr>
      </w:pPr>
    </w:p>
    <w:p>
      <w:pPr>
        <w:ind w:left="4" w:right="20" w:firstLine="987"/>
        <w:spacing w:after="0" w:line="284" w:lineRule="auto"/>
        <w:tabs>
          <w:tab w:leader="none" w:pos="1395" w:val="left"/>
        </w:tabs>
        <w:numPr>
          <w:ilvl w:val="1"/>
          <w:numId w:val="279"/>
        </w:numPr>
        <w:rPr>
          <w:rFonts w:ascii="Arial" w:cs="Arial" w:eastAsia="Arial" w:hAnsi="Arial"/>
          <w:sz w:val="16"/>
          <w:szCs w:val="16"/>
          <w:b w:val="1"/>
          <w:bCs w:val="1"/>
          <w:color w:val="auto"/>
        </w:rPr>
      </w:pPr>
      <w:r>
        <w:rPr>
          <w:rFonts w:ascii="Arial" w:cs="Arial" w:eastAsia="Arial" w:hAnsi="Arial"/>
          <w:sz w:val="16"/>
          <w:szCs w:val="16"/>
          <w:b w:val="1"/>
          <w:bCs w:val="1"/>
          <w:color w:val="auto"/>
        </w:rPr>
        <w:t>Absence of Certain Changes</w:t>
      </w:r>
      <w:r>
        <w:rPr>
          <w:rFonts w:ascii="Arial" w:cs="Arial" w:eastAsia="Arial" w:hAnsi="Arial"/>
          <w:sz w:val="16"/>
          <w:szCs w:val="16"/>
          <w:color w:val="auto"/>
        </w:rPr>
        <w:t>. Since the date of the Unaudited Interim Balance Sheet, there has been (i) no material adverse change</w:t>
      </w:r>
      <w:r>
        <w:rPr>
          <w:rFonts w:ascii="Arial" w:cs="Arial" w:eastAsia="Arial" w:hAnsi="Arial"/>
          <w:sz w:val="16"/>
          <w:szCs w:val="16"/>
          <w:b w:val="1"/>
          <w:bCs w:val="1"/>
          <w:color w:val="auto"/>
        </w:rPr>
        <w:t xml:space="preserve"> </w:t>
      </w:r>
      <w:r>
        <w:rPr>
          <w:rFonts w:ascii="Arial" w:cs="Arial" w:eastAsia="Arial" w:hAnsi="Arial"/>
          <w:sz w:val="16"/>
          <w:szCs w:val="16"/>
          <w:color w:val="auto"/>
        </w:rPr>
        <w:t>to, and no material adverse development in, the assets, liabilities, business, properties, operations, condition (financial or otherwise), results of operations or prospects of the Company or its Subsidiaries, (ii) no Material Adverse Effect, (iii) no satisfaction or discharge of any material lien, claim or encumbrance or payment of any obligation by the Company, except in the ordinary course of business and (iv) no waiver, not in the ordinary course of business, by the Company or any Subsidiary of a material right or of a material debt owed to it. Since the date of the Unaudited Interim Balance Sheet, neither the Company nor any of its Subsidiaries has (i) purchased any of its outstanding Common Stock (other than from its employees or other service providers in connection with the termination of their service pursuant to the terms of its equity compensation plans or agreements) or declared or paid any dividends or distributions, other than the CVRs, (ii) sold any material assets, individually or in the aggregate, outside of the ordinary course of business, (iii) made any material change or material amendment to, or waiver of any material right, or termination of, any material Contract, (iv) had material transaction entered into or material capital expenditures, individually or in the aggregate, outside of the ordinary course of business or</w:t>
      </w:r>
    </w:p>
    <w:p>
      <w:pPr>
        <w:spacing w:after="0" w:line="1" w:lineRule="exact"/>
        <w:rPr>
          <w:rFonts w:ascii="Arial" w:cs="Arial" w:eastAsia="Arial" w:hAnsi="Arial"/>
          <w:sz w:val="16"/>
          <w:szCs w:val="16"/>
          <w:b w:val="1"/>
          <w:bCs w:val="1"/>
          <w:color w:val="auto"/>
        </w:rPr>
      </w:pPr>
    </w:p>
    <w:p>
      <w:pPr>
        <w:ind w:left="4" w:hanging="4"/>
        <w:spacing w:after="0" w:line="286" w:lineRule="auto"/>
        <w:tabs>
          <w:tab w:leader="none" w:pos="25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experienced any loss of services of any executive officer (as defined in Rule 405 under the Securities Act), other than as disclosed in the SEC Reports prior to the date hereof. Neither the Company nor any of its Subsidiaries has taken any steps to seek protection pursuant to any bankruptcy law, nor does the Company have any knowledge or reason to believe that its creditors (if any) intend to initiate involuntary bankruptcy proceedings or any actual knowledge of any fact that would reasonably lead any such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3.1(k), “Insolvent”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w:t>
      </w:r>
    </w:p>
    <w:p>
      <w:pPr>
        <w:spacing w:after="0" w:line="165" w:lineRule="exact"/>
        <w:rPr>
          <w:rFonts w:ascii="Arial" w:cs="Arial" w:eastAsia="Arial" w:hAnsi="Arial"/>
          <w:sz w:val="16"/>
          <w:szCs w:val="16"/>
          <w:color w:val="auto"/>
        </w:rPr>
      </w:pPr>
    </w:p>
    <w:p>
      <w:pPr>
        <w:ind w:left="4" w:right="220" w:firstLine="987"/>
        <w:spacing w:after="0" w:line="274" w:lineRule="auto"/>
        <w:tabs>
          <w:tab w:leader="none" w:pos="1345" w:val="left"/>
        </w:tabs>
        <w:numPr>
          <w:ilvl w:val="1"/>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 There is no action, suit, proceeding or investigation pending or, to the Company’s Knowledge, currently threatened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against the Company, any of its Subsidiaries or any of their respective directors and officers that questions the validity of the Transaction Documents or the right of the Company to enter into the Transaction Documents or to consummate the transactions contemplated hereby and thereby. There is no action, suit, proceeding or investigation pending or, to the Company’s Knowledge, currently threatened in writing against the Company or any Subsidiary or any of their respective directors and officers which would, if there were an unfavorable decision, have or reasonably be expected to have, either individually or in the aggregate, a Material Adverse Effect.</w:t>
      </w:r>
    </w:p>
    <w:p>
      <w:pPr>
        <w:spacing w:after="0" w:line="173" w:lineRule="exact"/>
        <w:rPr>
          <w:rFonts w:ascii="Arial" w:cs="Arial" w:eastAsia="Arial" w:hAnsi="Arial"/>
          <w:sz w:val="17"/>
          <w:szCs w:val="17"/>
          <w:b w:val="1"/>
          <w:bCs w:val="1"/>
          <w:color w:val="auto"/>
        </w:rPr>
      </w:pPr>
    </w:p>
    <w:p>
      <w:pPr>
        <w:ind w:left="4" w:right="20" w:firstLine="987"/>
        <w:spacing w:after="0" w:line="266" w:lineRule="auto"/>
        <w:tabs>
          <w:tab w:leader="none" w:pos="1445"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Matters</w:t>
      </w:r>
      <w:r>
        <w:rPr>
          <w:rFonts w:ascii="Arial" w:cs="Arial" w:eastAsia="Arial" w:hAnsi="Arial"/>
          <w:sz w:val="18"/>
          <w:szCs w:val="18"/>
          <w:color w:val="auto"/>
        </w:rPr>
        <w:t>. No material labor dispute exists or, to the Company’s Knowledge, is imminent with respect to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Company or any of its Subsidiaries which would have or would reasonably be expected to result in a Material Adverse Effect. None of the Company’s or any Subsidiary’s employees is a member of a labor union that relates to such employee’s</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394" w:name="page395"/>
    <w:bookmarkEnd w:id="39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relationship with the Company, and neither the Company nor any of its Subsidiaries is a party to a collective bargaining agreement. To the Company’s Knowledge, no executive officer or key employee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to the Company’s Knowledge, the continued employment of each such executive officer or key employee does not subject the Company or any Subsidiary to any liability with respect to any of the foregoing matters, except, in each case, matters that, individually or in the aggregate, would not reasonably be expected to result in a Material Adverse Effect. The Company is in compliance in all material respects with all U.S. federal, state, local and foreign Laws and regulations relating to employment and employment practices, terms and conditions of employment and wages and hours. Any Employee Plans that are “employee pension benefit plans” within the meaning of Section 3(2) of ERISA and which are intended to meet the qualification requirements of Section 401(a) of the Code have received determination or opinion letters from the Internal Revenue Service on which they may currently rely to the effect that such plans are qualified under Section 401(a) of the Code and the related trusts are exempt from federal income taxes under Section 501(a) of the Code, respectively, and nothing has occurred that would reasonably be expected to materially adversely affect the qualification of such Employee Plan or the tax exempt status of the related trust.</w:t>
      </w:r>
    </w:p>
    <w:p>
      <w:pPr>
        <w:spacing w:after="0" w:line="164" w:lineRule="exact"/>
        <w:rPr>
          <w:sz w:val="20"/>
          <w:szCs w:val="20"/>
          <w:color w:val="auto"/>
        </w:rPr>
      </w:pPr>
    </w:p>
    <w:p>
      <w:pPr>
        <w:ind w:firstLine="987"/>
        <w:spacing w:after="0" w:line="286" w:lineRule="auto"/>
        <w:tabs>
          <w:tab w:leader="none" w:pos="1391"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t>Conduct of Business; Regulatory Permits</w:t>
      </w:r>
      <w:r>
        <w:rPr>
          <w:rFonts w:ascii="Arial" w:cs="Arial" w:eastAsia="Arial" w:hAnsi="Arial"/>
          <w:sz w:val="16"/>
          <w:szCs w:val="16"/>
          <w:color w:val="auto"/>
        </w:rPr>
        <w:t>. Neither the Company nor any of its Subsidiaries is in violation of any term of or in</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under its Certificate of Incorporation, any Certificate of Designation of any outstanding series of preferred stock of the Company or the Bylaws or their organizational charter or bylaws, respectively. Neither the Company nor any of its Subsidiaries (i) is in default of or in violation of, nor has the Company or any of its Subsidiaries received written notice of a claim that it is in default under or that it is in violation of, any Parent Material Contract (as defined in the Merger Agreement) (whether or not such default or violation has been waived), or (ii) is in violation of any judgment, decree or order or any statute, ordinance, rule or regulation applicable to the Company or its Subsidiaries, and neither the Company nor any of its Subsidiaries will conduct its business in violation of any of the foregoing, except for possible violations which would not, individually or in the aggregate, have or reasonably be expected to have a Material Adverse Effect. Without limiting the generality of the foregoing, the Company is not in violation of any of the rules, regulations or requirements of the Nasdaq and, to the Company’s Knowledge, there exist no facts or circumstances that would reasonably lead to delisting or suspension of the Common Stock by Nasdaq in the foreseeable future. The Company and its Subsidiaries possess all certificates, authorizations and permits issued by the appropriate regulatory authorities necessary to conduct their respective businesses as currently conducted and as proposed to be conducted, except where the failure to possess such certificates, authorizations or permits would not reasonably be expected to have, individually or in the aggregate, a Material Adverse Effect, and neither the Company nor any such Subsidiary has received any written notice of proceedings relating to the revocation or modification of any such certificate, authorization or permit.</w:t>
      </w:r>
    </w:p>
    <w:p>
      <w:pPr>
        <w:spacing w:after="0" w:line="170" w:lineRule="exact"/>
        <w:rPr>
          <w:rFonts w:ascii="Arial" w:cs="Arial" w:eastAsia="Arial" w:hAnsi="Arial"/>
          <w:sz w:val="16"/>
          <w:szCs w:val="16"/>
          <w:b w:val="1"/>
          <w:bCs w:val="1"/>
          <w:color w:val="auto"/>
        </w:rPr>
      </w:pPr>
    </w:p>
    <w:p>
      <w:pPr>
        <w:ind w:right="40" w:firstLine="987"/>
        <w:spacing w:after="0" w:line="270" w:lineRule="auto"/>
        <w:tabs>
          <w:tab w:leader="none" w:pos="1381"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Title to Properties and Assets</w:t>
      </w:r>
      <w:r>
        <w:rPr>
          <w:rFonts w:ascii="Arial" w:cs="Arial" w:eastAsia="Arial" w:hAnsi="Arial"/>
          <w:sz w:val="17"/>
          <w:szCs w:val="17"/>
          <w:color w:val="auto"/>
        </w:rPr>
        <w:t>. None of the Company or its Subsidiaries owns, or has ever owned, any real property.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or is Subsidiary’s possession, occupancy, lease, use and/or operation of each such leased property conforms to all applicable Laws in all material respects, and the Company or its Subsidiary, as applicable,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The Company and each of its Subsidiaries owns, and has good and marketable title to, or, in the case of leased properties and assets, valid leasehold interests in, all tangible properties or tangible assets and equipment used or held for use in their respective business or operations or purported to be owned by any of them, including: (a) all tangible assets reflected on the Unaudited Interim Balance Sheet and (b) all other tangible assets reflected in the books and records of the Company as being owned by the Company or any of its Subsidiaries. All of such assets are owned or, in the case of leased assets, leased by the Company or any of its Subsidiaries free and clear of any Encumbrances, other than Permitted Encumbrances.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95" w:name="page396"/>
    <w:bookmarkEnd w:id="395"/>
    <w:p>
      <w:pPr>
        <w:ind w:firstLine="987"/>
        <w:spacing w:after="0" w:line="285" w:lineRule="auto"/>
        <w:tabs>
          <w:tab w:leader="none" w:pos="1391"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Rights</w:t>
      </w:r>
      <w:r>
        <w:rPr>
          <w:rFonts w:ascii="Arial" w:cs="Arial" w:eastAsia="Arial" w:hAnsi="Arial"/>
          <w:sz w:val="16"/>
          <w:szCs w:val="16"/>
          <w:color w:val="auto"/>
        </w:rPr>
        <w:t>. The Company and its Subsidiaries own, or have obtained valid and enforceable licenses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inventions, patent applications, patents, trademarks, trade names, service names, copyrights, trade secrets and other intellectual property described in the SEC Reports as being owned or licensed by them or which are necessary for the conduct of their respective businesses as currently conducted or as currently proposed to be conducted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and the conduct of their respective businesses does not and will not infringe, misappropriate or otherwise conflict in any material respect with any such rights of others. To the Company’s Knowledge, the operation of the business of the Company and its Subsidiaries, as now conducted or as proposed to be conducted in the SEC Reports, together with the Company’s use of the Company’s Intellectual Property, does not conflict with, infringe, misappropriate or otherwise violate the Intellectual Property of any third party. No actions, suits, claims or proceedings have been asserted, or, to the Company’s Knowledge, threatened against the Company or any of its Subsidiaries alleging any of the foregoing or seeking to challenge, deny or restrict the operation of the business of the Company or its Subsidiaries, and the Company is unaware of any facts which would form a reasonable basis for any such claim. None of the Company or any of its Subsidiaries has received any notice of a claim of infringement, misappropriation or conflict with Intellectual Property rights of others, except for such claims that would not, individually or the in aggregate, have or reasonably be expected to have a Material Adverse Effect. The Intellectual Property rights owned by the Company and its Subsidiaries and, to the Company’s Knowledge, any Intellectual Property rights licensed to the Company or its Subsidiaries, have not been adjudged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challenge, except for such actions, suits, proceedings, or claims that would not, individually or the in aggregate, be reasonably expected to have a Material Adverse Effect. None of the Company or any of its Subsidiaries is a party to or bound by any options, licenses or agreements with respect to the Intellectual Property rights of any other person or entity that are required to be set forth in the SEC Reports. None of the technology or Intellectual Property used by the Company or its Subsidiaries in their respective businesses has been obtained or is being used by the Company in violation of any contractual obligation binding on the Company or any of its Subsidiaries or, to the Company’s Knowledge, any of their respective officers, directors or employees or otherwise in violation of the rights of any persons.</w:t>
      </w:r>
    </w:p>
    <w:p>
      <w:pPr>
        <w:spacing w:after="0" w:line="163" w:lineRule="exact"/>
        <w:rPr>
          <w:rFonts w:ascii="Arial" w:cs="Arial" w:eastAsia="Arial" w:hAnsi="Arial"/>
          <w:sz w:val="16"/>
          <w:szCs w:val="16"/>
          <w:b w:val="1"/>
          <w:bCs w:val="1"/>
          <w:color w:val="auto"/>
        </w:rPr>
      </w:pPr>
    </w:p>
    <w:p>
      <w:pPr>
        <w:ind w:right="80" w:firstLine="987"/>
        <w:spacing w:after="0" w:line="272" w:lineRule="auto"/>
        <w:tabs>
          <w:tab w:leader="none" w:pos="1391"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Each of the Company and its Subsidiaries are insured by recognized, financially sound and reputable institutions with</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to (i) renew its existing insurance coverage as and when such policies expire or (ii) obtain comparable coverage from similar institutions as may be necessary or appropriate to conduct its business as now conducted and at a cost that could not reasonably be expected to result in a Material Adverse Effect. Neither the Company nor any of its Subsidiaries has been denied any insurance coverage which it has sought or for which it has applied.</w:t>
      </w:r>
    </w:p>
    <w:p>
      <w:pPr>
        <w:spacing w:after="0" w:line="171" w:lineRule="exact"/>
        <w:rPr>
          <w:rFonts w:ascii="Arial" w:cs="Arial" w:eastAsia="Arial" w:hAnsi="Arial"/>
          <w:sz w:val="17"/>
          <w:szCs w:val="17"/>
          <w:b w:val="1"/>
          <w:bCs w:val="1"/>
          <w:color w:val="auto"/>
        </w:rPr>
      </w:pPr>
    </w:p>
    <w:p>
      <w:pPr>
        <w:ind w:right="220" w:firstLine="987"/>
        <w:spacing w:after="0" w:line="266" w:lineRule="auto"/>
        <w:tabs>
          <w:tab w:leader="none" w:pos="1371"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Affiliates and Employees</w:t>
      </w:r>
      <w:r>
        <w:rPr>
          <w:rFonts w:ascii="Arial" w:cs="Arial" w:eastAsia="Arial" w:hAnsi="Arial"/>
          <w:sz w:val="18"/>
          <w:szCs w:val="18"/>
          <w:color w:val="auto"/>
        </w:rPr>
        <w:t>. Since the date of the Company’s Definitive Proxy Statement on Schedule 14A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Commission on April 17, 2023, no event has occurred that would be required to be reported by the Company pursuant to Item 404 of Regulation S-K promulgated by the SEC.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96" w:name="page397"/>
    <w:bookmarkEnd w:id="396"/>
    <w:p>
      <w:pPr>
        <w:ind w:left="4" w:right="40" w:firstLine="987"/>
        <w:spacing w:after="0" w:line="286" w:lineRule="auto"/>
        <w:tabs>
          <w:tab w:leader="none" w:pos="1365" w:val="left"/>
        </w:tabs>
        <w:numPr>
          <w:ilvl w:val="1"/>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Accounting System</w:t>
      </w:r>
      <w:r>
        <w:rPr>
          <w:rFonts w:ascii="Arial" w:cs="Arial" w:eastAsia="Arial" w:hAnsi="Arial"/>
          <w:sz w:val="16"/>
          <w:szCs w:val="16"/>
          <w:color w:val="auto"/>
        </w:rPr>
        <w:t>. The Company and each of its Subsidiaries makes and keeps accurate books and records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maintains a system of internal control over financial reporting (as defined in Rules 13a-15 and 15d-15 under the Exchange Act)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w:t>
      </w:r>
    </w:p>
    <w:p>
      <w:pPr>
        <w:spacing w:after="0" w:line="2" w:lineRule="exact"/>
        <w:rPr>
          <w:rFonts w:ascii="Arial" w:cs="Arial" w:eastAsia="Arial" w:hAnsi="Arial"/>
          <w:sz w:val="16"/>
          <w:szCs w:val="16"/>
          <w:b w:val="1"/>
          <w:bCs w:val="1"/>
          <w:color w:val="auto"/>
        </w:rPr>
      </w:pPr>
    </w:p>
    <w:p>
      <w:pPr>
        <w:ind w:left="4" w:hanging="4"/>
        <w:spacing w:after="0" w:line="268" w:lineRule="auto"/>
        <w:tabs>
          <w:tab w:leader="none" w:pos="309"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recorded accountability for assets is compared with existing assets at reasonable intervals and appropriate action is taken with respect to any differences; and (v) the interactive data in eXtensible Business Reporting Language included or incorporated by reference in the SEC Reports fairly presents the information called for in all material respects and is prepared in accordance with the Commission’s rules and guidelines applicable thereto, except as would not, individually or the in aggregate, be reasonably expected to have a Material Adverse Effect. Since January 1, 2021, (i) neither the Company nor any Subsidiary nor, to the Company’s Knowledge, any director, officer, employee, auditor, accountant or representative of the Company or any Subsidiary has received or otherwise had or obtained knowledge of any material complaint, allegation, assertion or claim, whether written or oral, regarding the accounting or auditing practices, procedures, methodologies or methods of the Company or any Subsidiary or their respective internal accounting controls, including any material complaint, allegation, assertion or claim that the Company or any Subsidiary has engaged in questionable accounting or auditing practices.</w:t>
      </w:r>
    </w:p>
    <w:p>
      <w:pPr>
        <w:spacing w:after="0" w:line="177" w:lineRule="exact"/>
        <w:rPr>
          <w:rFonts w:ascii="Arial" w:cs="Arial" w:eastAsia="Arial" w:hAnsi="Arial"/>
          <w:sz w:val="17"/>
          <w:szCs w:val="17"/>
          <w:color w:val="auto"/>
        </w:rPr>
      </w:pPr>
    </w:p>
    <w:p>
      <w:pPr>
        <w:ind w:left="4" w:firstLine="987"/>
        <w:spacing w:after="0" w:line="285" w:lineRule="auto"/>
        <w:tabs>
          <w:tab w:leader="none" w:pos="1355" w:val="left"/>
        </w:tabs>
        <w:numPr>
          <w:ilvl w:val="1"/>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Sarbanes-Oxley; Disclosure Controls</w:t>
      </w:r>
      <w:r>
        <w:rPr>
          <w:rFonts w:ascii="Arial" w:cs="Arial" w:eastAsia="Arial" w:hAnsi="Arial"/>
          <w:sz w:val="16"/>
          <w:szCs w:val="16"/>
          <w:color w:val="auto"/>
        </w:rPr>
        <w:t>. The Company is in compliance in all material respects with the applicable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Sarbanes-Oxley Act of 2002 and the rules and regulations promulgated thereunder. The Company maintains a system of internal accounting controls designed to ensure that (a) material information relating to the Company and its Subsidiaries, is made known to the Company’s principal executive officer and its principal financial officer by others within those entities and (b) that information required to be disclosed by the Company in reports that it file, furnishes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established and maintains disclosure controls and procedures (as defined in Exchange Act Rules 13a-15(e) and 15d-15(e)) for the Company and designed such disclosure controls and procedures to ensure that material information relating to the Company is made known to the certifying officers by others within those entities, particularly during the period in which the Company’s most recently filed periodic report under the Exchange Act, as the case may be, is being prepared. The Company has established internal control over financial reporting (as defined in Exchange Act Rules 13a-15(f) and 15d-15(f)) to provide reasonable assurance regarding the reliability of financial reporting and the preparation of financial statements for external purposes in accordance with GAAP. The Company’s certifying officers have evaluated the effectiveness of the Company’s disclosure controls and procedures and the Company’s internal control over financial reporting (collectively, “internal controls”)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such internal controls based on their evaluations as of the Evaluation Date. Since the Evaluation Date, there have been no significant changes in the Company’s internal controls or, to the Company’s Knowledge, in other factors that could materially affect the Company’s internal controls and there have been no material weaknesses in the Company’s internal control over financial reporting (whether or not remediated). The Company maintains and will continue to maintain a standard system of accounting established and administered in accordance with GAAP and the applicable requirements of the Exchange Act.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397" w:name="page398"/>
    <w:bookmarkEnd w:id="397"/>
    <w:p>
      <w:pPr>
        <w:ind w:left="1380" w:hanging="393"/>
        <w:spacing w:after="0"/>
        <w:tabs>
          <w:tab w:leader="none" w:pos="138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80" w:firstLine="987"/>
        <w:spacing w:after="0" w:line="254" w:lineRule="auto"/>
        <w:tabs>
          <w:tab w:leader="none" w:pos="1381"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Certain Fees</w:t>
      </w:r>
      <w:r>
        <w:rPr>
          <w:rFonts w:ascii="Arial" w:cs="Arial" w:eastAsia="Arial" w:hAnsi="Arial"/>
          <w:sz w:val="18"/>
          <w:szCs w:val="18"/>
          <w:color w:val="auto"/>
        </w:rPr>
        <w:t>. No person or entity will have, as a result of the transactions contemplated by this Agreement, any valid right,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or claim against or upon the Company or a Purchaser for any commission, fee or other compensation pursuant to any agreement, arrangement or understanding entered into by or on behalf of the Company, other than the Placement Agents with respect to the offer and sale of the Securities (which placement agent fees are being paid by the Company or Spyre, as the case may be). The Purchasers shall have no obligation with respect to any fees or with respect to any claims made by or on behalf of other Persons for fees of a type contemplated in this Section 3.1(v) that may be due in connection with the transactions contemplated by the Transaction Documents. The Company shall indemnify, pay, and hold each Purchaser harmless against, any liability, loss or expense (including, without limitation, attorneys’ fees and out-of-pocket expenses) arising in connection with any such right, interest or claim.</w:t>
      </w:r>
    </w:p>
    <w:p>
      <w:pPr>
        <w:spacing w:after="0" w:line="191" w:lineRule="exact"/>
        <w:rPr>
          <w:rFonts w:ascii="Arial" w:cs="Arial" w:eastAsia="Arial" w:hAnsi="Arial"/>
          <w:sz w:val="18"/>
          <w:szCs w:val="18"/>
          <w:b w:val="1"/>
          <w:bCs w:val="1"/>
          <w:color w:val="auto"/>
        </w:rPr>
      </w:pPr>
    </w:p>
    <w:p>
      <w:pPr>
        <w:ind w:right="20" w:firstLine="987"/>
        <w:spacing w:after="0" w:line="298" w:lineRule="auto"/>
        <w:tabs>
          <w:tab w:leader="none" w:pos="1421"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Private Placement</w:t>
      </w:r>
      <w:r>
        <w:rPr>
          <w:rFonts w:ascii="Arial" w:cs="Arial" w:eastAsia="Arial" w:hAnsi="Arial"/>
          <w:sz w:val="16"/>
          <w:szCs w:val="16"/>
          <w:color w:val="auto"/>
        </w:rPr>
        <w:t>. Assuming the accuracy of the Purchasers’ representations and warranties set forth in Section 3.2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 registration under the Securities Act is required for the offer and sale of the Securities by the Company to the Purchasers under the Transaction Documents (including, subject to the Company obtaining Requisite Stockholder Approval, the issuance of Conversion Shares upon the conversion of the Securities). The issuance and sale of the Securities hereunder (including, subject to the Company obtaining Requisite Stockholder Approval, the issuance of Conversion Shares upon the conversion of the Securities) does not contravene the rules and regulations of the Trading Market.</w:t>
      </w:r>
    </w:p>
    <w:p>
      <w:pPr>
        <w:spacing w:after="0" w:line="153" w:lineRule="exact"/>
        <w:rPr>
          <w:rFonts w:ascii="Arial" w:cs="Arial" w:eastAsia="Arial" w:hAnsi="Arial"/>
          <w:sz w:val="16"/>
          <w:szCs w:val="16"/>
          <w:b w:val="1"/>
          <w:bCs w:val="1"/>
          <w:color w:val="auto"/>
        </w:rPr>
      </w:pPr>
    </w:p>
    <w:p>
      <w:pPr>
        <w:ind w:right="520" w:firstLine="987"/>
        <w:spacing w:after="0" w:line="312" w:lineRule="auto"/>
        <w:tabs>
          <w:tab w:leader="none" w:pos="1381"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Company Not an “</w:t>
      </w:r>
      <w:r>
        <w:rPr>
          <w:rFonts w:ascii="Arial" w:cs="Arial" w:eastAsia="Arial" w:hAnsi="Arial"/>
          <w:sz w:val="17"/>
          <w:szCs w:val="17"/>
          <w:b w:val="1"/>
          <w:bCs w:val="1"/>
          <w:i w:val="1"/>
          <w:iCs w:val="1"/>
          <w:color w:val="auto"/>
        </w:rPr>
        <w:t>Investment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not, and will not be, immediately after receipt of payment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required to register as an “investment company” under the Investment Company Act of 1940, as amended.</w:t>
      </w:r>
    </w:p>
    <w:p>
      <w:pPr>
        <w:spacing w:after="0" w:line="139" w:lineRule="exact"/>
        <w:rPr>
          <w:rFonts w:ascii="Arial" w:cs="Arial" w:eastAsia="Arial" w:hAnsi="Arial"/>
          <w:sz w:val="17"/>
          <w:szCs w:val="17"/>
          <w:b w:val="1"/>
          <w:bCs w:val="1"/>
          <w:color w:val="auto"/>
        </w:rPr>
      </w:pPr>
    </w:p>
    <w:p>
      <w:pPr>
        <w:jc w:val="both"/>
        <w:ind w:right="360" w:firstLine="987"/>
        <w:spacing w:after="0" w:line="266" w:lineRule="auto"/>
        <w:tabs>
          <w:tab w:leader="none" w:pos="1381"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Rights</w:t>
      </w:r>
      <w:r>
        <w:rPr>
          <w:rFonts w:ascii="Arial" w:cs="Arial" w:eastAsia="Arial" w:hAnsi="Arial"/>
          <w:sz w:val="18"/>
          <w:szCs w:val="18"/>
          <w:color w:val="auto"/>
        </w:rPr>
        <w:t>. Other than each of the Purchasers, no Person has any right to cause the Company to effect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of the offer and sale of any securities of the Company other than those offers and sales which are currently registered on an effective registration statement on file with the Commission.</w:t>
      </w:r>
    </w:p>
    <w:p>
      <w:pPr>
        <w:spacing w:after="0" w:line="175" w:lineRule="exact"/>
        <w:rPr>
          <w:rFonts w:ascii="Arial" w:cs="Arial" w:eastAsia="Arial" w:hAnsi="Arial"/>
          <w:sz w:val="18"/>
          <w:szCs w:val="18"/>
          <w:b w:val="1"/>
          <w:bCs w:val="1"/>
          <w:color w:val="auto"/>
        </w:rPr>
      </w:pPr>
    </w:p>
    <w:p>
      <w:pPr>
        <w:ind w:firstLine="987"/>
        <w:spacing w:after="0" w:line="294" w:lineRule="auto"/>
        <w:tabs>
          <w:tab w:leader="none" w:pos="1371"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Listing and Maintenance Requirements</w:t>
      </w:r>
      <w:r>
        <w:rPr>
          <w:rFonts w:ascii="Arial" w:cs="Arial" w:eastAsia="Arial" w:hAnsi="Arial"/>
          <w:sz w:val="16"/>
          <w:szCs w:val="16"/>
          <w:color w:val="auto"/>
        </w:rPr>
        <w:t>. The Company’s Common Stock is registered pursuant to Section 12(b) or Section 12(g)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Exchange Act, and the Company has taken no action designed to terminate the registration of the Common Stock under the Exchange Act, nor has the Company received any notification that the Commission or the Principal Trading Market is contemplating terminating such registration or listing. The Company is, and immediately following the Closing will be, in compliance with all applicable listing requirements of the Principal Trading Market. The Company has filed with Nasdaq an additional shares listing application covering Conversion Shares and has not received any objections from Nasdaq with respect to such application with respect to the transactions contemplated hereby or by the Merger Agreement.</w:t>
      </w:r>
    </w:p>
    <w:p>
      <w:pPr>
        <w:spacing w:after="0" w:line="160" w:lineRule="exact"/>
        <w:rPr>
          <w:sz w:val="20"/>
          <w:szCs w:val="20"/>
          <w:color w:val="auto"/>
        </w:rPr>
      </w:pPr>
    </w:p>
    <w:p>
      <w:pPr>
        <w:ind w:firstLine="987"/>
        <w:spacing w:after="0" w:line="255" w:lineRule="auto"/>
        <w:tabs>
          <w:tab w:leader="none" w:pos="1471"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The Company confirms that it has not provided, and to the Company’s Knowledge, none of its officers or directors nor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Person acting on its or their behalf (including, without limitation, the Placement Agents) has provided, and it has not authorized the Placement Agents to provide, any Purchaser or its respective agents or counsel with any information that it believes constitutes material, non-public information except insofar as the existence, provisions and terms of the Transaction Documents, the Merger Agreement, and the proposed transactions hereunder and thereunder may constitute such information, all of which will be disclosed by the Company in the Press Release as contemplated by Section 4.4 hereof. The Company understands and confirms that the Purchasers will rely on the foregoing representations in effecting transactions in securities of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98" w:name="page399"/>
    <w:bookmarkEnd w:id="398"/>
    <w:p>
      <w:pPr>
        <w:ind w:left="4" w:right="40" w:firstLine="987"/>
        <w:spacing w:after="0" w:line="272" w:lineRule="auto"/>
        <w:tabs>
          <w:tab w:leader="none" w:pos="1495" w:val="left"/>
        </w:tabs>
        <w:numPr>
          <w:ilvl w:val="1"/>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Integrated Offering</w:t>
      </w:r>
      <w:r>
        <w:rPr>
          <w:rFonts w:ascii="Arial" w:cs="Arial" w:eastAsia="Arial" w:hAnsi="Arial"/>
          <w:sz w:val="17"/>
          <w:szCs w:val="17"/>
          <w:color w:val="auto"/>
        </w:rPr>
        <w:t>. Assuming the accuracy of the Purchasers’ representations and warranties set forth in Section 3.2, and</w:t>
      </w:r>
      <w:r>
        <w:rPr>
          <w:rFonts w:ascii="Arial" w:cs="Arial" w:eastAsia="Arial" w:hAnsi="Arial"/>
          <w:sz w:val="17"/>
          <w:szCs w:val="17"/>
          <w:b w:val="1"/>
          <w:bCs w:val="1"/>
          <w:color w:val="auto"/>
        </w:rPr>
        <w:t xml:space="preserve"> </w:t>
      </w:r>
      <w:r>
        <w:rPr>
          <w:rFonts w:ascii="Arial" w:cs="Arial" w:eastAsia="Arial" w:hAnsi="Arial"/>
          <w:sz w:val="17"/>
          <w:szCs w:val="17"/>
          <w:color w:val="auto"/>
        </w:rPr>
        <w:t>except with respect to the capital stock to be issued pursuant to the Merger Agreement, none of the Company, its Subsidiaries nor, to the Company’s Knowledge, any of its Affiliates or any Person acting on its behalf has, directly or indirectly, at any time within the past six (6) months, made any offers or sales of any Company security or solicited any offers to buy any security under circumstances that would (i) eliminate the availability of the exemption from registration under the Securities Act, including Regulation D, in connection with the offer and sale by the Company of the Securities as contemplated hereby or (ii) cause the offering of the Securities pursuant to the Transaction Documents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w:t>
      </w:r>
    </w:p>
    <w:p>
      <w:pPr>
        <w:spacing w:after="0" w:line="171" w:lineRule="exact"/>
        <w:rPr>
          <w:rFonts w:ascii="Arial" w:cs="Arial" w:eastAsia="Arial" w:hAnsi="Arial"/>
          <w:sz w:val="17"/>
          <w:szCs w:val="17"/>
          <w:b w:val="1"/>
          <w:bCs w:val="1"/>
          <w:color w:val="auto"/>
        </w:rPr>
      </w:pPr>
    </w:p>
    <w:p>
      <w:pPr>
        <w:ind w:left="4" w:firstLine="987"/>
        <w:spacing w:after="0" w:line="270" w:lineRule="auto"/>
        <w:tabs>
          <w:tab w:leader="none" w:pos="1455" w:val="left"/>
        </w:tabs>
        <w:numPr>
          <w:ilvl w:val="1"/>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 The Company and each of its Subsidiaries has timely filed all income tax returns and all other material tax returns that</w:t>
      </w:r>
      <w:r>
        <w:rPr>
          <w:rFonts w:ascii="Arial" w:cs="Arial" w:eastAsia="Arial" w:hAnsi="Arial"/>
          <w:sz w:val="17"/>
          <w:szCs w:val="17"/>
          <w:b w:val="1"/>
          <w:bCs w:val="1"/>
          <w:color w:val="auto"/>
        </w:rPr>
        <w:t xml:space="preserve"> </w:t>
      </w:r>
      <w:r>
        <w:rPr>
          <w:rFonts w:ascii="Arial" w:cs="Arial" w:eastAsia="Arial" w:hAnsi="Arial"/>
          <w:sz w:val="17"/>
          <w:szCs w:val="17"/>
          <w:color w:val="auto"/>
        </w:rPr>
        <w:t>were required to be filed by or with respect to it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the Company or any of its Subsidiaries does not file tax returns that the Company or any of its Subsidiaries is subject to taxation by that jurisdiction. All material amounts of taxes due and owing by the Company and each of its Subsidiaries (whether or not shown on any tax return) have been timely paid. The unpaid taxes of the Company and each of its Subsidiaries for periods (or portions thereof) ending on or prior to the date of the Unaudited Interim Balance Sheet do not materially exceed the accruals for current taxes set forth on the Unaudited Interim Balance Sheet. Since the date of the Unaudited Interim Balance Sheet, neither the Company nor any of its Subsidiaries has incurred any material liability for taxes outside the ordinary course of business or otherwise inconsistent with past custom and practice. The Company is classified as a Subchapter C corporation for U.S. federal tax purposes.</w:t>
      </w:r>
    </w:p>
    <w:p>
      <w:pPr>
        <w:spacing w:after="0" w:line="176" w:lineRule="exact"/>
        <w:rPr>
          <w:rFonts w:ascii="Arial" w:cs="Arial" w:eastAsia="Arial" w:hAnsi="Arial"/>
          <w:sz w:val="17"/>
          <w:szCs w:val="17"/>
          <w:b w:val="1"/>
          <w:bCs w:val="1"/>
          <w:color w:val="auto"/>
        </w:rPr>
      </w:pPr>
    </w:p>
    <w:p>
      <w:pPr>
        <w:ind w:left="4" w:firstLine="987"/>
        <w:spacing w:after="0" w:line="283" w:lineRule="auto"/>
        <w:tabs>
          <w:tab w:leader="none" w:pos="1495" w:val="left"/>
        </w:tabs>
        <w:numPr>
          <w:ilvl w:val="1"/>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Environmental Laws</w:t>
      </w:r>
      <w:r>
        <w:rPr>
          <w:rFonts w:ascii="Arial" w:cs="Arial" w:eastAsia="Arial" w:hAnsi="Arial"/>
          <w:sz w:val="16"/>
          <w:szCs w:val="16"/>
          <w:color w:val="auto"/>
        </w:rPr>
        <w:t>. Since January 1, 2021, the Company and each of its Subsidiaries has complied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or reasonably be expected to result in a Material Adverse Effect. Neither the Company nor any of its Subsidiaries has received since January 1, 2021, any written notice or other communication (in writing or otherwise), whether from a Governmental Authority, citizens group, employee or otherwise, that alleges that the Company or any of its Subsidiaries is not in compliance with any Environmental Law, and, to the Company’s Knowledge, there are no circumstances that may prevent or interfere with the Company’s or any of its Subsidiaries’ compliance with any Environmental Law in the future, except where such failure to comply would not reasonably be expected to have a Material Adverse Effect. To the Company’s Knowledge: (i) no current or prior owner of any property leased or controlled by the Company or any of its Subsidiaries has received, since January 1, 2021, any written notice or other communication relating to property owned or leased at any time by the Company or any of its Subsidiaries, whether from a Governmental Authority, citizens group, employee or otherwise, that alleges that such current or prior owner or the Company or any of its Subsidiaries is not in compliance with or violated any Environmental Law relating to such property and</w:t>
      </w:r>
    </w:p>
    <w:p>
      <w:pPr>
        <w:spacing w:after="0" w:line="4" w:lineRule="exact"/>
        <w:rPr>
          <w:rFonts w:ascii="Arial" w:cs="Arial" w:eastAsia="Arial" w:hAnsi="Arial"/>
          <w:sz w:val="16"/>
          <w:szCs w:val="16"/>
          <w:b w:val="1"/>
          <w:bCs w:val="1"/>
          <w:color w:val="auto"/>
        </w:rPr>
      </w:pPr>
    </w:p>
    <w:p>
      <w:pPr>
        <w:ind w:left="264" w:hanging="264"/>
        <w:spacing w:after="0"/>
        <w:tabs>
          <w:tab w:leader="none" w:pos="26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material liability under any Environmental Law.</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399" w:name="page400"/>
    <w:bookmarkEnd w:id="399"/>
    <w:p>
      <w:pPr>
        <w:ind w:left="4" w:firstLine="987"/>
        <w:spacing w:after="0" w:line="261" w:lineRule="auto"/>
        <w:tabs>
          <w:tab w:leader="none" w:pos="1455"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General Solicitation</w:t>
      </w:r>
      <w:r>
        <w:rPr>
          <w:rFonts w:ascii="Arial" w:cs="Arial" w:eastAsia="Arial" w:hAnsi="Arial"/>
          <w:sz w:val="18"/>
          <w:szCs w:val="18"/>
          <w:color w:val="auto"/>
        </w:rPr>
        <w:t>. Neither the Company nor, to the Company’s Knowledge, any person acting on behalf of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offered or sold any of the Securities or Conversion Shares, or solicited any offers to buy any Securities or Conversion Shares, under any circumstances that would require registration under the Securities Act of the Securities or the Conversion Shares, including by any form of general solicitation or general advertising.</w:t>
      </w:r>
    </w:p>
    <w:p>
      <w:pPr>
        <w:spacing w:after="0" w:line="179" w:lineRule="exact"/>
        <w:rPr>
          <w:rFonts w:ascii="Arial" w:cs="Arial" w:eastAsia="Arial" w:hAnsi="Arial"/>
          <w:sz w:val="18"/>
          <w:szCs w:val="18"/>
          <w:b w:val="1"/>
          <w:bCs w:val="1"/>
          <w:color w:val="auto"/>
        </w:rPr>
      </w:pPr>
    </w:p>
    <w:p>
      <w:pPr>
        <w:ind w:left="4" w:firstLine="987"/>
        <w:spacing w:after="0" w:line="285" w:lineRule="auto"/>
        <w:tabs>
          <w:tab w:leader="none" w:pos="1415" w:val="left"/>
        </w:tabs>
        <w:numPr>
          <w:ilvl w:val="1"/>
          <w:numId w:val="289"/>
        </w:numPr>
        <w:rPr>
          <w:rFonts w:ascii="Arial" w:cs="Arial" w:eastAsia="Arial" w:hAnsi="Arial"/>
          <w:sz w:val="16"/>
          <w:szCs w:val="16"/>
          <w:b w:val="1"/>
          <w:bCs w:val="1"/>
          <w:color w:val="auto"/>
        </w:rPr>
      </w:pPr>
      <w:r>
        <w:rPr>
          <w:rFonts w:ascii="Arial" w:cs="Arial" w:eastAsia="Arial" w:hAnsi="Arial"/>
          <w:sz w:val="16"/>
          <w:szCs w:val="16"/>
          <w:b w:val="1"/>
          <w:bCs w:val="1"/>
          <w:color w:val="auto"/>
        </w:rPr>
        <w:t>Anti-Corruption and Anti-Bribery Laws</w:t>
      </w:r>
      <w:r>
        <w:rPr>
          <w:rFonts w:ascii="Arial" w:cs="Arial" w:eastAsia="Arial" w:hAnsi="Arial"/>
          <w:sz w:val="16"/>
          <w:szCs w:val="16"/>
          <w:color w:val="auto"/>
        </w:rPr>
        <w:t>. Neither the Company nor any of its Subsidiaries nor any director, officer, or employee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of its Subsidiaries, nor to the Company’s Knowledge,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non-U.S. or domestic government official or employee, including of any government-owned or controlled entity or public international organization, or any political party, party official, or candidate for political office;</w:t>
      </w:r>
    </w:p>
    <w:p>
      <w:pPr>
        <w:spacing w:after="0" w:line="3" w:lineRule="exact"/>
        <w:rPr>
          <w:rFonts w:ascii="Arial" w:cs="Arial" w:eastAsia="Arial" w:hAnsi="Arial"/>
          <w:sz w:val="16"/>
          <w:szCs w:val="16"/>
          <w:b w:val="1"/>
          <w:bCs w:val="1"/>
          <w:color w:val="auto"/>
        </w:rPr>
      </w:pPr>
    </w:p>
    <w:p>
      <w:pPr>
        <w:ind w:left="4" w:hanging="4"/>
        <w:spacing w:after="0" w:line="292" w:lineRule="auto"/>
        <w:tabs>
          <w:tab w:leader="none" w:pos="319" w:val="left"/>
        </w:tabs>
        <w:numPr>
          <w:ilvl w:val="0"/>
          <w:numId w:val="290"/>
        </w:numPr>
        <w:rPr>
          <w:rFonts w:ascii="Arial" w:cs="Arial" w:eastAsia="Arial" w:hAnsi="Arial"/>
          <w:sz w:val="16"/>
          <w:szCs w:val="16"/>
          <w:color w:val="auto"/>
        </w:rPr>
      </w:pPr>
      <w:r>
        <w:rPr>
          <w:rFonts w:ascii="Arial" w:cs="Arial" w:eastAsia="Arial" w:hAnsi="Arial"/>
          <w:sz w:val="16"/>
          <w:szCs w:val="16"/>
          <w:color w:val="auto"/>
        </w:rPr>
        <w:t>violated or is in violation of any provision of the U.S. Foreign Corrupt Practices Act of 1977, as amended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58" w:lineRule="exact"/>
        <w:rPr>
          <w:rFonts w:ascii="Arial" w:cs="Arial" w:eastAsia="Arial" w:hAnsi="Arial"/>
          <w:sz w:val="16"/>
          <w:szCs w:val="16"/>
          <w:color w:val="auto"/>
        </w:rPr>
      </w:pPr>
    </w:p>
    <w:p>
      <w:pPr>
        <w:ind w:left="4" w:right="20" w:firstLine="987"/>
        <w:spacing w:after="0" w:line="274" w:lineRule="auto"/>
        <w:tabs>
          <w:tab w:leader="none" w:pos="1475" w:val="left"/>
        </w:tabs>
        <w:numPr>
          <w:ilvl w:val="1"/>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applicable financial recordkeeping and reporting requirements of the USA Patriot Act, the Bank Secrecy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or non-governmental authority involving the Company or its Subsidiaries with respect to the Money Laundering Laws is pending or, to the Company’s Knowledge, threatened.</w:t>
      </w:r>
    </w:p>
    <w:p>
      <w:pPr>
        <w:spacing w:after="0" w:line="173" w:lineRule="exact"/>
        <w:rPr>
          <w:rFonts w:ascii="Arial" w:cs="Arial" w:eastAsia="Arial" w:hAnsi="Arial"/>
          <w:sz w:val="17"/>
          <w:szCs w:val="17"/>
          <w:b w:val="1"/>
          <w:bCs w:val="1"/>
          <w:color w:val="auto"/>
        </w:rPr>
      </w:pPr>
    </w:p>
    <w:p>
      <w:pPr>
        <w:ind w:left="4" w:right="40" w:firstLine="987"/>
        <w:spacing w:after="0" w:line="291" w:lineRule="auto"/>
        <w:tabs>
          <w:tab w:leader="none" w:pos="1495" w:val="left"/>
        </w:tabs>
        <w:numPr>
          <w:ilvl w:val="1"/>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OFAC</w:t>
      </w:r>
      <w:r>
        <w:rPr>
          <w:rFonts w:ascii="Arial" w:cs="Arial" w:eastAsia="Arial" w:hAnsi="Arial"/>
          <w:sz w:val="16"/>
          <w:szCs w:val="16"/>
          <w:color w:val="auto"/>
        </w:rPr>
        <w:t>. Neither the Company nor its Subsidiaries nor any of their respective Affiliates, directors, officers, nor to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any agent or employee of the Company or its Subsidiaries is subject to any sanctions administered or enforced by the Office of Foreign Assets Control (“</w:t>
      </w:r>
      <w:r>
        <w:rPr>
          <w:rFonts w:ascii="Arial" w:cs="Arial" w:eastAsia="Arial" w:hAnsi="Arial"/>
          <w:sz w:val="16"/>
          <w:szCs w:val="16"/>
          <w:b w:val="1"/>
          <w:bCs w:val="1"/>
          <w:i w:val="1"/>
          <w:iCs w:val="1"/>
          <w:color w:val="auto"/>
        </w:rPr>
        <w:t>OFAC</w:t>
      </w:r>
      <w:r>
        <w:rPr>
          <w:rFonts w:ascii="Arial" w:cs="Arial" w:eastAsia="Arial" w:hAnsi="Arial"/>
          <w:sz w:val="16"/>
          <w:szCs w:val="16"/>
          <w:color w:val="auto"/>
        </w:rPr>
        <w:t>”) of the United States Treasury Department, the U.S. Department of State, the United Nations Security Council, the European Union, His Majesty’s Treasury or any other relevant sanctions authority; and the Company will not directly or indirectly use the proceeds of the offering of the securities contemplated hereby, or lend, contribute or otherwise make available such proceeds to any subsidiary, joint venture partner or other person or entity for the purpose of financing the activities of any person that is the target of sanctions administered or enforced by such authorities or in connection with any country or territory that is the target of country- or territory-wide OFAC sanctions (currently, Iran, Syria, Cuba, North Korea, the Crimea, so-called Donetsk People’s Republic, and so-called Luhansk People’s Republic regions of Ukraine).</w:t>
      </w:r>
    </w:p>
    <w:p>
      <w:pPr>
        <w:spacing w:after="0" w:line="159" w:lineRule="exact"/>
        <w:rPr>
          <w:rFonts w:ascii="Arial" w:cs="Arial" w:eastAsia="Arial" w:hAnsi="Arial"/>
          <w:sz w:val="16"/>
          <w:szCs w:val="16"/>
          <w:b w:val="1"/>
          <w:bCs w:val="1"/>
          <w:color w:val="auto"/>
        </w:rPr>
      </w:pPr>
    </w:p>
    <w:p>
      <w:pPr>
        <w:jc w:val="both"/>
        <w:ind w:left="4" w:right="600" w:firstLine="987"/>
        <w:spacing w:after="0" w:line="289" w:lineRule="auto"/>
        <w:tabs>
          <w:tab w:leader="none" w:pos="1395" w:val="left"/>
        </w:tabs>
        <w:numPr>
          <w:ilvl w:val="1"/>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Off Balance Sheet Arrangements</w:t>
      </w:r>
      <w:r>
        <w:rPr>
          <w:rFonts w:ascii="Arial" w:cs="Arial" w:eastAsia="Arial" w:hAnsi="Arial"/>
          <w:sz w:val="17"/>
          <w:szCs w:val="17"/>
          <w:color w:val="auto"/>
        </w:rPr>
        <w:t>. There is no transaction, arrangement, or other relationship between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and an unconsolidated or other off balance sheet entity that is required to be disclosed by the Company in SEC Reports and is not so disclosed and would have or reasonably be expected to result in a Material Adverse Effect.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400" w:name="page401"/>
    <w:bookmarkEnd w:id="400"/>
    <w:p>
      <w:pPr>
        <w:ind w:firstLine="987"/>
        <w:spacing w:after="0" w:line="271" w:lineRule="auto"/>
        <w:tabs>
          <w:tab w:leader="none" w:pos="1411"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Acknowledgment Regarding Purchaser’s Purchase of Securities</w:t>
      </w:r>
      <w:r>
        <w:rPr>
          <w:rFonts w:ascii="Arial" w:cs="Arial" w:eastAsia="Arial" w:hAnsi="Arial"/>
          <w:sz w:val="17"/>
          <w:szCs w:val="17"/>
          <w:color w:val="auto"/>
        </w:rPr>
        <w:t>. The Company acknowledges and agrees that each Purchaser is</w:t>
      </w:r>
      <w:r>
        <w:rPr>
          <w:rFonts w:ascii="Arial" w:cs="Arial" w:eastAsia="Arial" w:hAnsi="Arial"/>
          <w:sz w:val="17"/>
          <w:szCs w:val="17"/>
          <w:b w:val="1"/>
          <w:bCs w:val="1"/>
          <w:color w:val="auto"/>
        </w:rPr>
        <w:t xml:space="preserve"> </w:t>
      </w:r>
      <w:r>
        <w:rPr>
          <w:rFonts w:ascii="Arial" w:cs="Arial" w:eastAsia="Arial" w:hAnsi="Arial"/>
          <w:sz w:val="17"/>
          <w:szCs w:val="17"/>
          <w:color w:val="auto"/>
        </w:rPr>
        <w:t>acting solely in the capacity of an arm’s length purchaser with respect to this Agreement and the other Transaction Documents and the transactions contemplated hereby and thereby, and that the obligations of each Purchaser under this Agreement and the other Transaction Documents are several and not joint. The Company further acknowledges that no Purchaser is acting as a financial advisor or fiduciary of the Company or any of its Subsidiaries (or in any similar capacity) with respect to this Agreement and the other Transaction Documents and the transactions contemplated hereby and thereby, and any advice given by a Purchaser or any of its representatives or agents in connection with this Agreement and the other Transaction Documents and the transactions contemplated hereby and thereby is merely incidental to such Purchaser’s purchase of the Securities. The Company further represents to each Purchaser that the Company’s decision to enter into the Transaction Documents has been based solely on the independent evaluation by the Company and its representatives.</w:t>
      </w:r>
    </w:p>
    <w:p>
      <w:pPr>
        <w:spacing w:after="0" w:line="173" w:lineRule="exact"/>
        <w:rPr>
          <w:rFonts w:ascii="Arial" w:cs="Arial" w:eastAsia="Arial" w:hAnsi="Arial"/>
          <w:sz w:val="17"/>
          <w:szCs w:val="17"/>
          <w:b w:val="1"/>
          <w:bCs w:val="1"/>
          <w:color w:val="auto"/>
        </w:rPr>
      </w:pPr>
    </w:p>
    <w:p>
      <w:pPr>
        <w:ind w:right="160" w:firstLine="987"/>
        <w:spacing w:after="0" w:line="261" w:lineRule="auto"/>
        <w:tabs>
          <w:tab w:leader="none" w:pos="1491"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No Price Stabilization or Manipulation; Compliance with Regulation M</w:t>
      </w:r>
      <w:r>
        <w:rPr>
          <w:rFonts w:ascii="Arial" w:cs="Arial" w:eastAsia="Arial" w:hAnsi="Arial"/>
          <w:sz w:val="18"/>
          <w:szCs w:val="18"/>
          <w:color w:val="auto"/>
        </w:rPr>
        <w:t>. Neither the Company nor any of its Subsidiaries has</w:t>
      </w:r>
      <w:r>
        <w:rPr>
          <w:rFonts w:ascii="Arial" w:cs="Arial" w:eastAsia="Arial" w:hAnsi="Arial"/>
          <w:sz w:val="18"/>
          <w:szCs w:val="18"/>
          <w:b w:val="1"/>
          <w:bCs w:val="1"/>
          <w:color w:val="auto"/>
        </w:rPr>
        <w:t xml:space="preserve"> </w:t>
      </w:r>
      <w:r>
        <w:rPr>
          <w:rFonts w:ascii="Arial" w:cs="Arial" w:eastAsia="Arial" w:hAnsi="Arial"/>
          <w:sz w:val="18"/>
          <w:szCs w:val="18"/>
          <w:color w:val="auto"/>
        </w:rPr>
        <w:t>taken, directly or indirectly, any action designed to or that might cause or result in stabilization or manipulation of the price of any security of the Company to facilitate the sale or resale of the Securities or Conversion Shares or otherwise, and has taken no action which would directly or indirectly violate Regulation M under the Exchange Act.</w:t>
      </w:r>
    </w:p>
    <w:p>
      <w:pPr>
        <w:spacing w:after="0" w:line="179" w:lineRule="exact"/>
        <w:rPr>
          <w:rFonts w:ascii="Arial" w:cs="Arial" w:eastAsia="Arial" w:hAnsi="Arial"/>
          <w:sz w:val="18"/>
          <w:szCs w:val="18"/>
          <w:b w:val="1"/>
          <w:bCs w:val="1"/>
          <w:color w:val="auto"/>
        </w:rPr>
      </w:pPr>
    </w:p>
    <w:p>
      <w:pPr>
        <w:ind w:firstLine="987"/>
        <w:spacing w:after="0" w:line="269" w:lineRule="auto"/>
        <w:tabs>
          <w:tab w:leader="none" w:pos="1391"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Clinical Data and Regulatory Compliance</w:t>
      </w:r>
      <w:r>
        <w:rPr>
          <w:rFonts w:ascii="Arial" w:cs="Arial" w:eastAsia="Arial" w:hAnsi="Arial"/>
          <w:sz w:val="17"/>
          <w:szCs w:val="17"/>
          <w:color w:val="auto"/>
        </w:rPr>
        <w:t>. The preclinical tests and clinical trials, and other studies (collectively, “</w:t>
      </w:r>
      <w:r>
        <w:rPr>
          <w:rFonts w:ascii="Arial" w:cs="Arial" w:eastAsia="Arial" w:hAnsi="Arial"/>
          <w:sz w:val="17"/>
          <w:szCs w:val="17"/>
          <w:b w:val="1"/>
          <w:bCs w:val="1"/>
          <w:i w:val="1"/>
          <w:iCs w:val="1"/>
          <w:color w:val="auto"/>
        </w:rPr>
        <w:t>studies</w:t>
      </w:r>
      <w:r>
        <w:rPr>
          <w:rFonts w:ascii="Arial" w:cs="Arial" w:eastAsia="Arial" w:hAnsi="Arial"/>
          <w:sz w:val="17"/>
          <w:szCs w:val="17"/>
          <w:color w:val="auto"/>
        </w:rPr>
        <w:t>”)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described in, or the results of which are referred to in, the SEC Reports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SEC Reports. The Company and its Subsidiaries have made all such filings and obtained all such approvals as may be required by the Food and Drug Administration of the U.S. Department of Health and Human Services or any committee thereof or from any other U.S. or non-U.S. government or drug or medical device regulatory agency, or health care facility Institutional Review Board (collectively, the “</w:t>
      </w:r>
      <w:r>
        <w:rPr>
          <w:rFonts w:ascii="Arial" w:cs="Arial" w:eastAsia="Arial" w:hAnsi="Arial"/>
          <w:sz w:val="17"/>
          <w:szCs w:val="17"/>
          <w:b w:val="1"/>
          <w:bCs w:val="1"/>
          <w:i w:val="1"/>
          <w:iCs w:val="1"/>
          <w:color w:val="auto"/>
        </w:rPr>
        <w:t>Regulatory Agencies</w:t>
      </w:r>
      <w:r>
        <w:rPr>
          <w:rFonts w:ascii="Arial" w:cs="Arial" w:eastAsia="Arial" w:hAnsi="Arial"/>
          <w:sz w:val="17"/>
          <w:szCs w:val="17"/>
          <w:color w:val="auto"/>
        </w:rPr>
        <w:t>”). Neither the Company nor any of its Subsidiaries has received any notice of, or correspondence from, any Regulatory Agency requiring the termination, suspension or modification of any clinical trials that are described or referred to in the SEC Reports. The Company and its Subsidiaries have each operated and currently are in compliance in all material respects with all applicable rules, regulations and policies of the Regulatory Agencies.</w:t>
      </w:r>
    </w:p>
    <w:p>
      <w:pPr>
        <w:spacing w:after="0" w:line="178" w:lineRule="exact"/>
        <w:rPr>
          <w:rFonts w:ascii="Arial" w:cs="Arial" w:eastAsia="Arial" w:hAnsi="Arial"/>
          <w:sz w:val="17"/>
          <w:szCs w:val="17"/>
          <w:b w:val="1"/>
          <w:bCs w:val="1"/>
          <w:color w:val="auto"/>
        </w:rPr>
      </w:pPr>
    </w:p>
    <w:p>
      <w:pPr>
        <w:ind w:right="520" w:firstLine="987"/>
        <w:spacing w:after="0" w:line="347" w:lineRule="auto"/>
        <w:tabs>
          <w:tab w:leader="none" w:pos="1591"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No Additional Agreements</w:t>
      </w:r>
      <w:r>
        <w:rPr>
          <w:rFonts w:ascii="Arial" w:cs="Arial" w:eastAsia="Arial" w:hAnsi="Arial"/>
          <w:sz w:val="16"/>
          <w:szCs w:val="16"/>
          <w:color w:val="auto"/>
        </w:rPr>
        <w:t>. The Company does not have any agreement or understanding (including side letters)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with respect to the transactions contemplated by the Transaction Documents other than as specified in the Transaction Documents.</w:t>
      </w:r>
    </w:p>
    <w:p>
      <w:pPr>
        <w:spacing w:after="0" w:line="115" w:lineRule="exact"/>
        <w:rPr>
          <w:rFonts w:ascii="Arial" w:cs="Arial" w:eastAsia="Arial" w:hAnsi="Arial"/>
          <w:sz w:val="16"/>
          <w:szCs w:val="16"/>
          <w:b w:val="1"/>
          <w:bCs w:val="1"/>
          <w:color w:val="auto"/>
        </w:rPr>
      </w:pPr>
    </w:p>
    <w:p>
      <w:pPr>
        <w:ind w:left="1480" w:hanging="493"/>
        <w:spacing w:after="0"/>
        <w:tabs>
          <w:tab w:leader="none" w:pos="148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No Disqualification Events</w:t>
      </w:r>
      <w:r>
        <w:rPr>
          <w:rFonts w:ascii="Arial" w:cs="Arial" w:eastAsia="Arial" w:hAnsi="Arial"/>
          <w:sz w:val="17"/>
          <w:szCs w:val="17"/>
          <w:color w:val="auto"/>
        </w:rPr>
        <w:t>. No “bad actor” disqualifying event described in Rule 506(d)(1)(i)-(viii) of the Securities Act (a</w:t>
      </w:r>
    </w:p>
    <w:p>
      <w:pPr>
        <w:spacing w:after="0" w:line="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Disqualification Event</w:t>
      </w:r>
      <w:r>
        <w:rPr>
          <w:rFonts w:ascii="Arial" w:cs="Arial" w:eastAsia="Arial" w:hAnsi="Arial"/>
          <w:sz w:val="18"/>
          <w:szCs w:val="18"/>
          <w:color w:val="auto"/>
        </w:rPr>
        <w:t>”) is applicable to the Company or, to the Company’s Knowledge, any Company Covered Person (as defined below), except for a Disqualification Event as to which Rule 506(d)(2)(ii)-(iv) or (d)(3), is applicable. “</w:t>
      </w:r>
      <w:r>
        <w:rPr>
          <w:rFonts w:ascii="Arial" w:cs="Arial" w:eastAsia="Arial" w:hAnsi="Arial"/>
          <w:sz w:val="18"/>
          <w:szCs w:val="18"/>
          <w:b w:val="1"/>
          <w:bCs w:val="1"/>
          <w:i w:val="1"/>
          <w:iCs w:val="1"/>
          <w:color w:val="auto"/>
        </w:rPr>
        <w:t>Company Covered Person</w:t>
      </w:r>
      <w:r>
        <w:rPr>
          <w:rFonts w:ascii="Arial" w:cs="Arial" w:eastAsia="Arial" w:hAnsi="Arial"/>
          <w:sz w:val="18"/>
          <w:szCs w:val="18"/>
          <w:color w:val="auto"/>
        </w:rPr>
        <w:t>” means, with respect to the Company as an “issuer” for purposes of Rule 506 promulgated under the Securities Act, any person listed in the first paragraph of Rule 506(d)(1). Other than the Placement Agents, the Company is not aware of any Person (other than any Company Covered Person) that has been or will be paid (directly or indirectly) remuneration for solicitation of purchasers in connection with the sale of the Securities or the Conversion Shares pursuant to this Agreement. The Company has complied, to the extent applicable, with its disclosure obligations under Rule 506(e), and has furnished to the Placement Agents a copy of any disclosures provided thereunder.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401" w:name="page402"/>
    <w:bookmarkEnd w:id="401"/>
    <w:p>
      <w:pPr>
        <w:ind w:left="1460" w:hanging="473"/>
        <w:spacing w:after="0"/>
        <w:tabs>
          <w:tab w:leader="none" w:pos="1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Shell Company Status</w:t>
      </w:r>
      <w:r>
        <w:rPr>
          <w:rFonts w:ascii="Arial" w:cs="Arial" w:eastAsia="Arial" w:hAnsi="Arial"/>
          <w:sz w:val="18"/>
          <w:szCs w:val="18"/>
          <w:color w:val="auto"/>
        </w:rPr>
        <w:t>. The Company is not, and has never been, an issuer identified in Rule 144(i)(1).</w:t>
      </w:r>
    </w:p>
    <w:p>
      <w:pPr>
        <w:spacing w:after="0" w:line="225" w:lineRule="exact"/>
        <w:rPr>
          <w:rFonts w:ascii="Arial" w:cs="Arial" w:eastAsia="Arial" w:hAnsi="Arial"/>
          <w:sz w:val="18"/>
          <w:szCs w:val="18"/>
          <w:b w:val="1"/>
          <w:bCs w:val="1"/>
          <w:color w:val="auto"/>
        </w:rPr>
      </w:pPr>
    </w:p>
    <w:p>
      <w:pPr>
        <w:ind w:right="40" w:firstLine="987"/>
        <w:spacing w:after="0" w:line="284" w:lineRule="auto"/>
        <w:tabs>
          <w:tab w:leader="none" w:pos="1491" w:val="left"/>
        </w:tabs>
        <w:numPr>
          <w:ilvl w:val="0"/>
          <w:numId w:val="292"/>
        </w:numPr>
        <w:rPr>
          <w:rFonts w:ascii="Arial" w:cs="Arial" w:eastAsia="Arial" w:hAnsi="Arial"/>
          <w:sz w:val="16"/>
          <w:szCs w:val="16"/>
          <w:b w:val="1"/>
          <w:bCs w:val="1"/>
          <w:color w:val="auto"/>
        </w:rPr>
      </w:pPr>
      <w:r>
        <w:rPr>
          <w:rFonts w:ascii="Arial" w:cs="Arial" w:eastAsia="Arial" w:hAnsi="Arial"/>
          <w:sz w:val="16"/>
          <w:szCs w:val="16"/>
          <w:b w:val="1"/>
          <w:bCs w:val="1"/>
          <w:color w:val="auto"/>
        </w:rPr>
        <w:t>Security</w:t>
      </w:r>
      <w:r>
        <w:rPr>
          <w:rFonts w:ascii="Arial" w:cs="Arial" w:eastAsia="Arial" w:hAnsi="Arial"/>
          <w:sz w:val="16"/>
          <w:szCs w:val="16"/>
          <w:color w:val="auto"/>
        </w:rPr>
        <w:t>. Except as would not reasonably be expected to have a Material Adverse Effect, the Company and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assets and equipment, computers, systems, networks, hardware, software, websites, applications, and databases (collectively, “</w:t>
      </w:r>
      <w:r>
        <w:rPr>
          <w:rFonts w:ascii="Arial" w:cs="Arial" w:eastAsia="Arial" w:hAnsi="Arial"/>
          <w:sz w:val="16"/>
          <w:szCs w:val="16"/>
          <w:b w:val="1"/>
          <w:bCs w:val="1"/>
          <w:i w:val="1"/>
          <w:iCs w:val="1"/>
          <w:color w:val="auto"/>
        </w:rPr>
        <w:t>IT Systems</w:t>
      </w:r>
      <w:r>
        <w:rPr>
          <w:rFonts w:ascii="Arial" w:cs="Arial" w:eastAsia="Arial" w:hAnsi="Arial"/>
          <w:sz w:val="16"/>
          <w:szCs w:val="16"/>
          <w:color w:val="auto"/>
        </w:rPr>
        <w:t>”) are adequate for, and operate and perform in all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Arial" w:cs="Arial" w:eastAsia="Arial" w:hAnsi="Arial"/>
          <w:sz w:val="16"/>
          <w:szCs w:val="16"/>
          <w:b w:val="1"/>
          <w:bCs w:val="1"/>
          <w:i w:val="1"/>
          <w:iCs w:val="1"/>
          <w:color w:val="auto"/>
        </w:rPr>
        <w:t>Confidential Data</w:t>
      </w:r>
      <w:r>
        <w:rPr>
          <w:rFonts w:ascii="Arial" w:cs="Arial" w:eastAsia="Arial" w:hAnsi="Arial"/>
          <w:sz w:val="16"/>
          <w:szCs w:val="16"/>
          <w:color w:val="auto"/>
        </w:rPr>
        <w:t>”) used or maintained in connection with their businesses and Personal Data, and the integrity, availability continuous operation, redundancy and security of all IT Systems. “Personal Data”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bank information, or customer or account number; (ii) information that identifies, relates to, or may reasonably be used to identify an individual; (iii) any information regarding an individual’s medical history, mental or physical condition, or medical treatment or diagnosis by a health care professional; (iv) an individual’s health insurance policy number or subscriber identification number, any unique identifier used by a health insurer to identify the individual, or any information in an individual’s application and claims history; (v)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i w:val="1"/>
          <w:iCs w:val="1"/>
          <w:color w:val="auto"/>
        </w:rPr>
        <w:t>HIPAA</w:t>
      </w:r>
      <w:r>
        <w:rPr>
          <w:rFonts w:ascii="Arial" w:cs="Arial" w:eastAsia="Arial" w:hAnsi="Arial"/>
          <w:sz w:val="16"/>
          <w:szCs w:val="16"/>
          <w:color w:val="auto"/>
        </w:rPr>
        <w:t>”); (vi) any information which would qualify as “personal data,” “personal information” (or similar term) under the Privacy Laws; and (vii) any other piece of information that alone, or combined with other information, allows the identification of such natural person, or his or her family, or permits the collection or analysis of any data related to an identified person’s health or sexual orientation. To the Company’s Knowledge, there have been no breaches, outages or unauthorized uses of or accesses to the IT Systems, Confidential Data, and Personal Data. The Company and its Subsidiaries are presently, and at all prior times were, in material compliance with all applicable laws or statutes and all judgments and orders binding on the Company, applicable binding rules and regulations of any court or arbitrator or governmental or regulatory authority, and their internal policies and contractual obligations, each relating to the Processing, privacy and security of Personal Data and Confidential Data, the privacy and security of IT Systems and the protection of such IT Systems, Confidential Data, and Personal Data from unauthorized use, access, misappropriation or modification.</w:t>
      </w:r>
    </w:p>
    <w:p>
      <w:pPr>
        <w:spacing w:after="0" w:line="180" w:lineRule="exact"/>
        <w:rPr>
          <w:rFonts w:ascii="Arial" w:cs="Arial" w:eastAsia="Arial" w:hAnsi="Arial"/>
          <w:sz w:val="16"/>
          <w:szCs w:val="16"/>
          <w:b w:val="1"/>
          <w:bCs w:val="1"/>
          <w:color w:val="auto"/>
        </w:rPr>
      </w:pPr>
    </w:p>
    <w:p>
      <w:pPr>
        <w:ind w:firstLine="987"/>
        <w:spacing w:after="0" w:line="288" w:lineRule="auto"/>
        <w:tabs>
          <w:tab w:leader="none" w:pos="1491" w:val="left"/>
        </w:tabs>
        <w:numPr>
          <w:ilvl w:val="0"/>
          <w:numId w:val="292"/>
        </w:numPr>
        <w:rPr>
          <w:rFonts w:ascii="Arial" w:cs="Arial" w:eastAsia="Arial" w:hAnsi="Arial"/>
          <w:sz w:val="16"/>
          <w:szCs w:val="16"/>
          <w:b w:val="1"/>
          <w:bCs w:val="1"/>
          <w:color w:val="auto"/>
        </w:rPr>
      </w:pPr>
      <w:r>
        <w:rPr>
          <w:rFonts w:ascii="Arial" w:cs="Arial" w:eastAsia="Arial" w:hAnsi="Arial"/>
          <w:sz w:val="16"/>
          <w:szCs w:val="16"/>
          <w:color w:val="auto"/>
        </w:rPr>
        <w:t>Compliance with Data Privacy Laws. The Company and its Subsidiaries are, and at all prior times were, in material compliance with all applicable state and federal data privacy and security laws and regulations regarding the collection, use, storage, retention, disclosure, transfer, disposal, or any other processing (collectively “</w:t>
      </w:r>
      <w:r>
        <w:rPr>
          <w:rFonts w:ascii="Arial" w:cs="Arial" w:eastAsia="Arial" w:hAnsi="Arial"/>
          <w:sz w:val="16"/>
          <w:szCs w:val="16"/>
          <w:b w:val="1"/>
          <w:bCs w:val="1"/>
          <w:i w:val="1"/>
          <w:iCs w:val="1"/>
          <w:color w:val="auto"/>
        </w:rPr>
        <w:t>Process</w:t>
      </w:r>
      <w:r>
        <w:rPr>
          <w:rFonts w:ascii="Arial" w:cs="Arial" w:eastAsia="Arial" w:hAnsi="Arial"/>
          <w:sz w:val="16"/>
          <w:szCs w:val="16"/>
          <w:color w:val="auto"/>
        </w:rPr>
        <w:t>” or “</w:t>
      </w:r>
      <w:r>
        <w:rPr>
          <w:rFonts w:ascii="Arial" w:cs="Arial" w:eastAsia="Arial" w:hAnsi="Arial"/>
          <w:sz w:val="16"/>
          <w:szCs w:val="16"/>
          <w:b w:val="1"/>
          <w:bCs w:val="1"/>
          <w:i w:val="1"/>
          <w:iCs w:val="1"/>
          <w:color w:val="auto"/>
        </w:rPr>
        <w:t>Processing</w:t>
      </w:r>
      <w:r>
        <w:rPr>
          <w:rFonts w:ascii="Arial" w:cs="Arial" w:eastAsia="Arial" w:hAnsi="Arial"/>
          <w:sz w:val="16"/>
          <w:szCs w:val="16"/>
          <w:color w:val="auto"/>
        </w:rPr>
        <w:t>”) of Personal Data, including HIPAA, the California Consumer Privacy Act, and the European Union General Data Protection Regulation (EU 2016/679) (collectively, the “</w:t>
      </w:r>
      <w:r>
        <w:rPr>
          <w:rFonts w:ascii="Arial" w:cs="Arial" w:eastAsia="Arial" w:hAnsi="Arial"/>
          <w:sz w:val="16"/>
          <w:szCs w:val="16"/>
          <w:b w:val="1"/>
          <w:bCs w:val="1"/>
          <w:i w:val="1"/>
          <w:iCs w:val="1"/>
          <w:color w:val="auto"/>
        </w:rPr>
        <w:t>Privacy Laws</w:t>
      </w:r>
      <w:r>
        <w:rPr>
          <w:rFonts w:ascii="Arial" w:cs="Arial" w:eastAsia="Arial" w:hAnsi="Arial"/>
          <w:sz w:val="16"/>
          <w:szCs w:val="16"/>
          <w:color w:val="auto"/>
        </w:rPr>
        <w:t>”). To ensure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Arial" w:cs="Arial" w:eastAsia="Arial" w:hAnsi="Arial"/>
          <w:sz w:val="16"/>
          <w:szCs w:val="16"/>
          <w:b w:val="1"/>
          <w:bCs w:val="1"/>
          <w:i w:val="1"/>
          <w:iCs w:val="1"/>
          <w:color w:val="auto"/>
        </w:rPr>
        <w:t>Privacy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Statements</w:t>
      </w:r>
      <w:r>
        <w:rPr>
          <w:rFonts w:ascii="Arial" w:cs="Arial" w:eastAsia="Arial" w:hAnsi="Arial"/>
          <w:sz w:val="16"/>
          <w:szCs w:val="16"/>
          <w:color w:val="auto"/>
        </w:rPr>
        <w:t>”). The Company and its Subsidiaries have, except as would not reasonably be expected, individually or in the aggregate, to have a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Adverse Effect, at all times since January 1, 2021 provided accurate notice of its Privacy Statements then in effect to its clients, employees, third party vendors and representatives. None of such disclosures made or contained in any Privacy Statements have been materially inaccurate, misleading, incomplete, or in material violation of any Privacy Laws. The Company further certifies that neither it nor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402" w:name="page403"/>
    <w:bookmarkEnd w:id="402"/>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 its Subsidiaries: (i) has received notice of any actual or potential claim, complaint, proceeding, regulatory proceeding or liability under or relating to, or actual or potential violation of, any of the Privacy Laws, contracts related to the Processing of Personal Data or Confidential Data, or Privacy Statements, and has no knowledge of any event or condition that would reasonably be expected to result in any such notice; (ii) is currently conducting or paying for, in whole or in part, any investigation, remediation, or other corrective action pursuant to any Privacy Law or contract; or (iii) is a party to any order, decree, or agreement that imposes any obligation or liability under any Privacy Law.</w:t>
      </w:r>
    </w:p>
    <w:p>
      <w:pPr>
        <w:spacing w:after="0" w:line="17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3.2 Representations and Warranties of the Purchasers</w:t>
      </w:r>
      <w:r>
        <w:rPr>
          <w:rFonts w:ascii="Arial" w:cs="Arial" w:eastAsia="Arial" w:hAnsi="Arial"/>
          <w:sz w:val="18"/>
          <w:szCs w:val="18"/>
          <w:color w:val="auto"/>
        </w:rPr>
        <w:t>. Each Purchaser hereby, for itself and for no other Purchaser,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as follows:</w:t>
      </w:r>
    </w:p>
    <w:p>
      <w:pPr>
        <w:spacing w:after="0" w:line="162" w:lineRule="exact"/>
        <w:rPr>
          <w:sz w:val="20"/>
          <w:szCs w:val="20"/>
          <w:color w:val="auto"/>
        </w:rPr>
      </w:pPr>
    </w:p>
    <w:p>
      <w:pPr>
        <w:ind w:firstLine="987"/>
        <w:spacing w:after="0" w:line="270" w:lineRule="auto"/>
        <w:tabs>
          <w:tab w:leader="none" w:pos="1381"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Authority</w:t>
      </w:r>
      <w:r>
        <w:rPr>
          <w:rFonts w:ascii="Arial" w:cs="Arial" w:eastAsia="Arial" w:hAnsi="Arial"/>
          <w:sz w:val="17"/>
          <w:szCs w:val="17"/>
          <w:color w:val="auto"/>
        </w:rPr>
        <w:t>. Such Purchaser is an entity duly organized, validly existing and in good standing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its organization with the requisite corporate or, if such Purchaser is not a corporation, such partnership, limited liability company or other applicable power and authority to enter into and to consummate the transactions contemplated by the applicable Transaction Documents and otherwise to carry out its obligations hereunder and thereunder. The execution and delivery of this Agreement by such Purchaser and performance by such Purchaser of the transactions contemplated by this Agreement have been duly authorized by all necessary corporate or, if such Purchaser is not a corporation, such partnership, limited liability company or other applicable like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as such enforceability may be limited by applicable bankruptcy, examinership, insolvency, reorganization, moratorium, liquidation or similar laws relating to, or affecting generally the enforcement of, creditors’ rights and remedies or by other equitable principles of general application.</w:t>
      </w:r>
    </w:p>
    <w:p>
      <w:pPr>
        <w:spacing w:after="0" w:line="176" w:lineRule="exact"/>
        <w:rPr>
          <w:rFonts w:ascii="Arial" w:cs="Arial" w:eastAsia="Arial" w:hAnsi="Arial"/>
          <w:sz w:val="17"/>
          <w:szCs w:val="17"/>
          <w:b w:val="1"/>
          <w:bCs w:val="1"/>
          <w:color w:val="auto"/>
        </w:rPr>
      </w:pPr>
    </w:p>
    <w:p>
      <w:pPr>
        <w:ind w:right="60" w:firstLine="987"/>
        <w:spacing w:after="0" w:line="254" w:lineRule="auto"/>
        <w:tabs>
          <w:tab w:leader="none" w:pos="1391"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Conflicts</w:t>
      </w:r>
      <w:r>
        <w:rPr>
          <w:rFonts w:ascii="Arial" w:cs="Arial" w:eastAsia="Arial" w:hAnsi="Arial"/>
          <w:sz w:val="18"/>
          <w:szCs w:val="18"/>
          <w:color w:val="auto"/>
        </w:rPr>
        <w:t>. The execution, delivery and performance by such Purchaser of this Agreement and the Registration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consummation by such Purchaser of the transactions contemplated hereby and thereby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U.S. federal and state securities laws) applicable to such Purchaser, except in the case of clauses (ii) and (iii) above, for such conflicts, defaults, rights or violations which would not, individually or in the aggregate, reasonably be expected to have a material adverse effect on the ability of such Purchaser to perform its obligations hereunder.</w:t>
      </w:r>
    </w:p>
    <w:p>
      <w:pPr>
        <w:spacing w:after="0" w:line="191" w:lineRule="exact"/>
        <w:rPr>
          <w:rFonts w:ascii="Arial" w:cs="Arial" w:eastAsia="Arial" w:hAnsi="Arial"/>
          <w:sz w:val="18"/>
          <w:szCs w:val="18"/>
          <w:b w:val="1"/>
          <w:bCs w:val="1"/>
          <w:color w:val="auto"/>
        </w:rPr>
      </w:pPr>
    </w:p>
    <w:p>
      <w:pPr>
        <w:ind w:right="20" w:firstLine="987"/>
        <w:spacing w:after="0" w:line="254" w:lineRule="auto"/>
        <w:tabs>
          <w:tab w:leader="none" w:pos="1371"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Intent</w:t>
      </w:r>
      <w:r>
        <w:rPr>
          <w:rFonts w:ascii="Arial" w:cs="Arial" w:eastAsia="Arial" w:hAnsi="Arial"/>
          <w:sz w:val="18"/>
          <w:szCs w:val="18"/>
          <w:color w:val="auto"/>
        </w:rPr>
        <w:t>. Such Purchaser understands that the Securities are (and the Conversion Shares will be) “restricted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offer and sale thereof have not been registered under the Securities Act or any applicable U.S. state securities law and is acquiring the Securities as principal for its own account and not with a view to, or for distributing or reselling such Securities (or the Conversion Shares) or any part thereof in violation of the Securities Act or any applicable U.S. state or other securities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by making the representations herein, such Purchaser does not agree to hold any of the Securities or Conversion Shares for any minimum period of time and reserves the right, subject to the provisions of this Agreement and the Registration Rights Agreement, at all times to sell or otherwise dispose of all or any part of such Securities or Conversion Shares pursuant to an effective registration statement under the Securities Act or under an exemption from such registration and in compliance with applicable U.S. federal, state and other securities laws. Such Purchaser is acquiring the Securities hereunder in the ordinary course of its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03" w:name="page404"/>
    <w:bookmarkEnd w:id="403"/>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Purchaser does not presently have any agreement, plan or understanding, directly or indirectly, with any Person to distribute or effect any distribution of any of the Securities (or any securities which are derivatives thereof) to or through any person or entity in violation of federal securities law; such Purchaser is not a registered broker-dealer under Section 15 of the Exchange Act or an entity engaged in a business that would require it to be so registered as a broker-dealer.</w:t>
      </w:r>
    </w:p>
    <w:p>
      <w:pPr>
        <w:spacing w:after="0" w:line="183" w:lineRule="exact"/>
        <w:rPr>
          <w:sz w:val="20"/>
          <w:szCs w:val="20"/>
          <w:color w:val="auto"/>
        </w:rPr>
      </w:pPr>
    </w:p>
    <w:p>
      <w:pPr>
        <w:ind w:right="80" w:firstLine="987"/>
        <w:spacing w:after="0" w:line="282" w:lineRule="auto"/>
        <w:tabs>
          <w:tab w:leader="none" w:pos="1391"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Purchaser Status</w:t>
      </w:r>
      <w:r>
        <w:rPr>
          <w:rFonts w:ascii="Arial" w:cs="Arial" w:eastAsia="Arial" w:hAnsi="Arial"/>
          <w:sz w:val="18"/>
          <w:szCs w:val="18"/>
          <w:color w:val="auto"/>
        </w:rPr>
        <w:t>. At the time such Purchaser was offered the Securities, it was, and at the date hereof it is, an “accredited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Rule 501(a) under the Securities Act.</w:t>
      </w:r>
    </w:p>
    <w:p>
      <w:pPr>
        <w:spacing w:after="0" w:line="161" w:lineRule="exact"/>
        <w:rPr>
          <w:rFonts w:ascii="Arial" w:cs="Arial" w:eastAsia="Arial" w:hAnsi="Arial"/>
          <w:sz w:val="18"/>
          <w:szCs w:val="18"/>
          <w:b w:val="1"/>
          <w:bCs w:val="1"/>
          <w:color w:val="auto"/>
        </w:rPr>
      </w:pPr>
    </w:p>
    <w:p>
      <w:pPr>
        <w:ind w:right="20" w:firstLine="987"/>
        <w:spacing w:after="0" w:line="261" w:lineRule="auto"/>
        <w:tabs>
          <w:tab w:leader="none" w:pos="1371"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General Solicitation</w:t>
      </w:r>
      <w:r>
        <w:rPr>
          <w:rFonts w:ascii="Arial" w:cs="Arial" w:eastAsia="Arial" w:hAnsi="Arial"/>
          <w:sz w:val="18"/>
          <w:szCs w:val="18"/>
          <w:color w:val="auto"/>
        </w:rPr>
        <w:t>. Such Purchaser is not purchasing the Securities as a result of any advertisement, article, notice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regarding the Securities published in any newspaper, magazine or similar media or broadcast over television or radio or presented at any seminar or any other general advertisement. The purchase of the Securities by such Purchaser has not been solicited by or through anyone other than the Company or, on the Company’s behalf, the Placement Agents.</w:t>
      </w:r>
    </w:p>
    <w:p>
      <w:pPr>
        <w:spacing w:after="0" w:line="179" w:lineRule="exact"/>
        <w:rPr>
          <w:rFonts w:ascii="Arial" w:cs="Arial" w:eastAsia="Arial" w:hAnsi="Arial"/>
          <w:sz w:val="18"/>
          <w:szCs w:val="18"/>
          <w:b w:val="1"/>
          <w:bCs w:val="1"/>
          <w:color w:val="auto"/>
        </w:rPr>
      </w:pPr>
    </w:p>
    <w:p>
      <w:pPr>
        <w:ind w:right="40" w:firstLine="987"/>
        <w:spacing w:after="0" w:line="314" w:lineRule="auto"/>
        <w:tabs>
          <w:tab w:leader="none" w:pos="1351"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Experience of Such Purchaser</w:t>
      </w:r>
      <w:r>
        <w:rPr>
          <w:rFonts w:ascii="Arial" w:cs="Arial" w:eastAsia="Arial" w:hAnsi="Arial"/>
          <w:sz w:val="16"/>
          <w:szCs w:val="16"/>
          <w:color w:val="auto"/>
        </w:rPr>
        <w:t>. Such Purchaser, either alone or together with its representatives, has such knowledge, sophistication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w:t>
      </w:r>
    </w:p>
    <w:p>
      <w:pPr>
        <w:spacing w:after="0" w:line="141" w:lineRule="exact"/>
        <w:rPr>
          <w:rFonts w:ascii="Arial" w:cs="Arial" w:eastAsia="Arial" w:hAnsi="Arial"/>
          <w:sz w:val="16"/>
          <w:szCs w:val="16"/>
          <w:b w:val="1"/>
          <w:bCs w:val="1"/>
          <w:color w:val="auto"/>
        </w:rPr>
      </w:pPr>
    </w:p>
    <w:p>
      <w:pPr>
        <w:ind w:right="40" w:firstLine="987"/>
        <w:spacing w:after="0" w:line="270" w:lineRule="auto"/>
        <w:tabs>
          <w:tab w:leader="none" w:pos="1381"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Access to Information</w:t>
      </w:r>
      <w:r>
        <w:rPr>
          <w:rFonts w:ascii="Arial" w:cs="Arial" w:eastAsia="Arial" w:hAnsi="Arial"/>
          <w:sz w:val="17"/>
          <w:szCs w:val="17"/>
          <w:color w:val="auto"/>
        </w:rPr>
        <w:t>. Such Purchaser acknowledges that it has had the opportunity to review the SEC Reports and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the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such Purchaser or its representatives or counsel shall modify, amend or affect such Purchaser’s right to rely on the truth, accuracy and completeness of the SEC Reports and the Company’s representations and warranties contained in the Transaction Documents. Such Purchaser has sought such accounting, legal and tax advice as it has considered necessary to make an informed decision with respect to its acquisition of the Securities.</w:t>
      </w:r>
    </w:p>
    <w:p>
      <w:pPr>
        <w:spacing w:after="0" w:line="176" w:lineRule="exact"/>
        <w:rPr>
          <w:rFonts w:ascii="Arial" w:cs="Arial" w:eastAsia="Arial" w:hAnsi="Arial"/>
          <w:sz w:val="17"/>
          <w:szCs w:val="17"/>
          <w:b w:val="1"/>
          <w:bCs w:val="1"/>
          <w:color w:val="auto"/>
        </w:rPr>
      </w:pPr>
    </w:p>
    <w:p>
      <w:pPr>
        <w:ind w:firstLine="987"/>
        <w:spacing w:after="0" w:line="288" w:lineRule="auto"/>
        <w:tabs>
          <w:tab w:leader="none" w:pos="1391"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Certain Trading Activities</w:t>
      </w:r>
      <w:r>
        <w:rPr>
          <w:rFonts w:ascii="Arial" w:cs="Arial" w:eastAsia="Arial" w:hAnsi="Arial"/>
          <w:sz w:val="16"/>
          <w:szCs w:val="16"/>
          <w:color w:val="auto"/>
        </w:rPr>
        <w:t>. Other than with respect to the transactions contemplated herein, since the time that such Purchaser was</w:t>
      </w:r>
      <w:r>
        <w:rPr>
          <w:rFonts w:ascii="Arial" w:cs="Arial" w:eastAsia="Arial" w:hAnsi="Arial"/>
          <w:sz w:val="16"/>
          <w:szCs w:val="16"/>
          <w:b w:val="1"/>
          <w:bCs w:val="1"/>
          <w:color w:val="auto"/>
        </w:rPr>
        <w:t xml:space="preserve"> </w:t>
      </w:r>
      <w:r>
        <w:rPr>
          <w:rFonts w:ascii="Arial" w:cs="Arial" w:eastAsia="Arial" w:hAnsi="Arial"/>
          <w:sz w:val="16"/>
          <w:szCs w:val="16"/>
          <w:color w:val="auto"/>
        </w:rPr>
        <w:t>first contacted by the Company, the Placement Agents or any other Person regarding the transactions contemplated hereby, the Purchaser has not, directly or indirectly, effected or agreed to effect any Short Sales. Notwithstanding the foregoing, (i) in the case of a Purchaser that is a multi-managed investment vehicle whereby separate portfolio managers manage separate portions of such Purchaser’s assets, the foregoing representation shall only apply with respect to the portion of assets managed by the portfolio manager that made the investment decision to purchase the Securities covered by this Agreement and (ii) and in the case of a Purchaser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Purchaser’s assets was informed of the information regarding the transactions contemplated hereunder and, with respect to the Purchaser’s investment adviser, the representation set forth above shall only apply with respect to any purchases or sales, including Short Sales, of the securities of the Company on behalf of other funds or investment vehicles for which the Purchaser’s investment adviser is also 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04" w:name="page405"/>
    <w:bookmarkEnd w:id="404"/>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adviser or sub-adviser after the point in time when the portfolio manager who manages the assets of such other funds or investment vehicles for which the Purchaser’s investment adviser is also an investment adviser or sub-adviser was informed of the information regarding the transactions contemplated hereunder. Other than to other Persons party to this Agreement and to the Purchaser’s representatives or agents, including, but not limited to, the Purchaser’s legal, tax and investment advisors,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73" w:lineRule="exact"/>
        <w:rPr>
          <w:sz w:val="20"/>
          <w:szCs w:val="20"/>
          <w:color w:val="auto"/>
        </w:rPr>
      </w:pPr>
    </w:p>
    <w:p>
      <w:pPr>
        <w:ind w:firstLine="987"/>
        <w:spacing w:after="0" w:line="258" w:lineRule="auto"/>
        <w:tabs>
          <w:tab w:leader="none" w:pos="1341"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Brokers and Finders</w:t>
      </w:r>
      <w:r>
        <w:rPr>
          <w:rFonts w:ascii="Arial" w:cs="Arial" w:eastAsia="Arial" w:hAnsi="Arial"/>
          <w:sz w:val="18"/>
          <w:szCs w:val="18"/>
          <w:color w:val="auto"/>
        </w:rPr>
        <w:t>. No Person will have, as a result of the transactions contemplated by this Agreement, any valid right, interest or</w:t>
      </w:r>
      <w:r>
        <w:rPr>
          <w:rFonts w:ascii="Arial" w:cs="Arial" w:eastAsia="Arial" w:hAnsi="Arial"/>
          <w:sz w:val="18"/>
          <w:szCs w:val="18"/>
          <w:b w:val="1"/>
          <w:bCs w:val="1"/>
          <w:color w:val="auto"/>
        </w:rPr>
        <w:t xml:space="preserve"> </w:t>
      </w:r>
      <w:r>
        <w:rPr>
          <w:rFonts w:ascii="Arial" w:cs="Arial" w:eastAsia="Arial" w:hAnsi="Arial"/>
          <w:sz w:val="18"/>
          <w:szCs w:val="18"/>
          <w:color w:val="auto"/>
        </w:rPr>
        <w:t>claim against or upon the Purchaser for any commission, fee or other compensation pursuant to any agreement, arrangement or understanding entered into by or on behalf of the Purchaser. No Purchaser shall have any obligation with respect to any fees, or with respect to any claims made by or on behalf of other Persons for fees, in each case of the type contemplated by this Section 3.2(i) that may be due in connection with the transactions contemplated by this Agreement or the Transaction Documents.</w:t>
      </w:r>
    </w:p>
    <w:p>
      <w:pPr>
        <w:spacing w:after="0" w:line="183" w:lineRule="exact"/>
        <w:rPr>
          <w:rFonts w:ascii="Arial" w:cs="Arial" w:eastAsia="Arial" w:hAnsi="Arial"/>
          <w:sz w:val="18"/>
          <w:szCs w:val="18"/>
          <w:b w:val="1"/>
          <w:bCs w:val="1"/>
          <w:color w:val="auto"/>
        </w:rPr>
      </w:pPr>
    </w:p>
    <w:p>
      <w:pPr>
        <w:ind w:right="20" w:firstLine="987"/>
        <w:spacing w:after="0" w:line="271" w:lineRule="auto"/>
        <w:tabs>
          <w:tab w:leader="none" w:pos="1351"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Independent Investment Decision</w:t>
      </w:r>
      <w:r>
        <w:rPr>
          <w:rFonts w:ascii="Arial" w:cs="Arial" w:eastAsia="Arial" w:hAnsi="Arial"/>
          <w:sz w:val="17"/>
          <w:szCs w:val="17"/>
          <w:color w:val="auto"/>
        </w:rPr>
        <w:t>. Such Purchaser has independently evaluated the merits of its decision to purchase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Transaction Documents, and such Purchaser confirms that it has not relied on the advice of any other Purchaser’s business and/or legal counsel in making such decision. Such Purchaser understands that nothing in this Agreement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 Such Purchaser understands that the Placement Agents have acted solely as the agent of the Company in this placement of the Securities and such Purchaser has not relied on the business or legal advice of the Placement Agents or any of their agents, counsel or Affiliates in making its investment decision hereunder, and confirms that none of such Persons has made any representations or warranties to such Purchaser in connection with the transactions contemplated by the Transaction Documents.</w:t>
      </w:r>
    </w:p>
    <w:p>
      <w:pPr>
        <w:spacing w:after="0" w:line="173" w:lineRule="exact"/>
        <w:rPr>
          <w:rFonts w:ascii="Arial" w:cs="Arial" w:eastAsia="Arial" w:hAnsi="Arial"/>
          <w:sz w:val="17"/>
          <w:szCs w:val="17"/>
          <w:b w:val="1"/>
          <w:bCs w:val="1"/>
          <w:color w:val="auto"/>
        </w:rPr>
      </w:pPr>
    </w:p>
    <w:p>
      <w:pPr>
        <w:ind w:right="200" w:firstLine="987"/>
        <w:spacing w:after="0" w:line="303" w:lineRule="auto"/>
        <w:tabs>
          <w:tab w:leader="none" w:pos="1391"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Reliance on Exemptions</w:t>
      </w:r>
      <w:r>
        <w:rPr>
          <w:rFonts w:ascii="Arial" w:cs="Arial" w:eastAsia="Arial" w:hAnsi="Arial"/>
          <w:sz w:val="16"/>
          <w:szCs w:val="16"/>
          <w:color w:val="auto"/>
        </w:rPr>
        <w:t>. Such Purchaser understands that the Securities are being offered and sold to it in reliance on 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exemptions from the registration requirements of United States federal and state securities laws and that the Company is relying in part upon the truth and accuracy of, and such Purchaser’s compliance with, the representations, warranties, agreements, acknowledgements and understandings of such Purchaser set forth herein in order to determine the availability of such exemptions and the eligibility of such Purchaser to acquire the Securities.</w:t>
      </w:r>
    </w:p>
    <w:p>
      <w:pPr>
        <w:spacing w:after="0" w:line="150" w:lineRule="exact"/>
        <w:rPr>
          <w:rFonts w:ascii="Arial" w:cs="Arial" w:eastAsia="Arial" w:hAnsi="Arial"/>
          <w:sz w:val="16"/>
          <w:szCs w:val="16"/>
          <w:b w:val="1"/>
          <w:bCs w:val="1"/>
          <w:color w:val="auto"/>
        </w:rPr>
      </w:pPr>
    </w:p>
    <w:p>
      <w:pPr>
        <w:ind w:right="80" w:firstLine="987"/>
        <w:spacing w:after="0" w:line="289" w:lineRule="auto"/>
        <w:tabs>
          <w:tab w:leader="none" w:pos="1341"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No Governmental Review</w:t>
      </w:r>
      <w:r>
        <w:rPr>
          <w:rFonts w:ascii="Arial" w:cs="Arial" w:eastAsia="Arial" w:hAnsi="Arial"/>
          <w:sz w:val="17"/>
          <w:szCs w:val="17"/>
          <w:color w:val="auto"/>
        </w:rPr>
        <w:t>. Such Purchaser understands that no United States federal or state agency or any other government or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57" w:lineRule="exact"/>
        <w:rPr>
          <w:rFonts w:ascii="Arial" w:cs="Arial" w:eastAsia="Arial" w:hAnsi="Arial"/>
          <w:sz w:val="17"/>
          <w:szCs w:val="17"/>
          <w:b w:val="1"/>
          <w:bCs w:val="1"/>
          <w:color w:val="auto"/>
        </w:rPr>
      </w:pPr>
    </w:p>
    <w:p>
      <w:pPr>
        <w:ind w:right="340" w:firstLine="987"/>
        <w:spacing w:after="0" w:line="282" w:lineRule="auto"/>
        <w:tabs>
          <w:tab w:leader="none" w:pos="1441"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 M</w:t>
      </w:r>
      <w:r>
        <w:rPr>
          <w:rFonts w:ascii="Arial" w:cs="Arial" w:eastAsia="Arial" w:hAnsi="Arial"/>
          <w:sz w:val="18"/>
          <w:szCs w:val="18"/>
          <w:color w:val="auto"/>
        </w:rPr>
        <w:t>. Such Purchaser is aware that the anti-manipulation rules of Regulation M under the Exchange Act may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Securities and other activities with respect to the Securities by the Purchasers.</w:t>
      </w:r>
    </w:p>
    <w:p>
      <w:pPr>
        <w:spacing w:after="0" w:line="161" w:lineRule="exact"/>
        <w:rPr>
          <w:rFonts w:ascii="Arial" w:cs="Arial" w:eastAsia="Arial" w:hAnsi="Arial"/>
          <w:sz w:val="18"/>
          <w:szCs w:val="18"/>
          <w:b w:val="1"/>
          <w:bCs w:val="1"/>
          <w:color w:val="auto"/>
        </w:rPr>
      </w:pPr>
    </w:p>
    <w:p>
      <w:pPr>
        <w:ind w:right="60" w:firstLine="987"/>
        <w:spacing w:after="0" w:line="266" w:lineRule="auto"/>
        <w:tabs>
          <w:tab w:leader="none" w:pos="1391"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Beneficial Ownership</w:t>
      </w:r>
      <w:r>
        <w:rPr>
          <w:rFonts w:ascii="Arial" w:cs="Arial" w:eastAsia="Arial" w:hAnsi="Arial"/>
          <w:sz w:val="18"/>
          <w:szCs w:val="18"/>
          <w:color w:val="auto"/>
        </w:rPr>
        <w:t>. The purchase by such Purchaser of the Securities issuable to it at the Closing will not result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(individually or together with any other Person with whom such Purchaser has identified, or will have identified, itself as part of a “group” in a public filing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405" w:name="page406"/>
    <w:bookmarkEnd w:id="40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made with the Commission involving the Company’s securities) acquiring, or obtaining the right to acquire, beneficial ownership in excess of 19.999% of the outstanding shares of Common Stock or the voting power of the Company on a post transaction basis that assumes that such Closing shall have occurred. Such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beneficial ownership in excess of 19.999% of the outstanding shares of Common Stock or the voting power of the Company on a post transaction basis that assumes that each Closing shall have occurred.</w:t>
      </w:r>
    </w:p>
    <w:p>
      <w:pPr>
        <w:spacing w:after="0" w:line="160" w:lineRule="exact"/>
        <w:rPr>
          <w:sz w:val="20"/>
          <w:szCs w:val="20"/>
          <w:color w:val="auto"/>
        </w:rPr>
      </w:pPr>
    </w:p>
    <w:p>
      <w:pPr>
        <w:ind w:right="120" w:firstLine="987"/>
        <w:spacing w:after="0" w:line="266" w:lineRule="auto"/>
        <w:tabs>
          <w:tab w:leader="none" w:pos="1381"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Residency</w:t>
      </w:r>
      <w:r>
        <w:rPr>
          <w:rFonts w:ascii="Arial" w:cs="Arial" w:eastAsia="Arial" w:hAnsi="Arial"/>
          <w:sz w:val="18"/>
          <w:szCs w:val="18"/>
          <w:color w:val="auto"/>
        </w:rPr>
        <w:t>. Such Purchaser’s residence (if an individual) or offices in which its investment decision with respect to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made (if an entity) are located at the address set forth under such Purchaser’s name on Annex A hereto or as otherwise specified below its address on Annex A hereto.</w:t>
      </w:r>
    </w:p>
    <w:p>
      <w:pPr>
        <w:spacing w:after="0" w:line="180"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The Company and each of the Purchasers acknowledge and agree that no party to this Agreement has made or makes any representations or warranties with respect to the transactions contemplated hereby other than those specifically set forth in this Article 3 and the Transaction Documents.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AGREEMENTS OF THE PARTIES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Transfer Restrictions</w:t>
      </w:r>
      <w:r>
        <w:rPr>
          <w:rFonts w:ascii="Arial" w:cs="Arial" w:eastAsia="Arial" w:hAnsi="Arial"/>
          <w:sz w:val="16"/>
          <w:szCs w:val="16"/>
          <w:color w:val="auto"/>
        </w:rPr>
        <w:t>.</w:t>
      </w:r>
    </w:p>
    <w:p>
      <w:pPr>
        <w:spacing w:after="0" w:line="117" w:lineRule="exact"/>
        <w:rPr>
          <w:sz w:val="20"/>
          <w:szCs w:val="20"/>
          <w:color w:val="auto"/>
        </w:rPr>
      </w:pPr>
    </w:p>
    <w:p>
      <w:pPr>
        <w:ind w:right="20" w:firstLine="987"/>
        <w:spacing w:after="0" w:line="269" w:lineRule="auto"/>
        <w:tabs>
          <w:tab w:leader="none" w:pos="1381"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Laws</w:t>
      </w:r>
      <w:r>
        <w:rPr>
          <w:rFonts w:ascii="Arial" w:cs="Arial" w:eastAsia="Arial" w:hAnsi="Arial"/>
          <w:sz w:val="17"/>
          <w:szCs w:val="17"/>
          <w:color w:val="auto"/>
        </w:rPr>
        <w:t>. Notwithstanding any other provision of this Article 4, each Purchaser covenants that the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Shares may be disposed of only pursuant to an effective registration statement under, and in compliance with the requirements of, the Securities Act, or pursuant to an available exemption from, or in a transaction not subject to, the registration requirements of the Securities Act, and in compliance with any applicable U.S. state and federal securities laws. In connection with any transfer of the Securities other than (i) pursuant to an effective registration statement, (ii) to the Company, (iii) pursuant to Rule 144 (provided that the Purchaser provides the Company with reasonable assurances (in the form of seller and, if applicable, broker representation letters) that the securities may be sold pursuant to such rule), or (iv) in connection with a bona fide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or Conversion Shares under the Securities Act and, as a condition of transfer, any such transferee shall agree in writing to be bound by the terms of this Agreement and the Registration Rights Agreement and shall have the rights of a Purchaser under this Agreement and the Registration Rights Agreement with respect to such transferred Securities or Conversion Shares.</w:t>
      </w:r>
    </w:p>
    <w:p>
      <w:pPr>
        <w:spacing w:after="0" w:line="178" w:lineRule="exact"/>
        <w:rPr>
          <w:rFonts w:ascii="Arial" w:cs="Arial" w:eastAsia="Arial" w:hAnsi="Arial"/>
          <w:sz w:val="17"/>
          <w:szCs w:val="17"/>
          <w:b w:val="1"/>
          <w:bCs w:val="1"/>
          <w:color w:val="auto"/>
        </w:rPr>
      </w:pPr>
    </w:p>
    <w:p>
      <w:pPr>
        <w:ind w:right="420" w:firstLine="987"/>
        <w:spacing w:after="0" w:line="282" w:lineRule="auto"/>
        <w:tabs>
          <w:tab w:leader="none" w:pos="1391"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Legends</w:t>
      </w:r>
      <w:r>
        <w:rPr>
          <w:rFonts w:ascii="Arial" w:cs="Arial" w:eastAsia="Arial" w:hAnsi="Arial"/>
          <w:sz w:val="18"/>
          <w:szCs w:val="18"/>
          <w:color w:val="auto"/>
        </w:rPr>
        <w:t>. Certificates and book-entry statements evidencing the Securities and any Conversion Shares shall bear any legend as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the “blue sky” Laws of any state and a restrictive legend in substantially the following form:</w:t>
      </w:r>
    </w:p>
    <w:p>
      <w:pPr>
        <w:spacing w:after="0" w:line="58" w:lineRule="exact"/>
        <w:rPr>
          <w:sz w:val="20"/>
          <w:szCs w:val="20"/>
          <w:color w:val="auto"/>
        </w:rPr>
      </w:pPr>
    </w:p>
    <w:p>
      <w:pPr>
        <w:ind w:left="980" w:right="1020"/>
        <w:spacing w:after="0" w:line="259" w:lineRule="auto"/>
        <w:rPr>
          <w:sz w:val="20"/>
          <w:szCs w:val="20"/>
          <w:color w:val="auto"/>
        </w:rPr>
      </w:pPr>
      <w:r>
        <w:rPr>
          <w:rFonts w:ascii="Arial" w:cs="Arial" w:eastAsia="Arial" w:hAnsi="Arial"/>
          <w:sz w:val="18"/>
          <w:szCs w:val="18"/>
          <w:color w:val="auto"/>
        </w:rPr>
        <w:t>THE OFFER AND SALE OF THE SECURITIES REPRESENTED BY THIS CERTIFICATE TO WHICH THIS CONFIRMATION RELATES HAVE NOT BEEN REGISTERED UNDER THE SECURITIES ACT OF 1933, AS AMENDED, OR THE SECURITIES LAWS OF ANY STATE OF THE UNITED STATES. THE SECURITIES MAY NOT BE SOLD, OFFERED FOR SALE,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4" w:right="519" w:bottom="1440" w:gutter="0" w:footer="0" w:header="0"/>
        </w:sectPr>
      </w:pPr>
    </w:p>
    <w:bookmarkStart w:id="406" w:name="page407"/>
    <w:bookmarkEnd w:id="406"/>
    <w:p>
      <w:pPr>
        <w:ind w:left="980" w:right="9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THE COMPANY AND ITS TRANSFER AGENT SHALL BE ENTITLED TO REQUIRE AN OPINION OF COUNSEL SATISFACTORY TO THE COMPANY AND THE TRANSFER AGENT THAT SUCH REGISTRATION IS NOT REQUIRED. NOTWITHSTANDING THE FOREGOING, THE SECURITIES MAY BE PLEDGED IN CONNECTION WITH A BONA FIDE MARGIN ACCOUNT OR OTHER LOAN OR FINANCING ARRANGEMENT SECURED BY THE SECURITIES.</w:t>
      </w:r>
    </w:p>
    <w:p>
      <w:pPr>
        <w:spacing w:after="0" w:line="178"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Company acknowledges and agrees that a Purchaser may from time to time pledge, and/or grant a security interest in, some or all of the legended Securities or Conversion Shares in connection with applicable securities laws, pursuant to a bona fide margin agreement in compliance with a bona fide margin loan. Such a pledge would not be subject to approval or consent of the Company and no legal opinion of legal counsel to the pledgee, secured party or pledgor shall be required in connection with the pledge, but such legal opinion shall be required in connection with a subsequent transfer or foreclosure following default by the Purchaser transferee of the pledge. No notice shall be required of such pledge, but Purchaser’s transferee shall promptly notify the Company of any such subsequent transfer or foreclosure. Each Purchaser acknowledges that the Company shall not be responsible for any pledges relating to, or the grant of any security interest in, any of the Securities or Conversion Shares or for any agreement, understanding or arrangement between any Purchaser and its pledgee or secured party. At the appropriate Purchaser’s expense, the Company will execute and deliver such reasonable documentation as a pledgee or secured party of Securities or Conversion Shares may reasonably request in connection with a pledge or transfer of the Securities or Conversion Shares, as applicable, including the preparation and filing of any required prospectus supplement under Rule 424(b)(3) of the Securities Act or other applicable provision of the Securities Act to appropriately amend the list of selling stockholders thereunder. Each Purchaser acknowledges and agrees that, except as otherwise provided in Section 4.1(c), any Securities or Conversion Shares subject to a pledge or security interest as contemplated by this Section 4.1(b) shall continue to bear the legend set forth in this Section 4.1(b) and be subject to the restrictions on transfer set forth in Section 4.1(b).</w:t>
      </w:r>
    </w:p>
    <w:p>
      <w:pPr>
        <w:spacing w:after="0" w:line="167" w:lineRule="exact"/>
        <w:rPr>
          <w:sz w:val="20"/>
          <w:szCs w:val="20"/>
          <w:color w:val="auto"/>
        </w:rPr>
      </w:pPr>
    </w:p>
    <w:p>
      <w:pPr>
        <w:ind w:firstLine="987"/>
        <w:spacing w:after="0" w:line="269" w:lineRule="auto"/>
        <w:tabs>
          <w:tab w:leader="none" w:pos="1371"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Removal of Legends</w:t>
      </w:r>
      <w:r>
        <w:rPr>
          <w:rFonts w:ascii="Arial" w:cs="Arial" w:eastAsia="Arial" w:hAnsi="Arial"/>
          <w:sz w:val="17"/>
          <w:szCs w:val="17"/>
          <w:color w:val="auto"/>
        </w:rPr>
        <w:t>. Once a Registration Statement covering the resale of the Conversion Shares is declared effective,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remove all restrictive legends, including the legend set forth in Section 4.1(b) above (or, in the event that Conversion Shares are issued upon conversion after the Registration Statement is declared effective, the Conversion Shares shall be issued without restrictive legends). Further, the Company shall remove all restrictive legends, including the legend set forth in Section 4.1(b) above, (i) following any sale of such Securities or Conversion Shares pursuant to Rule 144 or any other applicable exemption from the registration requirements of the Securities Act, or (ii) if such Conversion Shares are eligible for resale under Rule 144(b)(1) or any successor provision (or, in the event that Conversion Shares are issued upon conversion after the conditions set forth in clauses (i) and (ii) above, the Conversion Shares shall be issued without restrictive legends). Without limiting the foregoing, either (i) upon request of the Purchaser, upon receipt by the Company of an opinion of counsel reasonably satisfactory to the Company to the effect that such legend is no longer required under the Securities Act and applicable state securities laws or (ii) as contemplated by the Irrevocable Transfer Agent Instructions, the Company shall promptly cause the legend to be removed from any certificate for any Securities or Conversion Shares in accordance with the terms of this Agreement and deliver, or cause to be delivered, to any Purchaser new certificate(s) representing the Securities or Conversion Shares that are free from all restrictive and other legends or, at the request of such Purchaser, via DWAC transfer to such Purchaser’s account.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407" w:name="page408"/>
    <w:bookmarkEnd w:id="407"/>
    <w:p>
      <w:pPr>
        <w:ind w:right="40" w:firstLine="987"/>
        <w:spacing w:after="0" w:line="289" w:lineRule="auto"/>
        <w:tabs>
          <w:tab w:leader="none" w:pos="1391"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Irrevocable Transfer Agent Instructions</w:t>
      </w:r>
      <w:r>
        <w:rPr>
          <w:rFonts w:ascii="Arial" w:cs="Arial" w:eastAsia="Arial" w:hAnsi="Arial"/>
          <w:sz w:val="16"/>
          <w:szCs w:val="16"/>
          <w:color w:val="auto"/>
        </w:rPr>
        <w:t>. The Company shall issue the Irrevocable Transfer Agent Instructions.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and warrants that no instruction other than the Irrevocable Transfer Agent Instructions referred to in this Section 4.1(d) (or instructions that are consistent therewith) will be given by the Company to its Transfer Agent in connection with this Agreement, and that the Securities and Conversion Shares shall otherwise be freely transferable on the books and records of the Company as and to the extent provided in this Agreement and the other Transaction Documents and applicable law. The Company acknowledges that a breach by it of its obligations under this Section 4.1(d) will cause irreparable harm to a Purchaser. Accordingly, the Company acknowledges that the remedy at law for a breach of its obligations under this Section 4.1(d) may be inadequate and agrees, in the event of a breach or threatened breach by the Company of the provisions of this Section 4.1(d) that a Purchaser shall be entitled, in addition to all other available remedies, to an order and/or injunction restraining any breach and requiring immediate issuance and transfer, without the necessity of showing irreparable harm or economic loss and without any bond or other security being required.</w:t>
      </w:r>
    </w:p>
    <w:p>
      <w:pPr>
        <w:spacing w:after="0" w:line="166" w:lineRule="exact"/>
        <w:rPr>
          <w:rFonts w:ascii="Arial" w:cs="Arial" w:eastAsia="Arial" w:hAnsi="Arial"/>
          <w:sz w:val="16"/>
          <w:szCs w:val="16"/>
          <w:b w:val="1"/>
          <w:bCs w:val="1"/>
          <w:color w:val="auto"/>
        </w:rPr>
      </w:pPr>
    </w:p>
    <w:p>
      <w:pPr>
        <w:ind w:right="160" w:firstLine="987"/>
        <w:spacing w:after="0" w:line="266" w:lineRule="auto"/>
        <w:tabs>
          <w:tab w:leader="none" w:pos="1371"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w:t>
      </w:r>
      <w:r>
        <w:rPr>
          <w:rFonts w:ascii="Arial" w:cs="Arial" w:eastAsia="Arial" w:hAnsi="Arial"/>
          <w:sz w:val="18"/>
          <w:szCs w:val="18"/>
          <w:color w:val="auto"/>
        </w:rPr>
        <w:t>. Each Purchaser hereunder acknowledges its primary responsibilities under the Securities Act and accordingly</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sell or otherwise transfer the Securities or Conversion Shares or any interest therein without complying with the requirements of the Securities Act.</w:t>
      </w:r>
    </w:p>
    <w:p>
      <w:pPr>
        <w:spacing w:after="0" w:line="176"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4.2 Furnishing of Information</w:t>
      </w:r>
      <w:r>
        <w:rPr>
          <w:rFonts w:ascii="Arial" w:cs="Arial" w:eastAsia="Arial" w:hAnsi="Arial"/>
          <w:sz w:val="17"/>
          <w:szCs w:val="17"/>
          <w:color w:val="auto"/>
        </w:rPr>
        <w:t>. In order to enable the Purchasers to sell the Securities and Conversion Shares under Rule 144, until such time</w:t>
      </w:r>
      <w:r>
        <w:rPr>
          <w:rFonts w:ascii="Arial" w:cs="Arial" w:eastAsia="Arial" w:hAnsi="Arial"/>
          <w:sz w:val="17"/>
          <w:szCs w:val="17"/>
          <w:b w:val="1"/>
          <w:bCs w:val="1"/>
          <w:color w:val="auto"/>
        </w:rPr>
        <w:t xml:space="preserve"> </w:t>
      </w:r>
      <w:r>
        <w:rPr>
          <w:rFonts w:ascii="Arial" w:cs="Arial" w:eastAsia="Arial" w:hAnsi="Arial"/>
          <w:sz w:val="17"/>
          <w:szCs w:val="17"/>
          <w:color w:val="auto"/>
        </w:rPr>
        <w:t>as Purchaser may sell the Securities and Conversion Shares without limitation under Rule 144, the Company shall use its commercially reasonable efforts to timely file (or obtain extensions in respect thereof and file within the applicable grace period) all reports required to be filed by the Company after the date hereof pursuant to the Exchange Act and, if during such period, the Company is not required to file reports pursuant to the Exchange Act, it will prepare and furnish to the Purchasers and make publicly available in accordance with Rule 144(c) such information as is required for the Purchasers to sell the Securities and Conversion Shares under Rule 144.</w:t>
      </w:r>
    </w:p>
    <w:p>
      <w:pPr>
        <w:spacing w:after="0" w:line="17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4.3 Integration</w:t>
      </w:r>
      <w:r>
        <w:rPr>
          <w:rFonts w:ascii="Arial" w:cs="Arial" w:eastAsia="Arial" w:hAnsi="Arial"/>
          <w:sz w:val="18"/>
          <w:szCs w:val="18"/>
          <w:color w:val="auto"/>
        </w:rPr>
        <w:t>. The Company shall not, and shall use its commercially reasonable efforts to ensure that no Affiliate of the Company shall, sell,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Purchasers, or that will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Section 4.3 shall not limit the Company’s right to issue shares of capital stock pursuant to the Merger Agreement.</w:t>
      </w:r>
    </w:p>
    <w:p>
      <w:pPr>
        <w:spacing w:after="0" w:line="189"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4.4 Securities Laws Disclosure; Publicity</w:t>
      </w:r>
      <w:r>
        <w:rPr>
          <w:rFonts w:ascii="Arial" w:cs="Arial" w:eastAsia="Arial" w:hAnsi="Arial"/>
          <w:sz w:val="16"/>
          <w:szCs w:val="16"/>
          <w:color w:val="auto"/>
        </w:rPr>
        <w:t>. By no later than 9:00 A.M., New York City time, on the Trading Day immediately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hereof (provided that, if this Agreement is executed between midnight and 9:00 A.M., New York City time on any Trading Day, no later than 9:01 A.M. on the date hereof), the Company shall (a) issue a press release (the “</w:t>
      </w:r>
      <w:r>
        <w:rPr>
          <w:rFonts w:ascii="Arial" w:cs="Arial" w:eastAsia="Arial" w:hAnsi="Arial"/>
          <w:sz w:val="16"/>
          <w:szCs w:val="16"/>
          <w:b w:val="1"/>
          <w:bCs w:val="1"/>
          <w:i w:val="1"/>
          <w:iCs w:val="1"/>
          <w:color w:val="auto"/>
        </w:rPr>
        <w:t>Press Release</w:t>
      </w:r>
      <w:r>
        <w:rPr>
          <w:rFonts w:ascii="Arial" w:cs="Arial" w:eastAsia="Arial" w:hAnsi="Arial"/>
          <w:sz w:val="16"/>
          <w:szCs w:val="16"/>
          <w:color w:val="auto"/>
        </w:rPr>
        <w:t>”) reasonably acceptable to the Placement Agents disclosing all material terms of the transactions contemplated hereby and (b) file a Current Report on Form 8 K with the Commission describing the terms of the Transaction Documents (and including as exhibits to such Current Report on Form 8-K the material Transaction Documents (including, without limitation, this Agreement and the Registration Rights Agreement) and the Corporate Overview dated Q2 2023 provided to the Purchasers in connection with the transactions contemplated hereby); provided that the Press Release shall not publicly disclose the name of any Purchaser or investment adviser of any Purchaser, or include the name of any Purchaser or an Affiliate of any Purchaser without the prior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408" w:name="page409"/>
    <w:bookmarkEnd w:id="40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written consent of such Purchaser. In addition, notwithstanding the foregoing, the Company shall not publicly disclose the name of any Purchaser or investment adviser of any Purchaser, or include the name of any Purchaser or an Affiliate of any Purchaser without the prior written consent of such Purchaser (i) in any press release or marketing materials or (ii) in any filing with the Commission or any regulatory agency or Trading Market, except as required by U.S. federal securities law (A) in connection with any registration statement contemplated by the Registration Rights Agreement (which shall be subject to review and comment of the Purchasers pursuant to the terms of the Registration Rights Agreement) or the filing of final Transaction Documents (including signature pages thereto) with the Commission and (B) to the extent such disclosure is required by law, request of the Commission’s staff or Trading Market regulations, in which case the Company shall provide the Purchasers with prior written notice of such disclosure permitted under this subclause (ii). From and after the issuance of the Press Release, no Purchaser shall be in possession of any material, non-public information received from the Company, any Subsidiary or any of their respective officers, directors, employees or agents, that is not disclosed in the Press Release. Each Purchaser, severally and not jointly with the other Purchasers, covenants that until such time as the transactions contemplated by this Agreement are publicly disclosed by the Company pursuant to the Press Release, such Purchaser will maintain the confidentiality of the existence and terms of this transaction and the information provided in connection therewith; provided, however, that any disclosure may be made by the Purchaser to the Purchaser’s representatives or agents, including, but not limited to, the Purchaser’s legal, tax and investment advisors.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4.5 Shareholder Rights Plan</w:t>
      </w:r>
      <w:r>
        <w:rPr>
          <w:rFonts w:ascii="Arial" w:cs="Arial" w:eastAsia="Arial" w:hAnsi="Arial"/>
          <w:sz w:val="17"/>
          <w:szCs w:val="17"/>
          <w:color w:val="auto"/>
        </w:rPr>
        <w:t>. No claim will be made or enforced by the Company or, with the consent of the Company, any other Person, that</w:t>
      </w:r>
      <w:r>
        <w:rPr>
          <w:rFonts w:ascii="Arial" w:cs="Arial" w:eastAsia="Arial" w:hAnsi="Arial"/>
          <w:sz w:val="17"/>
          <w:szCs w:val="17"/>
          <w:b w:val="1"/>
          <w:bCs w:val="1"/>
          <w:color w:val="auto"/>
        </w:rPr>
        <w:t xml:space="preserve"> </w:t>
      </w:r>
      <w:r>
        <w:rPr>
          <w:rFonts w:ascii="Arial" w:cs="Arial" w:eastAsia="Arial" w:hAnsi="Arial"/>
          <w:sz w:val="17"/>
          <w:szCs w:val="17"/>
          <w:color w:val="auto"/>
        </w:rPr>
        <w:t>any Purchaser is an “</w:t>
      </w:r>
      <w:r>
        <w:rPr>
          <w:rFonts w:ascii="Arial" w:cs="Arial" w:eastAsia="Arial" w:hAnsi="Arial"/>
          <w:sz w:val="17"/>
          <w:szCs w:val="17"/>
          <w:b w:val="1"/>
          <w:bCs w:val="1"/>
          <w:i w:val="1"/>
          <w:iCs w:val="1"/>
          <w:color w:val="auto"/>
        </w:rPr>
        <w:t>Acquiring Person</w:t>
      </w:r>
      <w:r>
        <w:rPr>
          <w:rFonts w:ascii="Arial" w:cs="Arial" w:eastAsia="Arial" w:hAnsi="Arial"/>
          <w:sz w:val="17"/>
          <w:szCs w:val="17"/>
          <w:color w:val="auto"/>
        </w:rPr>
        <w:t>” under any control share acquisition, business combination, poison pill (including any distribution under a rights agreement) or similar anti-takeover plan or arrangement or Law (including Section 203 of the Delaware General Corporation Law) in effect or hereafter adopted by the Company, or that any Purchaser could be deemed to trigger the provisions of any such plan or arrangement, in either case solely by virtue of receiving Securities or Conversion Shares under the Transaction Documents.</w:t>
      </w:r>
    </w:p>
    <w:p>
      <w:pPr>
        <w:spacing w:after="0" w:line="16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4.6 Non-Public Information</w:t>
      </w:r>
      <w:r>
        <w:rPr>
          <w:rFonts w:ascii="Arial" w:cs="Arial" w:eastAsia="Arial" w:hAnsi="Arial"/>
          <w:sz w:val="17"/>
          <w:szCs w:val="17"/>
          <w:color w:val="auto"/>
        </w:rPr>
        <w:t>. Except with respect to the material terms and conditions of the transactions contemplated by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including this Agreement, or as expressly required by any applicable securities law, the Company covenants and agrees that neither it, nor any other Person acting on its behalf, will provide any Purchaser or its agents or counsel with any information regarding the Company that the Company believes constitutes material non-public information without the express written (email being sufficient) consent of such Purchaser, (i) unless prior thereto such Purchaser shall have committed to customary obligations regarding the confidentiality and use of such information and (ii) except in the case of material, nonpublic information provided to an observer of the Company’s or Spyre’s board of directors or member of the Company’s or Spyre’s board of directors who is affiliated with such Purchaser. The Company understands and confirms that each Purchaser shall be relying on the foregoing covenant in effecting transactions in securities of the Company.</w:t>
      </w:r>
    </w:p>
    <w:p>
      <w:pPr>
        <w:spacing w:after="0" w:line="172"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b w:val="1"/>
          <w:bCs w:val="1"/>
          <w:color w:val="auto"/>
        </w:rPr>
        <w:t>4.7 Use of Proceeds</w:t>
      </w:r>
      <w:r>
        <w:rPr>
          <w:rFonts w:ascii="Arial" w:cs="Arial" w:eastAsia="Arial" w:hAnsi="Arial"/>
          <w:sz w:val="18"/>
          <w:szCs w:val="18"/>
          <w:color w:val="auto"/>
        </w:rPr>
        <w:t>. The Company shall use the net proceeds from the sale of the Securities hereunder for working capital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purposes.</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4.8 Principal Trading Market Listing</w:t>
      </w:r>
      <w:r>
        <w:rPr>
          <w:rFonts w:ascii="Arial" w:cs="Arial" w:eastAsia="Arial" w:hAnsi="Arial"/>
          <w:sz w:val="18"/>
          <w:szCs w:val="18"/>
          <w:color w:val="auto"/>
        </w:rPr>
        <w:t>. The Company shall use its reasonable best efforts to take all steps necessary to cause the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to be approved for listing on the Principal Trading Market as promptly as possible.</w:t>
      </w:r>
    </w:p>
    <w:p>
      <w:pPr>
        <w:spacing w:after="0" w:line="162"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b w:val="1"/>
          <w:bCs w:val="1"/>
          <w:color w:val="auto"/>
        </w:rPr>
        <w:t>4.9 Form D; Blue Sky</w:t>
      </w:r>
      <w:r>
        <w:rPr>
          <w:rFonts w:ascii="Arial" w:cs="Arial" w:eastAsia="Arial" w:hAnsi="Arial"/>
          <w:sz w:val="17"/>
          <w:szCs w:val="17"/>
          <w:color w:val="auto"/>
        </w:rPr>
        <w:t>. The Company agrees to timely file a Form D with respect to the Securities as required under Regulation D and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a copy thereof, promptly upon the written request of any Purchaser. The Company, on or before the Closing Date, shall take such action as the Company shall reasonably determine is necessary in order to obtain an exemption for or to qualify the Securities for sale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09" w:name="page410"/>
    <w:bookmarkEnd w:id="409"/>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Purchasers under applicable securities or “blue sky” Laws of the states of the United States (or to obtain an exemption from such qualification) and shall provide evidence of such actions promptly upon the written request of any Purchaser.</w:t>
      </w:r>
    </w:p>
    <w:p>
      <w:pPr>
        <w:spacing w:after="0" w:line="16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4.10 Short Sales After the Date Hereof</w:t>
      </w:r>
      <w:r>
        <w:rPr>
          <w:rFonts w:ascii="Arial" w:cs="Arial" w:eastAsia="Arial" w:hAnsi="Arial"/>
          <w:sz w:val="18"/>
          <w:szCs w:val="18"/>
          <w:color w:val="auto"/>
        </w:rPr>
        <w:t>. Such Purchaser shall not engage, directly or indirectly, in any transactions in the Company’s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any Short Sales involving the Company’s securities) during the period from the date hereof until the earlier of such time as (i) the transactions contemplated by this Agreement are first publicly announced as required by and described in Section 4.4 or (ii) this Agreement is terminated in full pursuant to Section 6.18.</w:t>
      </w:r>
    </w:p>
    <w:p>
      <w:pPr>
        <w:spacing w:after="0" w:line="184"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Section 4.4;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each Purchaser agrees, severally and not jointly with any Purchasers, that they will not enter into any Net Short Sales (as hereinafter</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from the period commencing on the Closing Date and ending on the earliest of (x) the Effective Date, (y) the twenty-four (24) month anniversary of the Closing Date or (z) the date that such Purchaser no longer holds any Securities. For purposes of this Section 4.12, a “</w:t>
      </w:r>
      <w:r>
        <w:rPr>
          <w:rFonts w:ascii="Arial" w:cs="Arial" w:eastAsia="Arial" w:hAnsi="Arial"/>
          <w:sz w:val="17"/>
          <w:szCs w:val="17"/>
          <w:b w:val="1"/>
          <w:bCs w:val="1"/>
          <w:i w:val="1"/>
          <w:iCs w:val="1"/>
          <w:color w:val="auto"/>
        </w:rPr>
        <w:t>Net Short Sale</w:t>
      </w:r>
      <w:r>
        <w:rPr>
          <w:rFonts w:ascii="Arial" w:cs="Arial" w:eastAsia="Arial" w:hAnsi="Arial"/>
          <w:sz w:val="17"/>
          <w:szCs w:val="17"/>
          <w:color w:val="auto"/>
        </w:rPr>
        <w:t>” by any Purchaser shall mean a sale of Common Stock by such Purchaser that is marked by such Purchaser as a short sale and that is made at a time when there is no equivalent offsetting long position in Common Stock held by such Purchaser. Notwithstanding the foregoing, in the event that a Purchaser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apply only with respect to the portion of assets managed by the portfolio manager that have knowledge about the financing transaction contemplated by this Agreement. Moreover, notwithstanding the foregoing, in the event that a Purchaser has sold Securities pursuant to Rule 144 prior to the Effective Date and the Company has failed to deliver certificates without legends prior to the settlement date for such sale (assuming that such certificates meet the requirements set forth in Section 4.1(c) for the removal of legends), the provisions of this Section 4.10 shall not prohibit the Purchaser from entering into Net Short Sales for the purpose of delivering shares of Common Stock in settlement of such sale. Each Purchaser understands and acknowledges, severally and not jointly with any other Purchaser, that the Commission currently takes the position that covering a short position established prior to effectiveness of a resale registration statement with shares included in such registration statement would be a violation of Item 239.10 of the Securities Act Sections Compliance and Disclosure Interpretations issued by the Commission’s Division of Corporation Finance.</w:t>
      </w:r>
    </w:p>
    <w:p>
      <w:pPr>
        <w:spacing w:after="0" w:line="186"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4.11 Beneficial Ownership Limitation</w:t>
      </w:r>
      <w:r>
        <w:rPr>
          <w:rFonts w:ascii="Arial" w:cs="Arial" w:eastAsia="Arial" w:hAnsi="Arial"/>
          <w:sz w:val="17"/>
          <w:szCs w:val="17"/>
          <w:color w:val="auto"/>
        </w:rPr>
        <w:t>. Notwithstanding anything to the contrary set forth in the Certificate of Designation,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effect any conversion of any share of Series A Preferred Stock, and a Purchaser shall not have the right to convert any portion of its Series A Preferred Stock, to the extent that, after giving effect to such attempted conversion set forth on an applicable Notice of Conversion (as defined in the Certificate of Designation) with respect to the Series A Preferred Stock, such Purchaser (or any of such Purchaser’s Affiliates or any other Person who would be a beneficial owner of Common Stock beneficially owned by the Purchaser for purposes of Section 13(d) or Section 16 of the Exchange Act and the applicable rules and regulations of the Commission, including any “group” of which the Purchaser is a member (the foregoing, “</w:t>
      </w:r>
      <w:r>
        <w:rPr>
          <w:rFonts w:ascii="Arial" w:cs="Arial" w:eastAsia="Arial" w:hAnsi="Arial"/>
          <w:sz w:val="17"/>
          <w:szCs w:val="17"/>
          <w:b w:val="1"/>
          <w:bCs w:val="1"/>
          <w:i w:val="1"/>
          <w:iCs w:val="1"/>
          <w:color w:val="auto"/>
        </w:rPr>
        <w:t>Attribution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would beneficially own a number of shares of Common Stock in excess of the Beneficial Ownership Limitation (as defined below).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purposes of the foregoing sentence, the aggregate number of shares of Common Stock beneficially owned by such Purchaser and its Attribution Parties shall include the number of shares of Common Stock issuable upon conversion of the Series A Preferred Stock subject to the Notice of Conversion or the Automatic Conversion, as applicable, with respect to which such determination is being made, but shall exclude the number of shares of Common Stock which are issuable upon (i) conversion of the remaining, unconverted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10" w:name="page411"/>
    <w:bookmarkEnd w:id="410"/>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Series A Preferred Stock beneficially owned by such Purchaser or any of its Attribution Parties, and (ii) exercise or conversion of the unexercised or unconverted portion of any other securities of the Company beneficially owned by such Purchaser or any of its Attribution Parties that are subject to and would exceed a limitation on conversion or exercise similar to the limitation contained herein. Except as set forth in the preceding sentence, for purposes of this Section 4.11,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Section 4.11, in determining the number of outstanding shares of Common Stock, a Purchaser may rely on the number of outstanding shares of Common Stock as stated in the most recent of the following: (i) the Company’s most recent periodic or annual filing with the Commission, as the case may be, (ii) a more recent public announcement by the Company that is filed with the Commission, or (iii) a more recent notice by the Company or the Company’s transfer agent to the Purchaser setting forth the number of shares of Common Stock then outstanding. For any reason at any time, upon the written request of a Purchaser (which may be by e-mail), the Company shall, within two (2) Trading Days of such request, confirm in writing to such Purchaser (which may be by e-mail) the number of shares of Common Stock then outstanding. In any case, the number of outstanding shares of Common Stock shall be determined after giving effect to any actual conversion or exercise of securities of the Company, including Series A Preferred Stock, by such Purchaser or its Attribution Parties since the date as of which such number of outstanding shares of Common Stock was last publicly reported or confirmed to the Purchaser. The “</w:t>
      </w:r>
      <w:r>
        <w:rPr>
          <w:rFonts w:ascii="Arial" w:cs="Arial" w:eastAsia="Arial" w:hAnsi="Arial"/>
          <w:sz w:val="16"/>
          <w:szCs w:val="16"/>
          <w:b w:val="1"/>
          <w:bCs w:val="1"/>
          <w:i w:val="1"/>
          <w:iCs w:val="1"/>
          <w:color w:val="auto"/>
        </w:rPr>
        <w:t>Beneficial Ownership Limitation</w:t>
      </w:r>
      <w:r>
        <w:rPr>
          <w:rFonts w:ascii="Arial" w:cs="Arial" w:eastAsia="Arial" w:hAnsi="Arial"/>
          <w:sz w:val="16"/>
          <w:szCs w:val="16"/>
          <w:color w:val="auto"/>
        </w:rPr>
        <w:t>” shall initially be set at the discretion of each Purchaser to a percentage between 0% and 19.9% of the number of shares of the Common Stock outstanding or deemed to be outstanding as of the applicable measurement date, and such percentage shall be set at 19.9% for any Holder that does not make such designation on the signature page hereto The Company shall be entitled to rely on representations made to it by any Purchaser in any Notice of Conversion regarding its Beneficial Ownership Limitation. Notwithstanding the foregoing, by written notice to the Company, (i) any Purchaser may reset the Beneficial Ownership Limitation percentage to a higher percentage, not to exceed 19.9%, which increase will not be effective until the sixty-first (61st) day after such written notice is delivered to the Company, and (ii) any Purchaser may reset the Beneficial Ownership Limitation percentage to a lower percentage provided that such decrease shall not become effective until the later of (x) 5:00 p.m. Eastern time on the third Business Day after the date of the Stockholder Approval and</w:t>
      </w:r>
    </w:p>
    <w:p>
      <w:pPr>
        <w:spacing w:after="0" w:line="10" w:lineRule="exact"/>
        <w:rPr>
          <w:sz w:val="20"/>
          <w:szCs w:val="20"/>
          <w:color w:val="auto"/>
        </w:rPr>
      </w:pPr>
    </w:p>
    <w:p>
      <w:pPr>
        <w:ind w:left="4" w:right="20" w:hanging="4"/>
        <w:spacing w:after="0" w:line="286" w:lineRule="auto"/>
        <w:tabs>
          <w:tab w:leader="none" w:pos="25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if Stockholder Approval is not obtained within six months after the initial issuance of the Series A Preferred Stock, the date that is three Business Days after the date that is six months after the initial issuance of the Series A Preferred Stock. Upon such a change by a Purchaser of the Beneficial Ownership Limitation, not to exceed 19.9%, the Beneficial Ownership Limitation may not be further amended by such Purchaser without first providing the minimum notice required by this Section 4.11. Notwithstanding the foregoing, at any time following notice of a Fundamental Transaction, the Purchaser may waive and/or change the Beneficial Ownership Limitation effective immediately upon written notice to the Company and may reinstitute a Beneficial Ownership Limitation at any time thereafter effective immediately upon written notice to the Company. The provisions of this Section 4.11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w:t>
      </w:r>
    </w:p>
    <w:p>
      <w:pPr>
        <w:spacing w:after="0" w:line="168" w:lineRule="exact"/>
        <w:rPr>
          <w:sz w:val="20"/>
          <w:szCs w:val="20"/>
          <w:color w:val="auto"/>
        </w:rPr>
      </w:pPr>
    </w:p>
    <w:p>
      <w:pPr>
        <w:ind w:left="4" w:right="200" w:firstLine="440"/>
        <w:spacing w:after="0" w:line="258" w:lineRule="auto"/>
        <w:rPr>
          <w:sz w:val="20"/>
          <w:szCs w:val="20"/>
          <w:color w:val="auto"/>
        </w:rPr>
      </w:pPr>
      <w:r>
        <w:rPr>
          <w:rFonts w:ascii="Arial" w:cs="Arial" w:eastAsia="Arial" w:hAnsi="Arial"/>
          <w:sz w:val="18"/>
          <w:szCs w:val="18"/>
          <w:b w:val="1"/>
          <w:bCs w:val="1"/>
          <w:color w:val="auto"/>
        </w:rPr>
        <w:t>4.12 Requisite Stockholder Approval</w:t>
      </w:r>
      <w:r>
        <w:rPr>
          <w:rFonts w:ascii="Arial" w:cs="Arial" w:eastAsia="Arial" w:hAnsi="Arial"/>
          <w:sz w:val="18"/>
          <w:szCs w:val="18"/>
          <w:color w:val="auto"/>
        </w:rPr>
        <w:t>. The Company shall hold a special meeting of stockholders (a “</w:t>
      </w:r>
      <w:r>
        <w:rPr>
          <w:rFonts w:ascii="Arial" w:cs="Arial" w:eastAsia="Arial" w:hAnsi="Arial"/>
          <w:sz w:val="18"/>
          <w:szCs w:val="18"/>
          <w:b w:val="1"/>
          <w:bCs w:val="1"/>
          <w:i w:val="1"/>
          <w:iCs w:val="1"/>
          <w:color w:val="auto"/>
        </w:rPr>
        <w:t>Stockholder Meeting</w:t>
      </w:r>
      <w:r>
        <w:rPr>
          <w:rFonts w:ascii="Arial" w:cs="Arial" w:eastAsia="Arial" w:hAnsi="Arial"/>
          <w:sz w:val="18"/>
          <w:szCs w:val="18"/>
          <w:color w:val="auto"/>
        </w:rPr>
        <w:t>”) within 75 days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Closing (the “</w:t>
      </w:r>
      <w:r>
        <w:rPr>
          <w:rFonts w:ascii="Arial" w:cs="Arial" w:eastAsia="Arial" w:hAnsi="Arial"/>
          <w:sz w:val="18"/>
          <w:szCs w:val="18"/>
          <w:b w:val="1"/>
          <w:bCs w:val="1"/>
          <w:i w:val="1"/>
          <w:iCs w:val="1"/>
          <w:color w:val="auto"/>
        </w:rPr>
        <w:t>Stockholder Meeting Deadline</w:t>
      </w:r>
      <w:r>
        <w:rPr>
          <w:rFonts w:ascii="Arial" w:cs="Arial" w:eastAsia="Arial" w:hAnsi="Arial"/>
          <w:sz w:val="18"/>
          <w:szCs w:val="18"/>
          <w:color w:val="auto"/>
        </w:rPr>
        <w:t>”) for the purpose of obtaining stockholder approval of the conversion of all issued and outstanding Series A Preferred Stock into shares of Common Stock in accordance with the Nasdaq Stock Market Rules (the “</w:t>
      </w:r>
      <w:r>
        <w:rPr>
          <w:rFonts w:ascii="Arial" w:cs="Arial" w:eastAsia="Arial" w:hAnsi="Arial"/>
          <w:sz w:val="18"/>
          <w:szCs w:val="18"/>
          <w:b w:val="1"/>
          <w:bCs w:val="1"/>
          <w:i w:val="1"/>
          <w:iCs w:val="1"/>
          <w:color w:val="auto"/>
        </w:rPr>
        <w:t>Requisite Stockholder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Approval</w:t>
      </w:r>
      <w:r>
        <w:rPr>
          <w:rFonts w:ascii="Arial" w:cs="Arial" w:eastAsia="Arial" w:hAnsi="Arial"/>
          <w:sz w:val="18"/>
          <w:szCs w:val="18"/>
          <w:color w:val="auto"/>
        </w:rPr>
        <w:t>”). The Company shall use its best efforts to solicit its stockholders’ approval of such resolution and to cause the Board of Directors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 to the stockholders that they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411" w:name="page412"/>
    <w:bookmarkEnd w:id="411"/>
    <w:p>
      <w:pPr>
        <w:ind w:right="3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approve such resolution. If the Requisite Stockholder Approval is not obtained on or prior to the Stockholder Meeting Deadline, the Company shall cause an additional Stockholder Meeting to be held within 90 days from the prior meeting (the “</w:t>
      </w:r>
      <w:r>
        <w:rPr>
          <w:rFonts w:ascii="Arial" w:cs="Arial" w:eastAsia="Arial" w:hAnsi="Arial"/>
          <w:sz w:val="17"/>
          <w:szCs w:val="17"/>
          <w:b w:val="1"/>
          <w:bCs w:val="1"/>
          <w:i w:val="1"/>
          <w:iCs w:val="1"/>
          <w:color w:val="auto"/>
        </w:rPr>
        <w:t>Extended Stockholder Approval Period</w:t>
      </w:r>
      <w:r>
        <w:rPr>
          <w:rFonts w:ascii="Arial" w:cs="Arial" w:eastAsia="Arial" w:hAnsi="Arial"/>
          <w:sz w:val="17"/>
          <w:szCs w:val="17"/>
          <w:color w:val="auto"/>
        </w:rPr>
        <w:t>”). If the Requisite Stockholder Approval is not obtained within the Extended Stockholder Approval Period, then the Company shall convene additional stockholder meetings every 90 days thereafter until the Requisite Stockholder Approval is obtained. The Company shall enforce the terms of each Support Agreement, and shall not amend or waive any provision of any Support Agreement.</w:t>
      </w:r>
    </w:p>
    <w:p>
      <w:pPr>
        <w:spacing w:after="0" w:line="172" w:lineRule="exact"/>
        <w:rPr>
          <w:sz w:val="20"/>
          <w:szCs w:val="20"/>
          <w:color w:val="auto"/>
        </w:rPr>
      </w:pPr>
    </w:p>
    <w:p>
      <w:pPr>
        <w:ind w:right="140" w:firstLine="440"/>
        <w:spacing w:after="0" w:line="274" w:lineRule="auto"/>
        <w:rPr>
          <w:sz w:val="20"/>
          <w:szCs w:val="20"/>
          <w:color w:val="auto"/>
        </w:rPr>
      </w:pPr>
      <w:r>
        <w:rPr>
          <w:rFonts w:ascii="Arial" w:cs="Arial" w:eastAsia="Arial" w:hAnsi="Arial"/>
          <w:sz w:val="17"/>
          <w:szCs w:val="17"/>
          <w:b w:val="1"/>
          <w:bCs w:val="1"/>
          <w:color w:val="auto"/>
        </w:rPr>
        <w:t>4.13 Conversion and Exercise Procedures</w:t>
      </w:r>
      <w:r>
        <w:rPr>
          <w:rFonts w:ascii="Arial" w:cs="Arial" w:eastAsia="Arial" w:hAnsi="Arial"/>
          <w:sz w:val="17"/>
          <w:szCs w:val="17"/>
          <w:color w:val="auto"/>
        </w:rPr>
        <w:t>. The form of Notice of Conversion included in the Certificate of Designation sets forth the totality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procedures required of the Purchasers in order to convert the Securities. Without limiting the preceding sentence, no ink-original Notice of Conversion shall be required, nor shall any medallion guarantee (or other type of guarantee or notarization) of any Notice of Conversion form be required in order for the registered holder thereof to convert the Securities. No additional legal opinion, other information or instructions shall be required of a Purchaser to convert its Securities. The Company shall honor conversions of the Securities and shall deliver Conversion Shares in accordance with the terms, conditions and time periods set forth in the Transaction Documents.</w:t>
      </w:r>
    </w:p>
    <w:p>
      <w:pPr>
        <w:spacing w:after="0" w:line="173"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b w:val="1"/>
          <w:bCs w:val="1"/>
          <w:color w:val="auto"/>
        </w:rPr>
        <w:t>4.14 Lock-Up Agreements</w:t>
      </w:r>
      <w:r>
        <w:rPr>
          <w:rFonts w:ascii="Arial" w:cs="Arial" w:eastAsia="Arial" w:hAnsi="Arial"/>
          <w:sz w:val="18"/>
          <w:szCs w:val="18"/>
          <w:color w:val="auto"/>
        </w:rPr>
        <w:t>. The Company shall not consent or agree to amend, alter, waive or otherwise modify the terms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Lock-Up Agreements (as defined in the Merger Agreement) without the consent of the Placement Agents.</w:t>
      </w:r>
    </w:p>
    <w:p>
      <w:pPr>
        <w:spacing w:after="0" w:line="162"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4.15 Indemnification of Purchasers</w:t>
      </w:r>
      <w:r>
        <w:rPr>
          <w:rFonts w:ascii="Arial" w:cs="Arial" w:eastAsia="Arial" w:hAnsi="Arial"/>
          <w:sz w:val="16"/>
          <w:szCs w:val="16"/>
          <w:color w:val="auto"/>
        </w:rPr>
        <w:t>. Subject to the provisions of this Section 4.15, the Company will indemnify and hold each Purchaser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directors, officers, shareholders, members, partners, employees, investment advisers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investment advisers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b w:val="1"/>
          <w:bCs w:val="1"/>
          <w:i w:val="1"/>
          <w:iCs w:val="1"/>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(i) any breach of any of the representations, warranties, covenants or agreements made by the Company in this Agreement or in the other Transaction Documents or (ii) any Action instituted against a Purchaser in any capacity, or any Purchaser Party, by any stockholder of the Company who is not an Affiliate of such Purchaser seeking indemnification, with respect to any of the transactions contemplated by the Transaction Documents (unless such Action is based upon a breach of such Purchaser’s representations, warranties or covenants under the Transaction Documents). Promptly after receipt by any such Person (the “</w:t>
      </w:r>
      <w:r>
        <w:rPr>
          <w:rFonts w:ascii="Arial" w:cs="Arial" w:eastAsia="Arial" w:hAnsi="Arial"/>
          <w:sz w:val="16"/>
          <w:szCs w:val="16"/>
          <w:b w:val="1"/>
          <w:bCs w:val="1"/>
          <w:i w:val="1"/>
          <w:iCs w:val="1"/>
          <w:color w:val="auto"/>
        </w:rPr>
        <w:t>Indemnified Person</w:t>
      </w:r>
      <w:r>
        <w:rPr>
          <w:rFonts w:ascii="Arial" w:cs="Arial" w:eastAsia="Arial" w:hAnsi="Arial"/>
          <w:sz w:val="16"/>
          <w:szCs w:val="16"/>
          <w:color w:val="auto"/>
        </w:rPr>
        <w:t>”) of notice of any demand, claim or circumstances that would or may give rise to a claim or the commencement of any Proceeding or investigation in respect of which indemnity may be sought pursuant to this Section 4.15, such Indemnified Person shall promptly notify the Company in writing and the Company shall assume the defense thereof, including the employment of counsel reasonably satisfactory to such Indemnified Person, and shall assume the payment of all fees and expenses relating to such Proceeding or investigation; provided, however, that the failure of any Indemnified Person so to notify the Company shall not relieve the Company of its obligations hereunder except to the extent that the Company is actually and materially prejudiced by such failure to notify. In any such proceeding, any Indemnified Person shall have the right to retain its own counsel, but the fees and expenses of such counsel shall be at the expense of such Indemnified Person unless: (i) the Company and the Indemnified Person shall have mutually agreed to the retention of such counsel; (ii) the Company shall have failed promptly to assume the defense of such proceeding and to employ counsel reasonably satisfactory to such Indemnified Person in such proceeding; or (iii) in the reasonable judgment of counsel to such Indemnified Person, representation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12" w:name="page413"/>
    <w:bookmarkEnd w:id="412"/>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both parties by the same counsel would be inappropriate due to actual or potential differing interests between them. In the event of the circumstances described in the foregoing clause (iii), if the Indemnified Person notifies the Company in writing that such Indemnified Person elects to employ separate counsel at the expense of the Company, then the Company shall not have the right to assume the defense of such claim on behalf of such Indemnified Person. The Company shall not be liable for any settlement of any proceeding effected without its prior written consent, which consent shall not be unreasonably withheld, delayed or conditioned or to the extent fees or costs incurred pursuant to this Section 4.15 are attributable to the Indemnified Person’s breach of any of the representations, warranties, covenants or agreements made by the Purchasers in this Agreement or the other Transaction Documents. Without the prior written consent of the Indemnified Person, which consent shall not be unreasonably withheld, delayed or conditioned, the Company shall not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arising out of such proceeding.</w:t>
      </w:r>
    </w:p>
    <w:p>
      <w:pPr>
        <w:spacing w:after="0" w:line="181"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4.16 Equal Treatment of Purchasers</w:t>
      </w:r>
      <w:r>
        <w:rPr>
          <w:rFonts w:ascii="Arial" w:cs="Arial" w:eastAsia="Arial" w:hAnsi="Arial"/>
          <w:sz w:val="16"/>
          <w:szCs w:val="16"/>
          <w:color w:val="auto"/>
        </w:rPr>
        <w:t>. No consideration shall be offered or paid to any Purchaser to amend or consent to a waiver or</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of any provision of this Agreement unless the same consideration is also offered to all of the Purchasers. For clarification purposes, this provision constitutes a separate right granted to each Purchaser by the Company and negotiated separately by each Purchaser and shall not in any way be construed as the Purchasers acting in concert or as a group with respect to the purchase, disposition or voting of shares of Common Stock or otherwise.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CLOSING</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5.1 Conditions Precedent to the Obligations of the Purchasers to Purchase Securities</w:t>
      </w:r>
      <w:r>
        <w:rPr>
          <w:rFonts w:ascii="Arial" w:cs="Arial" w:eastAsia="Arial" w:hAnsi="Arial"/>
          <w:sz w:val="18"/>
          <w:szCs w:val="18"/>
          <w:color w:val="auto"/>
        </w:rPr>
        <w:t>. The obligation of each Purchaser to acquire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is subject to the fulfillment to such Purchaser’s satisfaction, on or prior to the Closing Date, of each of the following conditions, any of which may be waived by such Purchaser (as to itself only):</w:t>
      </w:r>
    </w:p>
    <w:p>
      <w:pPr>
        <w:spacing w:after="0" w:line="176" w:lineRule="exact"/>
        <w:rPr>
          <w:sz w:val="20"/>
          <w:szCs w:val="20"/>
          <w:color w:val="auto"/>
        </w:rPr>
      </w:pPr>
    </w:p>
    <w:p>
      <w:pPr>
        <w:ind w:right="160" w:firstLine="987"/>
        <w:spacing w:after="0" w:line="256" w:lineRule="auto"/>
        <w:tabs>
          <w:tab w:leader="none" w:pos="1381"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The representations and warranties of the Company contained herein shall be true and correct in</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such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w:t>
      </w:r>
    </w:p>
    <w:p>
      <w:pPr>
        <w:spacing w:after="0" w:line="187" w:lineRule="exact"/>
        <w:rPr>
          <w:rFonts w:ascii="Arial" w:cs="Arial" w:eastAsia="Arial" w:hAnsi="Arial"/>
          <w:sz w:val="18"/>
          <w:szCs w:val="18"/>
          <w:b w:val="1"/>
          <w:bCs w:val="1"/>
          <w:color w:val="auto"/>
        </w:rPr>
      </w:pPr>
    </w:p>
    <w:p>
      <w:pPr>
        <w:ind w:firstLine="987"/>
        <w:spacing w:after="0" w:line="312" w:lineRule="auto"/>
        <w:tabs>
          <w:tab w:leader="none" w:pos="1391" w:val="left"/>
        </w:tabs>
        <w:numPr>
          <w:ilvl w:val="0"/>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w:t>
      </w:r>
      <w:r>
        <w:rPr>
          <w:rFonts w:ascii="Arial" w:cs="Arial" w:eastAsia="Arial" w:hAnsi="Arial"/>
          <w:sz w:val="17"/>
          <w:szCs w:val="17"/>
          <w:color w:val="auto"/>
        </w:rPr>
        <w:t>. The Company shall have performed, satisfied and complied in all material respects with all covenants, agreements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required by the Transaction Documents to be performed, satisfied or complied with by it at or prior to the Closing.</w:t>
      </w:r>
    </w:p>
    <w:p>
      <w:pPr>
        <w:spacing w:after="0" w:line="139" w:lineRule="exact"/>
        <w:rPr>
          <w:rFonts w:ascii="Arial" w:cs="Arial" w:eastAsia="Arial" w:hAnsi="Arial"/>
          <w:sz w:val="17"/>
          <w:szCs w:val="17"/>
          <w:b w:val="1"/>
          <w:bCs w:val="1"/>
          <w:color w:val="auto"/>
        </w:rPr>
      </w:pPr>
    </w:p>
    <w:p>
      <w:pPr>
        <w:ind w:right="100" w:firstLine="987"/>
        <w:spacing w:after="0" w:line="266" w:lineRule="auto"/>
        <w:tabs>
          <w:tab w:leader="none" w:pos="1371"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No Injunction</w:t>
      </w:r>
      <w:r>
        <w:rPr>
          <w:rFonts w:ascii="Arial" w:cs="Arial" w:eastAsia="Arial" w:hAnsi="Arial"/>
          <w:sz w:val="18"/>
          <w:szCs w:val="18"/>
          <w:color w:val="auto"/>
        </w:rPr>
        <w:t>. No statute, rule, regulation, order, executive order, decree, judgment, writ, order, ruling or injunction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enacted, entered, promulgated, issued or endorsed by any court of competent jurisdiction or any Governmental Authority that enjoins, prevents or prohibits the consummation of any of the transactions contemplated by the Transaction Documents.</w:t>
      </w:r>
    </w:p>
    <w:p>
      <w:pPr>
        <w:spacing w:after="0" w:line="175" w:lineRule="exact"/>
        <w:rPr>
          <w:rFonts w:ascii="Arial" w:cs="Arial" w:eastAsia="Arial" w:hAnsi="Arial"/>
          <w:sz w:val="18"/>
          <w:szCs w:val="18"/>
          <w:b w:val="1"/>
          <w:bCs w:val="1"/>
          <w:color w:val="auto"/>
        </w:rPr>
      </w:pPr>
    </w:p>
    <w:p>
      <w:pPr>
        <w:ind w:right="60" w:firstLine="987"/>
        <w:spacing w:after="0" w:line="266" w:lineRule="auto"/>
        <w:tabs>
          <w:tab w:leader="none" w:pos="1391"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The Company shall have obtained in a timely fashion any and all consents, permits, approvals, registrations and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for consummation of the purchase and sale of the Securities (except for the Requisite Stockholder Approval), all of which shall be and remain so long as necessary in full force and effect.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413" w:name="page414"/>
    <w:bookmarkEnd w:id="413"/>
    <w:p>
      <w:pPr>
        <w:ind w:right="320" w:firstLine="987"/>
        <w:spacing w:after="0" w:line="282" w:lineRule="auto"/>
        <w:tabs>
          <w:tab w:leader="none" w:pos="1371"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Adverse Changes</w:t>
      </w:r>
      <w:r>
        <w:rPr>
          <w:rFonts w:ascii="Arial" w:cs="Arial" w:eastAsia="Arial" w:hAnsi="Arial"/>
          <w:sz w:val="18"/>
          <w:szCs w:val="18"/>
          <w:color w:val="auto"/>
        </w:rPr>
        <w:t>. Since the date of execution of this Agreement, no event or series of events shall have occurred that has had or</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have a Material Adverse Effect.</w:t>
      </w:r>
    </w:p>
    <w:p>
      <w:pPr>
        <w:spacing w:after="0" w:line="161" w:lineRule="exact"/>
        <w:rPr>
          <w:rFonts w:ascii="Arial" w:cs="Arial" w:eastAsia="Arial" w:hAnsi="Arial"/>
          <w:sz w:val="18"/>
          <w:szCs w:val="18"/>
          <w:b w:val="1"/>
          <w:bCs w:val="1"/>
          <w:color w:val="auto"/>
        </w:rPr>
      </w:pPr>
    </w:p>
    <w:p>
      <w:pPr>
        <w:ind w:right="100" w:firstLine="987"/>
        <w:spacing w:after="0" w:line="274" w:lineRule="auto"/>
        <w:tabs>
          <w:tab w:leader="none" w:pos="1351"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No Suspensions of Trading in Common Stock; No Stop Orders; Listing</w:t>
      </w:r>
      <w:r>
        <w:rPr>
          <w:rFonts w:ascii="Arial" w:cs="Arial" w:eastAsia="Arial" w:hAnsi="Arial"/>
          <w:sz w:val="17"/>
          <w:szCs w:val="17"/>
          <w:color w:val="auto"/>
        </w:rPr>
        <w:t>. The Common Stock shall not have been suspended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Commission or the Principal Trading Market from trading on the Principal Trading Market nor shall suspension by the Commission or the Principal Trading Market have been threatened, either (i) in writing by the Commission or the Principal Trading Market or (ii) by falling below the minimum listing maintenance requirements of the Principal Trading Market. No stop order shall have been imposed by Nasdaq, the Commission or any other Governmental Authority or regulatory body with respect to public trading in the Common Stock. Nasdaq shall have raised no objection to the consummation of the transactions contemplated by the Transaction Documents or the Merger Agreement.</w:t>
      </w:r>
    </w:p>
    <w:p>
      <w:pPr>
        <w:spacing w:after="0" w:line="173" w:lineRule="exact"/>
        <w:rPr>
          <w:rFonts w:ascii="Arial" w:cs="Arial" w:eastAsia="Arial" w:hAnsi="Arial"/>
          <w:sz w:val="17"/>
          <w:szCs w:val="17"/>
          <w:b w:val="1"/>
          <w:bCs w:val="1"/>
          <w:color w:val="auto"/>
        </w:rPr>
      </w:pPr>
    </w:p>
    <w:p>
      <w:pPr>
        <w:ind w:left="1380" w:hanging="393"/>
        <w:spacing w:after="0"/>
        <w:tabs>
          <w:tab w:leader="none" w:pos="1380"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Company Deliverables</w:t>
      </w:r>
      <w:r>
        <w:rPr>
          <w:rFonts w:ascii="Arial" w:cs="Arial" w:eastAsia="Arial" w:hAnsi="Arial"/>
          <w:sz w:val="17"/>
          <w:szCs w:val="17"/>
          <w:color w:val="auto"/>
        </w:rPr>
        <w:t>. The Company shall have delivered the Company Deliverables in accordance with Section 2.3(a).</w:t>
      </w:r>
    </w:p>
    <w:p>
      <w:pPr>
        <w:spacing w:after="0" w:line="236" w:lineRule="exact"/>
        <w:rPr>
          <w:rFonts w:ascii="Arial" w:cs="Arial" w:eastAsia="Arial" w:hAnsi="Arial"/>
          <w:sz w:val="17"/>
          <w:szCs w:val="17"/>
          <w:b w:val="1"/>
          <w:bCs w:val="1"/>
          <w:color w:val="auto"/>
        </w:rPr>
      </w:pPr>
    </w:p>
    <w:p>
      <w:pPr>
        <w:ind w:right="80" w:firstLine="987"/>
        <w:spacing w:after="0" w:line="266" w:lineRule="auto"/>
        <w:tabs>
          <w:tab w:leader="none" w:pos="1391"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Certificate</w:t>
      </w:r>
      <w:r>
        <w:rPr>
          <w:rFonts w:ascii="Arial" w:cs="Arial" w:eastAsia="Arial" w:hAnsi="Arial"/>
          <w:sz w:val="18"/>
          <w:szCs w:val="18"/>
          <w:color w:val="auto"/>
        </w:rPr>
        <w:t>. The Company shall have delivered to each Purchaser a certificate, dated as of the Closing Date and signed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its Chief Executive Officer and its Chief Financial Officer, dated as of the Closing Date, certifying to the fulfillment of the conditions specified in Sections 5.1(a), (b), (f) and (i) in the form attached hereto as </w:t>
      </w:r>
      <w:r>
        <w:rPr>
          <w:rFonts w:ascii="Arial" w:cs="Arial" w:eastAsia="Arial" w:hAnsi="Arial"/>
          <w:sz w:val="18"/>
          <w:szCs w:val="18"/>
          <w:b w:val="1"/>
          <w:bCs w:val="1"/>
          <w:color w:val="auto"/>
        </w:rPr>
        <w:t>Exhibit F</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Merger</w:t>
      </w:r>
      <w:r>
        <w:rPr>
          <w:rFonts w:ascii="Arial" w:cs="Arial" w:eastAsia="Arial" w:hAnsi="Arial"/>
          <w:sz w:val="18"/>
          <w:szCs w:val="18"/>
          <w:color w:val="auto"/>
        </w:rPr>
        <w:t>. The Merger shall have been consummated in accordance with the Merger Agreement.</w:t>
      </w:r>
    </w:p>
    <w:p>
      <w:pPr>
        <w:spacing w:after="0" w:line="22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This Agreement shall not have been terminated as to such Purchaser in accordance with Section 6.18 herein.</w:t>
      </w:r>
    </w:p>
    <w:p>
      <w:pPr>
        <w:spacing w:after="0" w:line="237"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5.2 Conditions Precedent to the Obligations of the Company to issue Securities</w:t>
      </w:r>
      <w:r>
        <w:rPr>
          <w:rFonts w:ascii="Arial" w:cs="Arial" w:eastAsia="Arial" w:hAnsi="Arial"/>
          <w:sz w:val="18"/>
          <w:szCs w:val="18"/>
          <w:color w:val="auto"/>
        </w:rPr>
        <w:t>. The Company’s obligation to issue the Securities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to each Purchaser is subject to the fulfillment to the satisfaction of the Company on or prior to the Closing Date of the following conditions, any of which may be waived by the Company:</w:t>
      </w:r>
    </w:p>
    <w:p>
      <w:pPr>
        <w:spacing w:after="0" w:line="176" w:lineRule="exact"/>
        <w:rPr>
          <w:sz w:val="20"/>
          <w:szCs w:val="20"/>
          <w:color w:val="auto"/>
        </w:rPr>
      </w:pPr>
    </w:p>
    <w:p>
      <w:pPr>
        <w:ind w:firstLine="987"/>
        <w:spacing w:after="0" w:line="256" w:lineRule="auto"/>
        <w:tabs>
          <w:tab w:leader="none" w:pos="1381"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The representations and warranties made by each Purchaser in Section 3.2 hereof shall be true</w:t>
      </w:r>
      <w:r>
        <w:rPr>
          <w:rFonts w:ascii="Arial" w:cs="Arial" w:eastAsia="Arial" w:hAnsi="Arial"/>
          <w:sz w:val="18"/>
          <w:szCs w:val="18"/>
          <w:b w:val="1"/>
          <w:bCs w:val="1"/>
          <w:color w:val="auto"/>
        </w:rPr>
        <w:t xml:space="preserve"> </w:t>
      </w:r>
      <w:r>
        <w:rPr>
          <w:rFonts w:ascii="Arial" w:cs="Arial" w:eastAsia="Arial" w:hAnsi="Arial"/>
          <w:sz w:val="18"/>
          <w:szCs w:val="18"/>
          <w:color w:val="auto"/>
        </w:rPr>
        <w:t>and correct in all material respects (except for those representations and warranties which are qualified as to materiality, in which case such representations and warranties shall be true and correct in all respects) as of the date when made, and as of the Closing Date as though made on and as of such date, except for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w:t>
      </w:r>
    </w:p>
    <w:p>
      <w:pPr>
        <w:spacing w:after="0" w:line="187" w:lineRule="exact"/>
        <w:rPr>
          <w:rFonts w:ascii="Arial" w:cs="Arial" w:eastAsia="Arial" w:hAnsi="Arial"/>
          <w:sz w:val="18"/>
          <w:szCs w:val="18"/>
          <w:b w:val="1"/>
          <w:bCs w:val="1"/>
          <w:color w:val="auto"/>
        </w:rPr>
      </w:pPr>
    </w:p>
    <w:p>
      <w:pPr>
        <w:ind w:right="200" w:firstLine="987"/>
        <w:spacing w:after="0" w:line="347" w:lineRule="auto"/>
        <w:tabs>
          <w:tab w:leader="none" w:pos="1391"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w:t>
      </w:r>
      <w:r>
        <w:rPr>
          <w:rFonts w:ascii="Arial" w:cs="Arial" w:eastAsia="Arial" w:hAnsi="Arial"/>
          <w:sz w:val="16"/>
          <w:szCs w:val="16"/>
          <w:color w:val="auto"/>
        </w:rPr>
        <w:t>. Such Purchaser shall have performed, satisfied and complied in all material respects with all covenants,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required by the Transaction Documents to be performed, satisfied or complied with by such Purchaser at or prior to the Closing Date.</w:t>
      </w:r>
    </w:p>
    <w:p>
      <w:pPr>
        <w:spacing w:after="0" w:line="115" w:lineRule="exact"/>
        <w:rPr>
          <w:rFonts w:ascii="Arial" w:cs="Arial" w:eastAsia="Arial" w:hAnsi="Arial"/>
          <w:sz w:val="16"/>
          <w:szCs w:val="16"/>
          <w:b w:val="1"/>
          <w:bCs w:val="1"/>
          <w:color w:val="auto"/>
        </w:rPr>
      </w:pPr>
    </w:p>
    <w:p>
      <w:pPr>
        <w:ind w:right="80" w:firstLine="987"/>
        <w:spacing w:after="0" w:line="266" w:lineRule="auto"/>
        <w:tabs>
          <w:tab w:leader="none" w:pos="1371"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No Injunction</w:t>
      </w:r>
      <w:r>
        <w:rPr>
          <w:rFonts w:ascii="Arial" w:cs="Arial" w:eastAsia="Arial" w:hAnsi="Arial"/>
          <w:sz w:val="18"/>
          <w:szCs w:val="18"/>
          <w:color w:val="auto"/>
        </w:rPr>
        <w:t>. No statute, rule, regulation, order, executive order, decree, judgment, writ, order, ruling or injunction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enacted, entered, promulgated, issued or endorsed by any court of competent jurisdiction or any Governmental Authority that enjoins, prevents or prohibits the consummation of any of the transactions contemplated by the Transaction Documents.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414" w:name="page415"/>
    <w:bookmarkEnd w:id="414"/>
    <w:p>
      <w:pPr>
        <w:ind w:left="1380" w:hanging="393"/>
        <w:spacing w:after="0"/>
        <w:tabs>
          <w:tab w:leader="none" w:pos="1380"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Purchasers Deliverables</w:t>
      </w:r>
      <w:r>
        <w:rPr>
          <w:rFonts w:ascii="Arial" w:cs="Arial" w:eastAsia="Arial" w:hAnsi="Arial"/>
          <w:sz w:val="17"/>
          <w:szCs w:val="17"/>
          <w:color w:val="auto"/>
        </w:rPr>
        <w:t>. Such Purchaser shall have delivered its Purchaser Deliverables in accordance with Section 2.3(b).</w:t>
      </w:r>
    </w:p>
    <w:p>
      <w:pPr>
        <w:spacing w:after="0" w:line="236" w:lineRule="exact"/>
        <w:rPr>
          <w:rFonts w:ascii="Arial" w:cs="Arial" w:eastAsia="Arial" w:hAnsi="Arial"/>
          <w:sz w:val="17"/>
          <w:szCs w:val="17"/>
          <w:b w:val="1"/>
          <w:bCs w:val="1"/>
          <w:color w:val="auto"/>
        </w:rPr>
      </w:pPr>
    </w:p>
    <w:p>
      <w:pPr>
        <w:ind w:right="160" w:firstLine="987"/>
        <w:spacing w:after="0" w:line="282" w:lineRule="auto"/>
        <w:tabs>
          <w:tab w:leader="none" w:pos="1371"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Merger</w:t>
      </w:r>
      <w:r>
        <w:rPr>
          <w:rFonts w:ascii="Arial" w:cs="Arial" w:eastAsia="Arial" w:hAnsi="Arial"/>
          <w:sz w:val="18"/>
          <w:szCs w:val="18"/>
          <w:color w:val="auto"/>
        </w:rPr>
        <w:t>. The Merger shall have been consummated in accordance with the Merger Agreement (which shall not have been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in any manner that is materially and adversely affects the Purchasers).</w:t>
      </w:r>
    </w:p>
    <w:p>
      <w:pPr>
        <w:spacing w:after="0" w:line="161" w:lineRule="exact"/>
        <w:rPr>
          <w:rFonts w:ascii="Arial" w:cs="Arial" w:eastAsia="Arial" w:hAnsi="Arial"/>
          <w:sz w:val="18"/>
          <w:szCs w:val="18"/>
          <w:b w:val="1"/>
          <w:bCs w:val="1"/>
          <w:color w:val="auto"/>
        </w:rPr>
      </w:pPr>
    </w:p>
    <w:p>
      <w:pPr>
        <w:ind w:left="1340" w:hanging="353"/>
        <w:spacing w:after="0"/>
        <w:tabs>
          <w:tab w:leader="none" w:pos="1340"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This Agreement shall not have been terminated as to such Purchaser in accordance with Section 6.18 herein.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6.1 Fees and Expenses</w:t>
      </w:r>
      <w:r>
        <w:rPr>
          <w:rFonts w:ascii="Arial" w:cs="Arial" w:eastAsia="Arial" w:hAnsi="Arial"/>
          <w:sz w:val="18"/>
          <w:szCs w:val="18"/>
          <w:color w:val="auto"/>
        </w:rPr>
        <w:t>. The Company and the Purchasers shall each pay the fees and expenses of their respective advisers, counsel, accountants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experts, if any, and all other expenses incurred by such party in connection with the negotiation, preparation, execution, delivery and performance of this Agreement. The Company shall pay all Transfer Agent fees, stamp taxes and other taxes and duties levied in connection with the issuance and sale of the Securities to the Purchasers.</w:t>
      </w:r>
    </w:p>
    <w:p>
      <w:pPr>
        <w:spacing w:after="0" w:line="18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6.2 Entire Agreement</w:t>
      </w:r>
      <w:r>
        <w:rPr>
          <w:rFonts w:ascii="Arial" w:cs="Arial" w:eastAsia="Arial" w:hAnsi="Arial"/>
          <w:sz w:val="17"/>
          <w:szCs w:val="17"/>
          <w:color w:val="auto"/>
        </w:rPr>
        <w:t>. The Transaction Documents, together with the exhibits and schedules thereto, contain the entire understanding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with respect to the subject matter hereof and thereof and supersede all prior agreements, understandings, discussions and representations, oral or written, with respect to such matters, which the parties acknowledge have been merged into such documents, exhibits and schedules. Before or at the Closing, the Company and the Purchasers will execute and deliver to the other such further documents as may be reasonably requested in order to give practical effect to the intention of the parties under the Transaction Documents.</w:t>
      </w:r>
    </w:p>
    <w:p>
      <w:pPr>
        <w:spacing w:after="0" w:line="168"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b w:val="1"/>
          <w:bCs w:val="1"/>
          <w:color w:val="auto"/>
        </w:rPr>
        <w:t>6.3 Notices</w:t>
      </w:r>
      <w:r>
        <w:rPr>
          <w:rFonts w:ascii="Arial" w:cs="Arial" w:eastAsia="Arial" w:hAnsi="Arial"/>
          <w:sz w:val="17"/>
          <w:szCs w:val="17"/>
          <w:color w:val="auto"/>
        </w:rPr>
        <w:t>. Any and all notices or other communications or deliveries required or permitted to be provided hereunder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given and effective on the earliest of (a) the date of transmission, if such notice or communication is delivered via electronic mail at the e-mail address specified in this Section 6.3 prior to 5:00 P.M., New York City time, on a Trading Day, (b) the next Trading Day after the date of transmission, if such notice or communication is delivered via electronic mail at the e- mail address or facsimile number specified in this Section 6.3 on a day that is not a Trading Day or later than 5:00 P.M., New York City time, on any Trading Day, (c) the Trading Day following the date of mailing, if sent by U.S. nationally recognized overnight courier service with next day delivery specified, or (d) upon actual receipt by the party to whom such notice is required to be given if delivered personally or if sent by U.S. certified or registered mail, return receipt requested; provided, in the case of clauses (a) and (b), that notice shall not be deemed given or effective if the sender receives an automatic system-generated response that such electronic mail was undeliverable. The address for such notices and communications shall be as follows:</w:t>
      </w:r>
    </w:p>
    <w:p>
      <w:pPr>
        <w:sectPr>
          <w:pgSz w:w="11900" w:h="16838" w:orient="portrait"/>
          <w:cols w:equalWidth="0" w:num="1">
            <w:col w:w="11000"/>
          </w:cols>
          <w:pgMar w:left="440" w:top="270" w:right="459" w:bottom="1440" w:gutter="0" w:footer="0" w:header="0"/>
        </w:sect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805 Las Cimas Parkway Suite 100, Austin, TX 78746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No.: (857) 222-4199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Jonathan Alspaugh,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sectPr>
          <w:pgSz w:w="11900" w:h="16838" w:orient="portrait"/>
          <w:cols w:equalWidth="0" w:num="2">
            <w:col w:w="1920" w:space="720"/>
            <w:col w:w="8360"/>
          </w:cols>
          <w:pgMar w:left="440" w:top="270"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00"/>
          </w:cols>
          <w:pgMar w:left="440" w:top="270" w:right="459" w:bottom="1440" w:gutter="0" w:footer="0" w:header="0"/>
          <w:type w:val="continuous"/>
        </w:sectPr>
      </w:pPr>
    </w:p>
    <w:bookmarkStart w:id="415" w:name="page416"/>
    <w:bookmarkEnd w:id="415"/>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-215900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110 N. Upper Wacker Dr., Suite 4200, Chicago, IL 60606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No.: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Courtney Tygesson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sectPr>
          <w:pgSz w:w="11900" w:h="16838" w:orient="portrait"/>
          <w:cols w:equalWidth="0" w:num="2">
            <w:col w:w="1920" w:space="720"/>
            <w:col w:w="8360"/>
          </w:cols>
          <w:pgMar w:left="440" w:top="274" w:right="459" w:bottom="1440" w:gutter="0" w:footer="0" w:header="0"/>
        </w:sectPr>
      </w:pPr>
    </w:p>
    <w:p>
      <w:pPr>
        <w:ind w:left="440"/>
        <w:spacing w:after="0"/>
        <w:rPr>
          <w:sz w:val="20"/>
          <w:szCs w:val="20"/>
          <w:color w:val="auto"/>
        </w:rPr>
      </w:pPr>
      <w:r>
        <w:rPr>
          <w:rFonts w:ascii="Arial" w:cs="Arial" w:eastAsia="Arial" w:hAnsi="Arial"/>
          <w:sz w:val="16"/>
          <w:szCs w:val="16"/>
          <w:color w:val="auto"/>
        </w:rPr>
        <w:t>If to a Purchaser: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the address set forth under such Purchaser’s name on Annex A hereto;</w:t>
      </w:r>
    </w:p>
    <w:p>
      <w:pPr>
        <w:spacing w:after="0" w:line="200" w:lineRule="exact"/>
        <w:rPr>
          <w:sz w:val="20"/>
          <w:szCs w:val="20"/>
          <w:color w:val="auto"/>
        </w:rPr>
      </w:pPr>
    </w:p>
    <w:p>
      <w:pPr>
        <w:sectPr>
          <w:pgSz w:w="11900" w:h="16838" w:orient="portrait"/>
          <w:cols w:equalWidth="0" w:num="2">
            <w:col w:w="1920" w:space="720"/>
            <w:col w:w="8360"/>
          </w:cols>
          <w:pgMar w:left="440" w:top="274"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or such other address as may be designated in writing hereafter, in the same manner, by such Person.</w:t>
      </w:r>
    </w:p>
    <w:p>
      <w:pPr>
        <w:spacing w:after="0" w:line="221"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b w:val="1"/>
          <w:bCs w:val="1"/>
          <w:color w:val="auto"/>
        </w:rPr>
        <w:t>6.4 Amendments; Waivers; No Additional Consideration</w:t>
      </w:r>
      <w:r>
        <w:rPr>
          <w:rFonts w:ascii="Arial" w:cs="Arial" w:eastAsia="Arial" w:hAnsi="Arial"/>
          <w:sz w:val="16"/>
          <w:szCs w:val="16"/>
          <w:color w:val="auto"/>
        </w:rPr>
        <w:t>. No provision of this Agreement may be waived, modified, supplemented or</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except in a written instrument signed, in the case of an amendment, by the Company and the Purchasers of at least a majority in interest of the Securities still held by Purchasers, provided that (i) no amendment to Section 4.4, Section 4.6, Section 4.10, Section 4.11 Section 4.12, Section 4.15, Section 4.16, this Section 6.4 or Section 6.18 may be made without the consent of each Purchaser, or, in the case of a waiver, by the party against whom enforcement of any such waiver is sought and (ii) any proposed amendment that would, by its terms, have a disproportionate and materially adverse effect on any Purchaser shall require the consent of such Purchaser(s).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No consideration shall be offered or paid to any Purchaser to amend or consent to a waiver or modification of any provision of any Transaction Document unless the same consideration is also offered to all Purchasers who then hold Securities.</w:t>
      </w:r>
    </w:p>
    <w:p>
      <w:pPr>
        <w:spacing w:after="0" w:line="161"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6.5 Construction</w:t>
      </w:r>
      <w:r>
        <w:rPr>
          <w:rFonts w:ascii="Arial" w:cs="Arial" w:eastAsia="Arial" w:hAnsi="Arial"/>
          <w:sz w:val="17"/>
          <w:szCs w:val="17"/>
          <w:color w:val="auto"/>
        </w:rPr>
        <w:t>. The headings herein are for convenience only, do not constitute a part of this Agreement and shall not be deemed to limit or</w:t>
      </w:r>
      <w:r>
        <w:rPr>
          <w:rFonts w:ascii="Arial" w:cs="Arial" w:eastAsia="Arial" w:hAnsi="Arial"/>
          <w:sz w:val="17"/>
          <w:szCs w:val="17"/>
          <w:b w:val="1"/>
          <w:bCs w:val="1"/>
          <w:color w:val="auto"/>
        </w:rPr>
        <w:t xml:space="preserve"> </w:t>
      </w:r>
      <w:r>
        <w:rPr>
          <w:rFonts w:ascii="Arial" w:cs="Arial" w:eastAsia="Arial" w:hAnsi="Arial"/>
          <w:sz w:val="17"/>
          <w:szCs w:val="17"/>
          <w:color w:val="auto"/>
        </w:rPr>
        <w:t>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 As used in this Agreement, the words “include” and “including,” and variations thereof, shall not be deemed to be terms of limitation, but rather shall be deemed to be followed by the words “without limitation.”</w:t>
      </w:r>
    </w:p>
    <w:p>
      <w:pPr>
        <w:spacing w:after="0" w:line="173"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6.6 Successors and Assigns</w:t>
      </w:r>
      <w:r>
        <w:rPr>
          <w:rFonts w:ascii="Arial" w:cs="Arial" w:eastAsia="Arial" w:hAnsi="Arial"/>
          <w:sz w:val="17"/>
          <w:szCs w:val="17"/>
          <w:color w:val="auto"/>
        </w:rPr>
        <w:t>. The provisions of this Agreement shall inure to the benefit of and be binding upon the parties and their successors</w:t>
      </w:r>
      <w:r>
        <w:rPr>
          <w:rFonts w:ascii="Arial" w:cs="Arial" w:eastAsia="Arial" w:hAnsi="Arial"/>
          <w:sz w:val="17"/>
          <w:szCs w:val="17"/>
          <w:b w:val="1"/>
          <w:bCs w:val="1"/>
          <w:color w:val="auto"/>
        </w:rPr>
        <w:t xml:space="preserve"> </w:t>
      </w:r>
      <w:r>
        <w:rPr>
          <w:rFonts w:ascii="Arial" w:cs="Arial" w:eastAsia="Arial" w:hAnsi="Arial"/>
          <w:sz w:val="17"/>
          <w:szCs w:val="17"/>
          <w:color w:val="auto"/>
        </w:rPr>
        <w:t>and permitted assigns. This Agreement, or any rights or obligations hereunder, may not be assigned by the Company without the prior written consent of each Purchaser. Any Purchaser may assign its rights hereunder in whole or in part to any Person to whom such Purchaser assigns or transfers any Securities in compliance with the Transaction Documents and applicable law, provided such transferee shall agree in writing to be bound, with respect to the transferred Securities, by the terms and conditions of this Agreement that apply to the Purchasers.</w:t>
      </w:r>
    </w:p>
    <w:p>
      <w:pPr>
        <w:spacing w:after="0" w:line="168"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6.7 No Third-Party Beneficiaries</w:t>
      </w:r>
      <w:r>
        <w:rPr>
          <w:rFonts w:ascii="Arial" w:cs="Arial" w:eastAsia="Arial" w:hAnsi="Arial"/>
          <w:sz w:val="17"/>
          <w:szCs w:val="17"/>
          <w:color w:val="auto"/>
        </w:rPr>
        <w:t>. This Agreement is intended for the benefit of the parties hereto and their respective successors and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assigns and is not for the benefit of, nor may any provision hereof be enforced by, any other Person, except the Placement Agents are intended third-party beneficiaries of the representations and warranties in Article 3 and Article 4, and of this Section 6.7 and Section 6.19.</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type w:val="continuous"/>
        </w:sectPr>
      </w:pPr>
    </w:p>
    <w:bookmarkStart w:id="416" w:name="page417"/>
    <w:bookmarkEnd w:id="416"/>
    <w:p>
      <w:pPr>
        <w:ind w:right="20" w:firstLine="440"/>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6.8 Governing Law</w:t>
      </w:r>
      <w:r>
        <w:rPr>
          <w:rFonts w:ascii="Arial" w:cs="Arial" w:eastAsia="Arial" w:hAnsi="Arial"/>
          <w:sz w:val="16"/>
          <w:szCs w:val="16"/>
          <w:color w:val="auto"/>
        </w:rPr>
        <w:t>. All questions concerning the construction, validity, enforcement and interpretation of this Agreement shall be governed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construed and enforced in accordance with the internal laws of the State of New York, without regard to the principles of conflicts of law thereof. Each party agrees that all Proceedings concerning the interpretations, enforcement and defense of the transactions contemplated by this Agreement and any other Transaction Documents (whether brought against a party hereto or its respective Affiliates, employees or agents) shall be commenced exclusively in the New York Courts.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New York Court, or that such Proceeding has been commenced in an improper or inconvenient forum.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HERETO HEREBY</w:t>
      </w:r>
    </w:p>
    <w:p>
      <w:pPr>
        <w:spacing w:after="0" w:line="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color w:val="auto"/>
        </w:rPr>
        <w:t>IRREVOCABLY WAIVES, TO THE FULLEST EXTENT PERMITTED BY APPLICABLE LAW, ANY AND ALL RIGHT TO TRIAL BY JURY IN ANY LEGAL PROCEEDING ARISING OUT OF OR RELATING TO THIS AGREEMENT OR THE TRANSACTIONS CONTEMPLATED HEREBY</w:t>
      </w:r>
      <w:r>
        <w:rPr>
          <w:rFonts w:ascii="Arial" w:cs="Arial" w:eastAsia="Arial" w:hAnsi="Arial"/>
          <w:sz w:val="18"/>
          <w:szCs w:val="18"/>
          <w:color w:val="auto"/>
        </w:rPr>
        <w:t>.</w:t>
      </w:r>
    </w:p>
    <w:p>
      <w:pPr>
        <w:spacing w:after="0" w:line="186"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6.9 Survival</w:t>
      </w:r>
      <w:r>
        <w:rPr>
          <w:rFonts w:ascii="Arial" w:cs="Arial" w:eastAsia="Arial" w:hAnsi="Arial"/>
          <w:sz w:val="18"/>
          <w:szCs w:val="18"/>
          <w:color w:val="auto"/>
        </w:rPr>
        <w:t>. Subject to applicable statute of limitations, the representations, warranties, agreements and covenants contained herein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Closing and the delivery of the Securities.</w:t>
      </w:r>
    </w:p>
    <w:p>
      <w:pPr>
        <w:spacing w:after="0" w:line="162"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6.10 Execution</w:t>
      </w:r>
      <w:r>
        <w:rPr>
          <w:rFonts w:ascii="Arial" w:cs="Arial" w:eastAsia="Arial" w:hAnsi="Arial"/>
          <w:sz w:val="17"/>
          <w:szCs w:val="17"/>
          <w:color w:val="auto"/>
        </w:rPr>
        <w:t>. This Agreement may be executed in two or more counterparts, all of which when taken together shall be considered one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or by any electronic signature complying with the U.S. ESIGN Act of 2000 or the New York Electronic Signatures and Records Act, such signature shall create a legally valid and binding obligation of the party executing (or on whose behalf such signature is executed) with the same force and effect as if such facsimile or “.pdf” signature page were an original thereof.</w:t>
      </w:r>
    </w:p>
    <w:p>
      <w:pPr>
        <w:spacing w:after="0" w:line="173" w:lineRule="exact"/>
        <w:rPr>
          <w:sz w:val="20"/>
          <w:szCs w:val="20"/>
          <w:color w:val="auto"/>
        </w:rPr>
      </w:pPr>
    </w:p>
    <w:p>
      <w:pPr>
        <w:jc w:val="both"/>
        <w:ind w:right="40" w:firstLine="440"/>
        <w:spacing w:after="0" w:line="314" w:lineRule="auto"/>
        <w:rPr>
          <w:sz w:val="20"/>
          <w:szCs w:val="20"/>
          <w:color w:val="auto"/>
        </w:rPr>
      </w:pPr>
      <w:r>
        <w:rPr>
          <w:rFonts w:ascii="Arial" w:cs="Arial" w:eastAsia="Arial" w:hAnsi="Arial"/>
          <w:sz w:val="16"/>
          <w:szCs w:val="16"/>
          <w:b w:val="1"/>
          <w:bCs w:val="1"/>
          <w:color w:val="auto"/>
        </w:rPr>
        <w:t>6.11 Severability</w:t>
      </w:r>
      <w:r>
        <w:rPr>
          <w:rFonts w:ascii="Arial" w:cs="Arial" w:eastAsia="Arial" w:hAnsi="Arial"/>
          <w:sz w:val="16"/>
          <w:szCs w:val="16"/>
          <w:color w:val="auto"/>
        </w:rPr>
        <w:t>. If any provision of this Agreement is held to be invalid or unenforceable in any respect, the validity and enforceability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4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6.12 Rescission and Withdrawal Right</w:t>
      </w:r>
      <w:r>
        <w:rPr>
          <w:rFonts w:ascii="Arial" w:cs="Arial" w:eastAsia="Arial" w:hAnsi="Arial"/>
          <w:sz w:val="18"/>
          <w:szCs w:val="18"/>
          <w:color w:val="auto"/>
        </w:rPr>
        <w:t>. Notwithstanding anything to the contrary contained in (and without limiting any similar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right="300" w:firstLine="440"/>
        <w:spacing w:after="0" w:line="266" w:lineRule="auto"/>
        <w:rPr>
          <w:sz w:val="20"/>
          <w:szCs w:val="20"/>
          <w:color w:val="auto"/>
        </w:rPr>
      </w:pPr>
      <w:r>
        <w:rPr>
          <w:rFonts w:ascii="Arial" w:cs="Arial" w:eastAsia="Arial" w:hAnsi="Arial"/>
          <w:sz w:val="18"/>
          <w:szCs w:val="18"/>
          <w:b w:val="1"/>
          <w:bCs w:val="1"/>
          <w:color w:val="auto"/>
        </w:rPr>
        <w:t>6.13 Replacement of Securities</w:t>
      </w:r>
      <w:r>
        <w:rPr>
          <w:rFonts w:ascii="Arial" w:cs="Arial" w:eastAsia="Arial" w:hAnsi="Arial"/>
          <w:sz w:val="18"/>
          <w:szCs w:val="18"/>
          <w:color w:val="auto"/>
        </w:rPr>
        <w:t>. If any certificate or instrument evidencing any Securities or Conversion Shares is mutilated, lost, stolen or</w:t>
      </w:r>
      <w:r>
        <w:rPr>
          <w:rFonts w:ascii="Arial" w:cs="Arial" w:eastAsia="Arial" w:hAnsi="Arial"/>
          <w:sz w:val="18"/>
          <w:szCs w:val="18"/>
          <w:b w:val="1"/>
          <w:bCs w:val="1"/>
          <w:color w:val="auto"/>
        </w:rPr>
        <w:t xml:space="preserve"> </w:t>
      </w:r>
      <w:r>
        <w:rPr>
          <w:rFonts w:ascii="Arial" w:cs="Arial" w:eastAsia="Arial" w:hAnsi="Arial"/>
          <w:sz w:val="18"/>
          <w:szCs w:val="18"/>
          <w:color w:val="auto"/>
        </w:rPr>
        <w:t>destroyed, the Company may issue or cause to be issued in exchange and substitution for and upon cancellation thereof, or in lieu of and substitution therefor, a new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417" w:name="page418"/>
    <w:bookmarkEnd w:id="417"/>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or instrument, but only upon receipt of evidence reasonably satisfactory to the Company and the Transfer Agent of such loss, theft or destruction and the execution by the holder thereof of a customary lost certificate affidavit of that fact and an agreement to indemnify and hold harmless the Company and the Transfer Agent for any losses in connection therewith or, if required by the Transfer Agent, a bond in such form and amount as is required by the Transfer Agent. The applicants for a new certificate or instrument under such circumstances shall also pay any reasonable third-party costs associated with the issuance of such replacement Securities or Conversion Shares. If a replacement certificate or instrument evidencing any Securities or Conversion Shares is requested due to a mutilation thereof, the Company may require delivery of such mutilated certificate or instrument as a condition precedent to any issuance of a replacement.</w:t>
      </w:r>
    </w:p>
    <w:p>
      <w:pPr>
        <w:spacing w:after="0" w:line="173"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6.14 Remedies</w:t>
      </w:r>
      <w:r>
        <w:rPr>
          <w:rFonts w:ascii="Arial" w:cs="Arial" w:eastAsia="Arial" w:hAnsi="Arial"/>
          <w:sz w:val="17"/>
          <w:szCs w:val="17"/>
          <w:color w:val="auto"/>
        </w:rPr>
        <w:t>. In addition to being entitled to exercise all rights provided herein or granted by Law, including recovery of damages,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Purchasers and the Company will be entitled to specific performance under the Transaction Documents, without the requirement of posting a bond. The parties agree that monetary damages may not be adequate compensation for any loss incurred by reason of any breach of obligations described in the foregoing sentence and hereby agree to waive in any action for specific performance of any such obligation (other than in connection with any action for a temporary restraining order) the defense that a remedy at law would be adequate.</w:t>
      </w:r>
    </w:p>
    <w:p>
      <w:pPr>
        <w:spacing w:after="0" w:line="168"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b w:val="1"/>
          <w:bCs w:val="1"/>
          <w:color w:val="auto"/>
        </w:rPr>
        <w:t>6.15 Payment Set Aside</w:t>
      </w:r>
      <w:r>
        <w:rPr>
          <w:rFonts w:ascii="Arial" w:cs="Arial" w:eastAsia="Arial" w:hAnsi="Arial"/>
          <w:sz w:val="18"/>
          <w:szCs w:val="18"/>
          <w:color w:val="auto"/>
        </w:rPr>
        <w:t>. To the extent that the Company makes a payment or payments to any Purchaser pursuant to any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right="220" w:firstLine="440"/>
        <w:spacing w:after="0" w:line="281" w:lineRule="auto"/>
        <w:rPr>
          <w:sz w:val="20"/>
          <w:szCs w:val="20"/>
          <w:color w:val="auto"/>
        </w:rPr>
      </w:pPr>
      <w:r>
        <w:rPr>
          <w:rFonts w:ascii="Arial" w:cs="Arial" w:eastAsia="Arial" w:hAnsi="Arial"/>
          <w:sz w:val="17"/>
          <w:szCs w:val="17"/>
          <w:b w:val="1"/>
          <w:bCs w:val="1"/>
          <w:color w:val="auto"/>
        </w:rPr>
        <w:t>6.16 Adjustments in Share Numbers and Prices</w:t>
      </w:r>
      <w:r>
        <w:rPr>
          <w:rFonts w:ascii="Arial" w:cs="Arial" w:eastAsia="Arial" w:hAnsi="Arial"/>
          <w:sz w:val="17"/>
          <w:szCs w:val="17"/>
          <w:color w:val="auto"/>
        </w:rPr>
        <w:t>. In the event of any stock split, subdivision, dividend or distribution payable in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6.17 Independent Nature of Purchasers’ Obligations and Rights</w:t>
      </w:r>
      <w:r>
        <w:rPr>
          <w:rFonts w:ascii="Arial" w:cs="Arial" w:eastAsia="Arial" w:hAnsi="Arial"/>
          <w:sz w:val="17"/>
          <w:szCs w:val="17"/>
          <w:color w:val="auto"/>
        </w:rPr>
        <w:t>. The obligations of each Purchaser under any Transaction Document are</w:t>
      </w:r>
      <w:r>
        <w:rPr>
          <w:rFonts w:ascii="Arial" w:cs="Arial" w:eastAsia="Arial" w:hAnsi="Arial"/>
          <w:sz w:val="17"/>
          <w:szCs w:val="17"/>
          <w:b w:val="1"/>
          <w:bCs w:val="1"/>
          <w:color w:val="auto"/>
        </w:rPr>
        <w:t xml:space="preserve"> </w:t>
      </w:r>
      <w:r>
        <w:rPr>
          <w:rFonts w:ascii="Arial" w:cs="Arial" w:eastAsia="Arial" w:hAnsi="Arial"/>
          <w:sz w:val="17"/>
          <w:szCs w:val="17"/>
          <w:color w:val="auto"/>
        </w:rPr>
        <w:t>several and not joint with the obligations of any other Purchaser, and no Purchaser shall be responsible in any way for the performance of the obligations of any other Purchaser under any Transaction Document.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(including, without limitation, a “group” within the meaning of Section 13(d)(3) of the Exchange Act) with respect to such obligations or the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18" w:name="page419"/>
    <w:bookmarkEnd w:id="418"/>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Purchasers and their respective counsels may choose to communicate with the Company through Covington &amp; Burling LLP, counsel to the Placement Agents. Each Purchaser acknowledges that Covington &amp; Burling LLP has rendered legal advice to the Placement Agents and not to such Purchaser in connection with the transactions contemplated hereby, and that each such Purchaser has relied for such matters on the advice of its own respective counsel. The Company has elected to provide all Purchasers with the same terms and Transaction Documents for the convenience of the Company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spacing w:after="0" w:line="16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b w:val="1"/>
          <w:bCs w:val="1"/>
          <w:color w:val="auto"/>
        </w:rPr>
        <w:t>6.18</w:t>
      </w:r>
      <w:r>
        <w:rPr>
          <w:sz w:val="20"/>
          <w:szCs w:val="20"/>
          <w:color w:val="auto"/>
        </w:rPr>
        <w:tab/>
      </w:r>
      <w:r>
        <w:rPr>
          <w:rFonts w:ascii="Arial" w:cs="Arial" w:eastAsia="Arial" w:hAnsi="Arial"/>
          <w:sz w:val="16"/>
          <w:szCs w:val="16"/>
          <w:b w:val="1"/>
          <w:bCs w:val="1"/>
          <w:color w:val="auto"/>
        </w:rPr>
        <w:t>Termination</w:t>
      </w:r>
      <w:r>
        <w:rPr>
          <w:rFonts w:ascii="Arial" w:cs="Arial" w:eastAsia="Arial" w:hAnsi="Arial"/>
          <w:sz w:val="16"/>
          <w:szCs w:val="16"/>
          <w:color w:val="auto"/>
        </w:rPr>
        <w:t>. This Agreement may be terminated and the sale and purchase of the Securities abandoned at any time prior to the Closing</w:t>
      </w:r>
    </w:p>
    <w:p>
      <w:pPr>
        <w:spacing w:after="0" w:line="27" w:lineRule="exact"/>
        <w:rPr>
          <w:sz w:val="20"/>
          <w:szCs w:val="20"/>
          <w:color w:val="auto"/>
        </w:rPr>
      </w:pPr>
    </w:p>
    <w:p>
      <w:pPr>
        <w:ind w:left="4" w:hanging="4"/>
        <w:spacing w:after="0" w:line="286" w:lineRule="auto"/>
        <w:tabs>
          <w:tab w:leader="none" w:pos="21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automatically if the Closing has not been consummated on or prior to 5:00 P.M., New York City time, on Outside Date, (ii) by a Purchaser (with respect to itself) if any of the conditions set forth in Section 5.1 shall have become incapable of fulfillment, and shall not have been waived by such Purchaser, or (iii) automatically if the Merger Agreement is terminated in accordance with its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to terminate this Agreement under clause (ii) shall not be available to any Person whose failure to comply with its obligations under this Agreement has been the cause of or resulted in the failure of the Closing to occur on or before such time. Nothing in this Section 6.18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of a termination pursuant to this Section 6.18, the Company shall promptly notify all non-terminating Purchasers. Upon a termination in accordance with this Section 6.18, the Company and the terminating Purchaser(s) shall not have any further obligation or liability (including arising from such termination) to the other, and no Purchaser will have any liability to any other Purchaser under the Transaction Documents as a result therefrom.</w:t>
      </w:r>
    </w:p>
    <w:p>
      <w:pPr>
        <w:spacing w:after="0" w:line="165"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b w:val="1"/>
          <w:bCs w:val="1"/>
          <w:color w:val="auto"/>
        </w:rPr>
        <w:t>6.19 Exculpation of the Placement Agents</w:t>
      </w:r>
      <w:r>
        <w:rPr>
          <w:rFonts w:ascii="Arial" w:cs="Arial" w:eastAsia="Arial" w:hAnsi="Arial"/>
          <w:sz w:val="18"/>
          <w:szCs w:val="18"/>
          <w:color w:val="auto"/>
        </w:rPr>
        <w:t>. Each party hereto agrees for the express benefit of the Placement Agents, their Affiliates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that:</w:t>
      </w:r>
    </w:p>
    <w:p>
      <w:pPr>
        <w:spacing w:after="0" w:line="166" w:lineRule="exact"/>
        <w:rPr>
          <w:sz w:val="20"/>
          <w:szCs w:val="20"/>
          <w:color w:val="auto"/>
        </w:rPr>
      </w:pPr>
    </w:p>
    <w:p>
      <w:pPr>
        <w:jc w:val="both"/>
        <w:ind w:left="4" w:right="240" w:firstLine="987"/>
        <w:spacing w:after="0" w:line="263" w:lineRule="auto"/>
        <w:tabs>
          <w:tab w:leader="none" w:pos="1385" w:val="left"/>
        </w:tabs>
        <w:numPr>
          <w:ilvl w:val="0"/>
          <w:numId w:val="306"/>
        </w:numPr>
        <w:rPr>
          <w:rFonts w:ascii="Arial" w:cs="Arial" w:eastAsia="Arial" w:hAnsi="Arial"/>
          <w:sz w:val="18"/>
          <w:szCs w:val="18"/>
          <w:b w:val="1"/>
          <w:bCs w:val="1"/>
          <w:color w:val="auto"/>
        </w:rPr>
      </w:pPr>
      <w:r>
        <w:rPr>
          <w:rFonts w:ascii="Arial" w:cs="Arial" w:eastAsia="Arial" w:hAnsi="Arial"/>
          <w:sz w:val="18"/>
          <w:szCs w:val="18"/>
          <w:color w:val="auto"/>
        </w:rPr>
        <w:t>Each Placement Agent is acting as placement agent for the Company solely in connection with the sale of the Securities and is not acting in any other capacity and is not and shall not be construed as a fiduciary for any Purchaser, or any other person or entity in connection with the sale of Securities.</w:t>
      </w:r>
    </w:p>
    <w:p>
      <w:pPr>
        <w:spacing w:after="0" w:line="183" w:lineRule="exact"/>
        <w:rPr>
          <w:rFonts w:ascii="Arial" w:cs="Arial" w:eastAsia="Arial" w:hAnsi="Arial"/>
          <w:sz w:val="18"/>
          <w:szCs w:val="18"/>
          <w:b w:val="1"/>
          <w:bCs w:val="1"/>
          <w:color w:val="auto"/>
        </w:rPr>
      </w:pPr>
    </w:p>
    <w:p>
      <w:pPr>
        <w:ind w:left="4" w:right="20" w:firstLine="987"/>
        <w:spacing w:after="0" w:line="273" w:lineRule="auto"/>
        <w:tabs>
          <w:tab w:leader="none" w:pos="1395" w:val="left"/>
        </w:tabs>
        <w:numPr>
          <w:ilvl w:val="0"/>
          <w:numId w:val="306"/>
        </w:numPr>
        <w:rPr>
          <w:rFonts w:ascii="Arial" w:cs="Arial" w:eastAsia="Arial" w:hAnsi="Arial"/>
          <w:sz w:val="17"/>
          <w:szCs w:val="17"/>
          <w:b w:val="1"/>
          <w:bCs w:val="1"/>
          <w:color w:val="auto"/>
        </w:rPr>
      </w:pPr>
      <w:r>
        <w:rPr>
          <w:rFonts w:ascii="Arial" w:cs="Arial" w:eastAsia="Arial" w:hAnsi="Arial"/>
          <w:sz w:val="17"/>
          <w:szCs w:val="17"/>
          <w:color w:val="auto"/>
        </w:rPr>
        <w:t>None of the Placement Agents nor any of their Affiliates or any of their respective representatives (i) shall be liable for any improper payment made in accordance with the information provided by the Company; (ii) has made or will make any representation or warranty, express or implied, of any kind or character, and has not provided any recommendation in connection with the purchase or sale of the Securities; (iii) has any responsibilities as to the validity, accuracy, completeness, value or genuineness, as of any date, of any information, certificates or documentation delivered by or on behalf of the Company pursuant to this Agreement, the other Transaction Documents or the Merger Agreement, or in connection with any of the transactions contemplated by such agreements; (iv) shall be liable or have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19" w:name="page420"/>
    <w:bookmarkEnd w:id="41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obligation (including, without limitation, for or with respect to any losses, claims, damages, obligations, penalties, judgments, awards, liabilities, costs, expenses or disbursements incurred by any Purchaser, the Company or any other Person or entity), whether in contract, tort or otherwise to any Purchaser or to any person claiming through such Purchaser, (A) for any action taken, suffered or omitted by any of them in good faith and reasonably believed to be authorized or within the discretion or rights or powers conferred upon it by this Agreement, any other Transaction Document or the Merger Agreement, (B) for anything which any of them may do or refrain from doing in connection with this Agreement, any other Transaction Document or the Merger Agreement, or (C) for anything otherwise in connection with the purchase and sale of the Securities or the issuance of the Conversion Shares, except in each case for such party’s own gross negligence or willful misconduct.</w:t>
      </w:r>
    </w:p>
    <w:p>
      <w:pPr>
        <w:spacing w:after="0" w:line="173"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b w:val="1"/>
          <w:bCs w:val="1"/>
          <w:color w:val="auto"/>
        </w:rPr>
        <w:t xml:space="preserve">6.20 </w:t>
      </w:r>
      <w:r>
        <w:rPr>
          <w:rFonts w:ascii="Arial" w:cs="Arial" w:eastAsia="Arial" w:hAnsi="Arial"/>
          <w:sz w:val="16"/>
          <w:szCs w:val="16"/>
          <w:b w:val="1"/>
          <w:bCs w:val="1"/>
          <w:i w:val="1"/>
          <w:iCs w:val="1"/>
          <w:color w:val="auto"/>
        </w:rPr>
        <w:t>Arm’s Length Transaction</w:t>
      </w:r>
      <w:r>
        <w:rPr>
          <w:rFonts w:ascii="Arial" w:cs="Arial" w:eastAsia="Arial" w:hAnsi="Arial"/>
          <w:sz w:val="16"/>
          <w:szCs w:val="16"/>
          <w:color w:val="auto"/>
        </w:rPr>
        <w:t>. The Company acknowledges and agrees that (i) the transactions described in this Agreement are an</w:t>
      </w:r>
      <w:r>
        <w:rPr>
          <w:rFonts w:ascii="Arial" w:cs="Arial" w:eastAsia="Arial" w:hAnsi="Arial"/>
          <w:sz w:val="16"/>
          <w:szCs w:val="16"/>
          <w:b w:val="1"/>
          <w:bCs w:val="1"/>
          <w:color w:val="auto"/>
        </w:rPr>
        <w:t xml:space="preserve"> </w:t>
      </w:r>
      <w:r>
        <w:rPr>
          <w:rFonts w:ascii="Arial" w:cs="Arial" w:eastAsia="Arial" w:hAnsi="Arial"/>
          <w:sz w:val="16"/>
          <w:szCs w:val="16"/>
          <w:color w:val="auto"/>
        </w:rPr>
        <w:t>arm’s-length commercial transaction between the parties, (ii) the Purchasers have not assumed nor will they assume an advisory or fiduciary responsibility in the Company’s favor with respect to any of the transactions contemplated by this Agreement or the process leading thereto, and the Purchasers have no obligation to the Company with respect to the transactions contemplated by this Agreement except those obligations expressly set forth in this Agreement or the other Transaction Documents to which they are a party, and (iii) the Company’s decision to enter into the Transaction Documents and the Merger Agreement has been based solely on the independent evaluation by the Company and its representatives.</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EFT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20"/>
          </w:cols>
          <w:pgMar w:left="440" w:top="274" w:right="639" w:bottom="1440" w:gutter="0" w:footer="0" w:header="0"/>
        </w:sectPr>
      </w:pPr>
    </w:p>
    <w:bookmarkStart w:id="420" w:name="page421"/>
    <w:bookmarkEnd w:id="42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caused this Securities Purchase Agreement to be duly executed by their respective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signatories as of the date first indicated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EGLEA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Alspaugh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Alspaugh</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[S</w:t>
      </w:r>
      <w:r>
        <w:rPr>
          <w:rFonts w:ascii="Arial" w:cs="Arial" w:eastAsia="Arial" w:hAnsi="Arial"/>
          <w:sz w:val="14"/>
          <w:szCs w:val="14"/>
          <w:b w:val="1"/>
          <w:bCs w:val="1"/>
          <w:i w:val="1"/>
          <w:iCs w:val="1"/>
          <w:color w:val="auto"/>
        </w:rPr>
        <w:t>IGNATURE</w:t>
      </w:r>
      <w:r>
        <w:rPr>
          <w:rFonts w:ascii="Arial" w:cs="Arial" w:eastAsia="Arial" w:hAnsi="Arial"/>
          <w:sz w:val="18"/>
          <w:szCs w:val="18"/>
          <w:b w:val="1"/>
          <w:bCs w:val="1"/>
          <w:i w:val="1"/>
          <w:iCs w:val="1"/>
          <w:color w:val="auto"/>
        </w:rPr>
        <w:t xml:space="preserve"> P</w:t>
      </w:r>
      <w:r>
        <w:rPr>
          <w:rFonts w:ascii="Arial" w:cs="Arial" w:eastAsia="Arial" w:hAnsi="Arial"/>
          <w:sz w:val="14"/>
          <w:szCs w:val="14"/>
          <w:b w:val="1"/>
          <w:bCs w:val="1"/>
          <w:i w:val="1"/>
          <w:iCs w:val="1"/>
          <w:color w:val="auto"/>
        </w:rPr>
        <w:t>AGE TO</w:t>
      </w:r>
      <w:r>
        <w:rPr>
          <w:rFonts w:ascii="Arial" w:cs="Arial" w:eastAsia="Arial" w:hAnsi="Arial"/>
          <w:sz w:val="18"/>
          <w:szCs w:val="18"/>
          <w:b w:val="1"/>
          <w:bCs w:val="1"/>
          <w:i w:val="1"/>
          <w:iCs w:val="1"/>
          <w:color w:val="auto"/>
        </w:rPr>
        <w:t xml:space="preserve"> S</w:t>
      </w:r>
      <w:r>
        <w:rPr>
          <w:rFonts w:ascii="Arial" w:cs="Arial" w:eastAsia="Arial" w:hAnsi="Arial"/>
          <w:sz w:val="14"/>
          <w:szCs w:val="14"/>
          <w:b w:val="1"/>
          <w:bCs w:val="1"/>
          <w:i w:val="1"/>
          <w:iCs w:val="1"/>
          <w:color w:val="auto"/>
        </w:rPr>
        <w:t>ECURITIES</w:t>
      </w:r>
      <w:r>
        <w:rPr>
          <w:rFonts w:ascii="Arial" w:cs="Arial" w:eastAsia="Arial" w:hAnsi="Arial"/>
          <w:sz w:val="18"/>
          <w:szCs w:val="18"/>
          <w:b w:val="1"/>
          <w:bCs w:val="1"/>
          <w:i w:val="1"/>
          <w:iCs w:val="1"/>
          <w:color w:val="auto"/>
        </w:rPr>
        <w:t xml:space="preserve"> P</w:t>
      </w:r>
      <w:r>
        <w:rPr>
          <w:rFonts w:ascii="Arial" w:cs="Arial" w:eastAsia="Arial" w:hAnsi="Arial"/>
          <w:sz w:val="14"/>
          <w:szCs w:val="14"/>
          <w:b w:val="1"/>
          <w:bCs w:val="1"/>
          <w:i w:val="1"/>
          <w:iCs w:val="1"/>
          <w:color w:val="auto"/>
        </w:rPr>
        <w:t>URCHASE</w:t>
      </w:r>
      <w:r>
        <w:rPr>
          <w:rFonts w:ascii="Arial" w:cs="Arial" w:eastAsia="Arial" w:hAnsi="Arial"/>
          <w:sz w:val="18"/>
          <w:szCs w:val="18"/>
          <w:b w:val="1"/>
          <w:bCs w:val="1"/>
          <w:i w:val="1"/>
          <w:iCs w:val="1"/>
          <w:color w:val="auto"/>
        </w:rPr>
        <w:t xml:space="preserve"> A</w:t>
      </w:r>
      <w:r>
        <w:rPr>
          <w:rFonts w:ascii="Arial" w:cs="Arial" w:eastAsia="Arial" w:hAnsi="Arial"/>
          <w:sz w:val="14"/>
          <w:szCs w:val="14"/>
          <w:b w:val="1"/>
          <w:bCs w:val="1"/>
          <w:i w:val="1"/>
          <w:iCs w:val="1"/>
          <w:color w:val="auto"/>
        </w:rPr>
        <w:t>GREEMENT</w:t>
      </w:r>
      <w:r>
        <w:rPr>
          <w:rFonts w:ascii="Arial" w:cs="Arial" w:eastAsia="Arial" w:hAnsi="Arial"/>
          <w:sz w:val="18"/>
          <w:szCs w:val="18"/>
          <w:b w:val="1"/>
          <w:bCs w:val="1"/>
          <w:i w:val="1"/>
          <w:iCs w:val="1"/>
          <w:color w:val="auto"/>
        </w:rPr>
        <w:t>]</w:t>
      </w:r>
    </w:p>
    <w:p>
      <w:pPr>
        <w:sectPr>
          <w:pgSz w:w="11900" w:h="16838" w:orient="portrait"/>
          <w:cols w:equalWidth="0" w:num="1">
            <w:col w:w="10700"/>
          </w:cols>
          <w:pgMar w:left="440" w:top="270" w:right="759" w:bottom="1440" w:gutter="0" w:footer="0" w:header="0"/>
        </w:sectPr>
      </w:pPr>
    </w:p>
    <w:bookmarkStart w:id="421" w:name="page422"/>
    <w:bookmarkEnd w:id="42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hereto have caused this Securities Purchase Agreement to be duly executed by their respective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signatories as of the date first indicated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28536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0">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Beneficial Ownership Limitation: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60"/>
          </w:cols>
          <w:pgMar w:left="440" w:top="270" w:right="1199"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OF PURCHASERS</w:t>
      </w:r>
    </w:p>
    <w:p>
      <w:pPr>
        <w:sectPr>
          <w:pgSz w:w="11900" w:h="16838" w:orient="portrait"/>
          <w:cols w:equalWidth="0" w:num="1">
            <w:col w:w="9019"/>
          </w:cols>
          <w:pgMar w:left="1440" w:top="270" w:right="1440" w:bottom="1440" w:gutter="0" w:footer="0" w:header="0"/>
        </w:sectPr>
      </w:pPr>
    </w:p>
    <w:bookmarkStart w:id="423" w:name="page424"/>
    <w:bookmarkEnd w:id="4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DESIGNATION</w:t>
      </w:r>
    </w:p>
    <w:p>
      <w:pPr>
        <w:sectPr>
          <w:pgSz w:w="11900" w:h="16838" w:orient="portrait"/>
          <w:cols w:equalWidth="0" w:num="1">
            <w:col w:w="9019"/>
          </w:cols>
          <w:pgMar w:left="1440" w:top="270" w:right="1440" w:bottom="1440" w:gutter="0" w:footer="0" w:header="0"/>
        </w:sectPr>
      </w:pPr>
    </w:p>
    <w:bookmarkStart w:id="424" w:name="page425"/>
    <w:bookmarkEnd w:id="4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REGISTRATION RIGHTS AGREEMENT</w:t>
      </w:r>
    </w:p>
    <w:p>
      <w:pPr>
        <w:sectPr>
          <w:pgSz w:w="11900" w:h="16838" w:orient="portrait"/>
          <w:cols w:equalWidth="0" w:num="1">
            <w:col w:w="9019"/>
          </w:cols>
          <w:pgMar w:left="1440" w:top="270" w:right="1440" w:bottom="1440" w:gutter="0" w:footer="0" w:header="0"/>
        </w:sectPr>
      </w:pPr>
    </w:p>
    <w:bookmarkStart w:id="425" w:name="page426"/>
    <w:bookmarkEnd w:id="425"/>
    <w:p>
      <w:pPr>
        <w:jc w:val="center"/>
        <w:ind w:right="-98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ind w:left="3764"/>
        <w:spacing w:after="0"/>
        <w:rPr>
          <w:sz w:val="20"/>
          <w:szCs w:val="20"/>
          <w:color w:val="auto"/>
        </w:rPr>
      </w:pPr>
      <w:r>
        <w:rPr>
          <w:rFonts w:ascii="Arial" w:cs="Arial" w:eastAsia="Arial" w:hAnsi="Arial"/>
          <w:sz w:val="18"/>
          <w:szCs w:val="18"/>
          <w:b w:val="1"/>
          <w:bCs w:val="1"/>
          <w:color w:val="auto"/>
        </w:rPr>
        <w:t>STOCK CERTIFICATE QUESTIONNAIRE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color w:val="auto"/>
        </w:rPr>
        <w:t>Section 2.2(b)</w:t>
      </w:r>
      <w:r>
        <w:rPr>
          <w:rFonts w:ascii="Arial" w:cs="Arial" w:eastAsia="Arial" w:hAnsi="Arial"/>
          <w:sz w:val="18"/>
          <w:szCs w:val="18"/>
          <w:color w:val="auto"/>
        </w:rPr>
        <w:t xml:space="preserve"> of the Agreement, please provide us with the following information:</w:t>
      </w:r>
    </w:p>
    <w:p>
      <w:pPr>
        <w:spacing w:after="0" w:line="256" w:lineRule="exact"/>
        <w:rPr>
          <w:sz w:val="20"/>
          <w:szCs w:val="20"/>
          <w:color w:val="auto"/>
        </w:rPr>
      </w:pPr>
    </w:p>
    <w:p>
      <w:pPr>
        <w:ind w:left="544" w:right="2079" w:hanging="544"/>
        <w:spacing w:after="0" w:line="277" w:lineRule="auto"/>
        <w:tabs>
          <w:tab w:leader="none" w:pos="54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exact name that the Securities are to be registered in (this is the name that will appear on the stock certificate(s)). You may use a nominee name if appropriate:</w:t>
      </w:r>
    </w:p>
    <w:p>
      <w:pPr>
        <w:spacing w:after="0" w:line="62" w:lineRule="exact"/>
        <w:rPr>
          <w:rFonts w:ascii="Arial" w:cs="Arial" w:eastAsia="Arial" w:hAnsi="Arial"/>
          <w:sz w:val="18"/>
          <w:szCs w:val="18"/>
          <w:color w:val="auto"/>
        </w:rPr>
      </w:pPr>
    </w:p>
    <w:p>
      <w:pPr>
        <w:ind w:left="544" w:right="1499" w:hanging="544"/>
        <w:spacing w:after="0" w:line="277" w:lineRule="auto"/>
        <w:tabs>
          <w:tab w:leader="none" w:pos="54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relationship between the Purchaser of the Securities and the Registered Holder listed in response to Item 1 above:</w:t>
      </w:r>
    </w:p>
    <w:p>
      <w:pPr>
        <w:spacing w:after="0" w:line="62" w:lineRule="exact"/>
        <w:rPr>
          <w:rFonts w:ascii="Arial" w:cs="Arial" w:eastAsia="Arial" w:hAnsi="Arial"/>
          <w:sz w:val="18"/>
          <w:szCs w:val="18"/>
          <w:color w:val="auto"/>
        </w:rPr>
      </w:pPr>
    </w:p>
    <w:p>
      <w:pPr>
        <w:ind w:left="544" w:hanging="544"/>
        <w:spacing w:after="0"/>
        <w:tabs>
          <w:tab w:leader="none" w:pos="544"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mailing address, telephone and telecopy number of the Registered Holder listed in response to Item 1 above: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1" w:lineRule="exact"/>
        <w:rPr>
          <w:rFonts w:ascii="Arial" w:cs="Arial" w:eastAsia="Arial" w:hAnsi="Arial"/>
          <w:sz w:val="16"/>
          <w:szCs w:val="16"/>
          <w:color w:val="auto"/>
        </w:rPr>
      </w:pPr>
    </w:p>
    <w:p>
      <w:pPr>
        <w:ind w:left="544" w:right="1639" w:hanging="544"/>
        <w:spacing w:after="0" w:line="277" w:lineRule="auto"/>
        <w:tabs>
          <w:tab w:leader="none" w:pos="54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U.S. Tax Identification Number (or, if an individual, the U.S. Social Security Number) of the Registered Holder listed in response to Item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5666105</wp:posOffset>
            </wp:positionH>
            <wp:positionV relativeFrom="paragraph">
              <wp:posOffset>-1836420</wp:posOffset>
            </wp:positionV>
            <wp:extent cx="13284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5">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-1493520</wp:posOffset>
            </wp:positionV>
            <wp:extent cx="13284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6">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-1270635</wp:posOffset>
            </wp:positionV>
            <wp:extent cx="13284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7">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-1047750</wp:posOffset>
            </wp:positionV>
            <wp:extent cx="66433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-824865</wp:posOffset>
            </wp:positionV>
            <wp:extent cx="66433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9">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-601980</wp:posOffset>
            </wp:positionV>
            <wp:extent cx="66433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0">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-379095</wp:posOffset>
            </wp:positionV>
            <wp:extent cx="66433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5666105</wp:posOffset>
            </wp:positionH>
            <wp:positionV relativeFrom="paragraph">
              <wp:posOffset>-36195</wp:posOffset>
            </wp:positionV>
            <wp:extent cx="132842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2">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ectPr>
          <w:pgSz w:w="11900" w:h="16838" w:orient="portrait"/>
          <w:cols w:equalWidth="0" w:num="1">
            <w:col w:w="10023"/>
          </w:cols>
          <w:pgMar w:left="436" w:top="270" w:right="1440" w:bottom="1440" w:gutter="0" w:footer="0" w:header="0"/>
        </w:sectPr>
      </w:pPr>
    </w:p>
    <w:bookmarkStart w:id="426" w:name="page427"/>
    <w:bookmarkEnd w:id="4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IRREVOCABLE TRANSFER AGENT INSTRUCTIONS</w:t>
      </w:r>
    </w:p>
    <w:p>
      <w:pPr>
        <w:spacing w:after="0" w:line="229"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As of ____________, 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1010 El Camino Real – Suite 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P. McGinn, CEP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Reference is made to that certain Securities Purchase Agreement, dated as of June 22, 2023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among Aeglea BioTherapeutics,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purchasers named on the signature pages thereto (collectively, and including permitted transferees,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pursuant to which the Company is issuing to the Holders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Series A Non-Voting Convertible Preferred Stock, par value $0.0001 per share, which will be convertible into shares (the “</w:t>
      </w:r>
      <w:r>
        <w:rPr>
          <w:rFonts w:ascii="Arial" w:cs="Arial" w:eastAsia="Arial" w:hAnsi="Arial"/>
          <w:sz w:val="18"/>
          <w:szCs w:val="18"/>
          <w:b w:val="1"/>
          <w:bCs w:val="1"/>
          <w:i w:val="1"/>
          <w:iCs w:val="1"/>
          <w:color w:val="auto"/>
        </w:rPr>
        <w:t>Conversion Shares</w:t>
      </w:r>
      <w:r>
        <w:rPr>
          <w:rFonts w:ascii="Arial" w:cs="Arial" w:eastAsia="Arial" w:hAnsi="Arial"/>
          <w:sz w:val="18"/>
          <w:szCs w:val="18"/>
          <w:color w:val="auto"/>
        </w:rPr>
        <w:t>”) of the Company’s common stock, 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88"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This letter shall serve as our irrevocable authorization and direction to you to issue the Shares as book-entry restricted shares in the names and denominations specified on Schedule I hereto. The Shares have not been registered under the Securities Act of 1933, as amended (the “Securities Act) and are, therefore, “restricted securities. Accordingly, the Shares shall bear the following restrictive legend:</w:t>
      </w:r>
    </w:p>
    <w:p>
      <w:pPr>
        <w:spacing w:after="0" w:line="165"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THE OFFER AND SALE OF THE SECURITIES REPRESENTED BY THIS CERTIFICATE TO WHICH THIS CONFIRMATION RELATES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THE COMPANY AND ITS TRANSFER AGENT SHALL BE ENTITLED TO REQUIRE AN OPINION OF COUNSEL SATISFACTORY TO THE COMPANY AND THE TRANSFER AGENT THAT SUCH REGISTRATION IS NOT REQUIRED. NOTWITHSTANDING THE FOREGOING, THE SECURITIES MAY BE PLEDGED IN CONNECTION WITH A BONA FIDE MARGIN ACCOUNT OR OTHER LOAN OR FINANCING ARRANGEMENT SECURED BY THE SECURITIES.</w:t>
      </w:r>
    </w:p>
    <w:p>
      <w:pPr>
        <w:spacing w:after="0" w:line="18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This letter shall also serve as our irrevocable authorization and direction to you (provided that you are the transfer agent of the Company at such time and the conditions set forth in this letter are satisfied), subject to any stop transfer instructions that we may issue to you from time to time, if any, to issue shares of Common Stock upon conversion, transfer or resale of the Shares.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You acknowledge and agree that so long as you have received (a) written confirmation from the Company’s legal counsel that either (1)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covering resales of the Conversion Shares has been declared effective by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(2) the Conversion Shares have been sold in conformity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144 under the Securities Act (“</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or are eligible for sale under Rule 144, without the requirement for the Company to be in compliance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current public information required</w:t>
      </w:r>
    </w:p>
    <w:p>
      <w:pPr>
        <w:sectPr>
          <w:pgSz w:w="11900" w:h="16838" w:orient="portrait"/>
          <w:cols w:equalWidth="0" w:num="1">
            <w:col w:w="11020"/>
          </w:cols>
          <w:pgMar w:left="440" w:top="270" w:right="439" w:bottom="1440" w:gutter="0" w:footer="0" w:header="0"/>
        </w:sectPr>
      </w:pPr>
    </w:p>
    <w:bookmarkStart w:id="427" w:name="page428"/>
    <w:bookmarkEnd w:id="42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Rule 144 as to such securities and without volume or manner-of-sale restrictions and (b) if applicable, a copy of such registration statement, then, unless otherwise required by law, within two (2) Trading Days of your receipt of a properly completed and duly executed conversion notice or a notice of transfer of Shares, you shall issue the certificates representing the Conversion Shares registered in the names of such Holders or transferees, as the case may be, and such certificates shall not bear any legend restricting transfer of the Shares thereby and should not be subject to any stop-transfer restriction.</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 form of written confirmation from the Company’s outside legal counsel that a registration statement covering resales of the Conversion Shares has been declared effective by the Commission under the Securities Act is attached hereto as Annex I.</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Please be advised that the Holders are relying upon this letter as an inducement to enter into the Agreement and, accordingly, each Holder is a third party beneficiary to these instructions.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execute this letter in the space indicated to acknowledge your agreement to act in accordance with these instructions.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Aeglea BioTherapeutics,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Alspaugh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21424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8">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20281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9">
                      <a:extLst>
                        <a:ext uri="{28A0092B-C50C-407E-A947-70E740481C1C}"/>
                      </a:extLst>
                    </a:blip>
                    <a:srcRect/>
                    <a:stretch>
                      <a:fillRect/>
                    </a:stretch>
                  </pic:blipFill>
                  <pic:spPr bwMode="auto">
                    <a:xfrm>
                      <a:off x="0" y="0"/>
                      <a:ext cx="202819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-10160</wp:posOffset>
            </wp:positionV>
            <wp:extent cx="20853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0">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 2023</w:t>
      </w:r>
    </w:p>
    <w:p>
      <w:pPr>
        <w:sectPr>
          <w:pgSz w:w="11900" w:h="16838" w:orient="portrait"/>
          <w:cols w:equalWidth="0" w:num="1">
            <w:col w:w="10920"/>
          </w:cols>
          <w:pgMar w:left="440" w:top="274" w:right="539" w:bottom="1440" w:gutter="0" w:footer="0" w:header="0"/>
        </w:sectPr>
      </w:pPr>
    </w:p>
    <w:bookmarkStart w:id="428" w:name="page429"/>
    <w:bookmarkEnd w:id="4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FORM OF NOTICE OF EFFECTIVENESS OF REGISTRATION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1010 El Camino Real – Suite 360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P. McGinn, CEP</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 Aeglea BioTherapeutics,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We are counsel to Aeglea BioTherapeutics,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have represented the Company in connection with that certain Securities Purchase Agreement, dated as of June 22, 2023, entered into by and among the Company and the purchasers named therein (collectively, the “</w:t>
      </w:r>
      <w:r>
        <w:rPr>
          <w:rFonts w:ascii="Arial" w:cs="Arial" w:eastAsia="Arial" w:hAnsi="Arial"/>
          <w:sz w:val="16"/>
          <w:szCs w:val="16"/>
          <w:b w:val="1"/>
          <w:bCs w:val="1"/>
          <w:i w:val="1"/>
          <w:iCs w:val="1"/>
          <w:color w:val="auto"/>
        </w:rPr>
        <w:t>Purchasers</w:t>
      </w:r>
      <w:r>
        <w:rPr>
          <w:rFonts w:ascii="Arial" w:cs="Arial" w:eastAsia="Arial" w:hAnsi="Arial"/>
          <w:sz w:val="16"/>
          <w:szCs w:val="16"/>
          <w:color w:val="auto"/>
        </w:rPr>
        <w:t>”) pursuant to which the Company issued to the Purchasers shares of the Company’s Series A Non-Voting Convertible Preferred Stock, $0.0001 par value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Pursuant to that certain Registration Rights Agreement of even date, the Company agreed to register the resale of the Company’s common stock, $0.0001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issuable upon conversion of the Shares (the “</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In connection with the Company’s obligations under the Registration Rights Agreement, ____________ on, __________, the Company filed a Registration Statement on Form S-3 (File No. 333-________) (the</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relating to the Registrable Securities which names each of the Purchasers as a selling stockholder thereunder and set forth as Exhibit A hereto.</w:t>
      </w:r>
    </w:p>
    <w:p>
      <w:pPr>
        <w:spacing w:after="0" w:line="185"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In connection with the foregoing, we advise you that a member of the Commission’s staff has advised us by telephone that the Commission has entered an order declaring the Registration Statement effective under the Securities Act at ________ [a.m.][p.m.] on ____________, ___ , and we have</w:t>
      </w:r>
    </w:p>
    <w:p>
      <w:pPr>
        <w:ind w:right="60"/>
        <w:spacing w:after="0" w:line="255" w:lineRule="auto"/>
        <w:rPr>
          <w:sz w:val="20"/>
          <w:szCs w:val="20"/>
          <w:color w:val="auto"/>
        </w:rPr>
      </w:pPr>
      <w:r>
        <w:rPr>
          <w:rFonts w:ascii="Arial" w:cs="Arial" w:eastAsia="Arial" w:hAnsi="Arial"/>
          <w:sz w:val="18"/>
          <w:szCs w:val="18"/>
          <w:color w:val="auto"/>
        </w:rPr>
        <w:t>no knowledge, after reviewing the Commission’s “</w:t>
      </w:r>
      <w:r>
        <w:rPr>
          <w:rFonts w:ascii="Arial" w:cs="Arial" w:eastAsia="Arial" w:hAnsi="Arial"/>
          <w:sz w:val="18"/>
          <w:szCs w:val="18"/>
          <w:b w:val="1"/>
          <w:bCs w:val="1"/>
          <w:i w:val="1"/>
          <w:iCs w:val="1"/>
          <w:color w:val="auto"/>
        </w:rPr>
        <w:t>Stop Orders</w:t>
      </w:r>
      <w:r>
        <w:rPr>
          <w:rFonts w:ascii="Arial" w:cs="Arial" w:eastAsia="Arial" w:hAnsi="Arial"/>
          <w:sz w:val="18"/>
          <w:szCs w:val="18"/>
          <w:color w:val="auto"/>
        </w:rPr>
        <w:t>” web page (http://sec.gov/litigation/stoporders.shtml), that any stop order suspending its effectiveness has been issued or that any proceedings for that purpose are pending before, or threatened by, the Commission and the Registrable Securities are available for resale under the Securities Act pursuant to the Registration Statement.</w:t>
      </w:r>
    </w:p>
    <w:p>
      <w:pPr>
        <w:spacing w:after="0" w:line="190" w:lineRule="exact"/>
        <w:rPr>
          <w:sz w:val="20"/>
          <w:szCs w:val="20"/>
          <w:color w:val="auto"/>
        </w:rPr>
      </w:pPr>
    </w:p>
    <w:p>
      <w:pPr>
        <w:ind w:right="160" w:firstLine="440"/>
        <w:spacing w:after="0" w:line="286" w:lineRule="auto"/>
        <w:rPr>
          <w:sz w:val="20"/>
          <w:szCs w:val="20"/>
          <w:color w:val="auto"/>
        </w:rPr>
      </w:pPr>
      <w:r>
        <w:rPr>
          <w:rFonts w:ascii="Arial" w:cs="Arial" w:eastAsia="Arial" w:hAnsi="Arial"/>
          <w:sz w:val="16"/>
          <w:szCs w:val="16"/>
          <w:color w:val="auto"/>
        </w:rPr>
        <w:t>This letter shall serve as our standing notice to you that the Common Stock may be freely transferred by the Purchasers pursuant to the Registration Statement. You need not require further letters from us to effect any future legend-free issuance or reissuance of shares of Common Stock to the Purchasers or the transferees of the Purchasers, as the case may be, as contemplated by the Company’s Irrevocable Transfer Agent Instructions dated ____________, ___, provided at the time of such reissuance, the Company has not otherwise notified you that the Registration Statement is</w:t>
      </w:r>
    </w:p>
    <w:p>
      <w:pPr>
        <w:spacing w:after="0" w:line="1" w:lineRule="exact"/>
        <w:rPr>
          <w:sz w:val="20"/>
          <w:szCs w:val="20"/>
          <w:color w:val="auto"/>
        </w:rPr>
      </w:pPr>
    </w:p>
    <w:p>
      <w:pPr>
        <w:ind w:left="6620" w:right="1560" w:hanging="6614"/>
        <w:spacing w:after="0" w:line="508" w:lineRule="auto"/>
        <w:rPr>
          <w:sz w:val="20"/>
          <w:szCs w:val="20"/>
          <w:color w:val="auto"/>
        </w:rPr>
      </w:pPr>
      <w:r>
        <w:rPr>
          <w:rFonts w:ascii="Arial" w:cs="Arial" w:eastAsia="Arial" w:hAnsi="Arial"/>
          <w:sz w:val="18"/>
          <w:szCs w:val="18"/>
          <w:color w:val="auto"/>
        </w:rPr>
        <w:t>unavailable for the resale of the Registrable Securities. This letter shall serve as our standing instructions with regard to this matter. Very truly yours,</w:t>
      </w:r>
    </w:p>
    <w:p>
      <w:pPr>
        <w:ind w:left="6620"/>
        <w:spacing w:after="0"/>
        <w:rPr>
          <w:sz w:val="20"/>
          <w:szCs w:val="20"/>
          <w:color w:val="auto"/>
        </w:rPr>
      </w:pPr>
      <w:r>
        <w:rPr>
          <w:rFonts w:ascii="Arial" w:cs="Arial" w:eastAsia="Arial" w:hAnsi="Arial"/>
          <w:sz w:val="18"/>
          <w:szCs w:val="18"/>
          <w:color w:val="auto"/>
        </w:rPr>
        <w:t>[INSERT NAME OF COMPANY COUNSEL]</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19964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2">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429" w:name="page430"/>
    <w:bookmarkEnd w:id="4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SECRETARY’S CERTIFICATE</w:t>
      </w:r>
    </w:p>
    <w:p>
      <w:pPr>
        <w:spacing w:after="0" w:line="229"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The undersigned hereby certifies that [●] is the duly elected, qualified and acting Secretary of Aeglea BioTherapeutics,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that as such [s/he] is authorized to execute and deliver this certificate in the name and on behalf of the Company and in connection with the Securities Purchase Agreement, dated as of____________, 2023, by and among the Company and the purchasers named therein</w:t>
      </w:r>
    </w:p>
    <w:p>
      <w:pPr>
        <w:spacing w:after="0" w:line="2"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Securities Purchase Agreement</w:t>
      </w:r>
      <w:r>
        <w:rPr>
          <w:rFonts w:ascii="Arial" w:cs="Arial" w:eastAsia="Arial" w:hAnsi="Arial"/>
          <w:sz w:val="16"/>
          <w:szCs w:val="16"/>
          <w:color w:val="auto"/>
        </w:rPr>
        <w:t>”), and further certifies in his official capacity, in the name and on behalf of the Company, the items set forth below. Capitalized terms used but not otherwise defined herein shall have the meaning set forth in the Securities Purchase Agreement.</w:t>
      </w:r>
    </w:p>
    <w:p>
      <w:pPr>
        <w:spacing w:after="0" w:line="134" w:lineRule="exact"/>
        <w:rPr>
          <w:sz w:val="20"/>
          <w:szCs w:val="20"/>
          <w:color w:val="auto"/>
        </w:rPr>
      </w:pPr>
    </w:p>
    <w:p>
      <w:pPr>
        <w:ind w:right="180" w:firstLine="436"/>
        <w:spacing w:after="0" w:line="261" w:lineRule="auto"/>
        <w:tabs>
          <w:tab w:leader="none" w:pos="7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 true, correct and complete copy of the resolutions duly adopted by the Board of Directors of the Company at a meeting held on____________ approving the Merger, the Transaction Documents, the Merger Agreement and the transactions contemplated thereby. Such resolutions have not in any way been amended, modified, revoked or rescinded, have been in full force and effect since their adoption to and including the date hereof and are now in full force and effect.</w:t>
      </w:r>
    </w:p>
    <w:p>
      <w:pPr>
        <w:spacing w:after="0" w:line="179" w:lineRule="exact"/>
        <w:rPr>
          <w:rFonts w:ascii="Arial" w:cs="Arial" w:eastAsia="Arial" w:hAnsi="Arial"/>
          <w:sz w:val="18"/>
          <w:szCs w:val="18"/>
          <w:color w:val="auto"/>
        </w:rPr>
      </w:pPr>
    </w:p>
    <w:p>
      <w:pPr>
        <w:ind w:right="220" w:firstLine="436"/>
        <w:spacing w:after="0" w:line="289" w:lineRule="auto"/>
        <w:tabs>
          <w:tab w:leader="none" w:pos="75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is a true, correct and complete copy of the Certificate of Incorporation of the Company, together with any and all amendments thereto currently in effect, including the Certificate of Designation, and no action has been taken to further amend, modify or repeal such Certificate of Incorporation, the same being in full force and effect in the attached form as of the date hereof</w:t>
      </w:r>
    </w:p>
    <w:p>
      <w:pPr>
        <w:spacing w:after="0" w:line="157" w:lineRule="exact"/>
        <w:rPr>
          <w:rFonts w:ascii="Arial" w:cs="Arial" w:eastAsia="Arial" w:hAnsi="Arial"/>
          <w:sz w:val="17"/>
          <w:szCs w:val="17"/>
          <w:color w:val="auto"/>
        </w:rPr>
      </w:pPr>
    </w:p>
    <w:p>
      <w:pPr>
        <w:ind w:right="160" w:firstLine="436"/>
        <w:spacing w:after="0" w:line="266" w:lineRule="auto"/>
        <w:tabs>
          <w:tab w:leader="none" w:pos="7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is a true, correct and complete copy of the Bylaws of the Company and any and all amendments thereto currently in effect, and no action has been taken to further amend, modify or repeal such Bylaws, the same being in full force and effect in the attached form as of the date hereof.</w:t>
      </w:r>
    </w:p>
    <w:p>
      <w:pPr>
        <w:spacing w:after="0" w:line="179" w:lineRule="exact"/>
        <w:rPr>
          <w:rFonts w:ascii="Arial" w:cs="Arial" w:eastAsia="Arial" w:hAnsi="Arial"/>
          <w:sz w:val="18"/>
          <w:szCs w:val="18"/>
          <w:color w:val="auto"/>
        </w:rPr>
      </w:pPr>
    </w:p>
    <w:p>
      <w:pPr>
        <w:jc w:val="both"/>
        <w:ind w:right="180" w:firstLine="436"/>
        <w:spacing w:after="0" w:line="263" w:lineRule="auto"/>
        <w:tabs>
          <w:tab w:leader="none" w:pos="7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person listed below has been duly elected or appointed to the position(s) indicated opposite his name and is duly authorized to sign the Securities Purchase Agreement and each of the Transaction Documents on behalf of the Company, and the signature appearing opposite such person’s name below is such person’s genuine signature.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180" w:type="dxa"/>
            <w:vAlign w:val="bottom"/>
          </w:tcPr>
          <w:p>
            <w:pPr>
              <w:spacing w:after="0"/>
              <w:rPr>
                <w:sz w:val="14"/>
                <w:szCs w:val="14"/>
                <w:color w:val="auto"/>
              </w:rPr>
            </w:pPr>
          </w:p>
        </w:tc>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3800" w:type="dxa"/>
            <w:vAlign w:val="bottom"/>
          </w:tcPr>
          <w:p>
            <w:pPr>
              <w:spacing w:after="0"/>
              <w:rPr>
                <w:sz w:val="14"/>
                <w:szCs w:val="14"/>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331"/>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260" w:type="dxa"/>
            <w:vAlign w:val="bottom"/>
            <w:gridSpan w:val="3"/>
          </w:tcPr>
          <w:p>
            <w:pPr>
              <w:ind w:left="2180"/>
              <w:spacing w:after="0"/>
              <w:rPr>
                <w:sz w:val="20"/>
                <w:szCs w:val="20"/>
                <w:color w:val="auto"/>
              </w:rPr>
            </w:pPr>
            <w:r>
              <w:rPr>
                <w:rFonts w:ascii="Arial" w:cs="Arial" w:eastAsia="Arial" w:hAnsi="Arial"/>
                <w:sz w:val="18"/>
                <w:szCs w:val="18"/>
                <w:color w:val="auto"/>
              </w:rPr>
              <w:t>Chief Financial Officer</w:t>
            </w:r>
          </w:p>
        </w:tc>
        <w:tc>
          <w:tcPr>
            <w:tcW w:w="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undersigned has hereunto set his hand as of this ____ day of __________,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205740</wp:posOffset>
            </wp:positionV>
            <wp:extent cx="279463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4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23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 [●], Chief Executive Officer, hereby certify that [●] is the duly elected, qualified and acting Secretary of the Company and that the signature set forth above is [his]/[her] true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168910</wp:posOffset>
            </wp:positionV>
            <wp:extent cx="27946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270" w:right="4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Resolutions</w:t>
      </w:r>
    </w:p>
    <w:p>
      <w:pPr>
        <w:sectPr>
          <w:pgSz w:w="11900" w:h="16838" w:orient="portrait"/>
          <w:cols w:equalWidth="0" w:num="1">
            <w:col w:w="9019"/>
          </w:cols>
          <w:pgMar w:left="1440" w:top="270" w:right="1440" w:bottom="1440" w:gutter="0" w:footer="0" w:header="0"/>
          <w:type w:val="continuous"/>
        </w:sectPr>
      </w:pPr>
    </w:p>
    <w:bookmarkStart w:id="431" w:name="page432"/>
    <w:bookmarkEnd w:id="4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ectPr>
          <w:pgSz w:w="11900" w:h="16838" w:orient="portrait"/>
          <w:cols w:equalWidth="0" w:num="1">
            <w:col w:w="9019"/>
          </w:cols>
          <w:pgMar w:left="1440" w:top="270" w:right="1440" w:bottom="1440" w:gutter="0" w:footer="0" w:header="0"/>
        </w:sectPr>
      </w:pPr>
    </w:p>
    <w:bookmarkStart w:id="432" w:name="page433"/>
    <w:bookmarkEnd w:id="4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Bylaws</w:t>
      </w:r>
    </w:p>
    <w:p>
      <w:pPr>
        <w:sectPr>
          <w:pgSz w:w="11900" w:h="16838" w:orient="portrait"/>
          <w:cols w:equalWidth="0" w:num="1">
            <w:col w:w="9019"/>
          </w:cols>
          <w:pgMar w:left="1440" w:top="270" w:right="1440" w:bottom="1440" w:gutter="0" w:footer="0" w:header="0"/>
          <w:type w:val="continuous"/>
        </w:sectPr>
      </w:pPr>
    </w:p>
    <w:bookmarkStart w:id="433" w:name="page434"/>
    <w:bookmarkEnd w:id="4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Officer’s Certificate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undersigned, the Chief Executive Officer and Chief Financial Officer of Aeglea BioTherapeutics, Inc., a Delaware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Section 5.1(h) of the Securities Purchase Agreement, dated as of ___________________, by and among the Company and the</w:t>
      </w:r>
    </w:p>
    <w:p>
      <w:pPr>
        <w:spacing w:after="0" w:line="3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investors signatory thereto (the “</w:t>
      </w:r>
      <w:r>
        <w:rPr>
          <w:rFonts w:ascii="Arial" w:cs="Arial" w:eastAsia="Arial" w:hAnsi="Arial"/>
          <w:sz w:val="18"/>
          <w:szCs w:val="18"/>
          <w:b w:val="1"/>
          <w:bCs w:val="1"/>
          <w:i w:val="1"/>
          <w:iCs w:val="1"/>
          <w:color w:val="auto"/>
        </w:rPr>
        <w:t>Securities Purchase Agreement</w:t>
      </w:r>
      <w:r>
        <w:rPr>
          <w:rFonts w:ascii="Arial" w:cs="Arial" w:eastAsia="Arial" w:hAnsi="Arial"/>
          <w:sz w:val="18"/>
          <w:szCs w:val="18"/>
          <w:color w:val="auto"/>
        </w:rPr>
        <w:t>”), hereby represents, warrants and certifies as follows (capitalized terms used but not otherwise defined herein shall have the meaning set forth in the Securities Purchase Agreement):</w:t>
      </w:r>
    </w:p>
    <w:p>
      <w:pPr>
        <w:spacing w:after="0" w:line="185" w:lineRule="exact"/>
        <w:rPr>
          <w:sz w:val="20"/>
          <w:szCs w:val="20"/>
          <w:color w:val="auto"/>
        </w:rPr>
      </w:pPr>
    </w:p>
    <w:p>
      <w:pPr>
        <w:ind w:firstLine="436"/>
        <w:spacing w:after="0" w:line="255" w:lineRule="auto"/>
        <w:tabs>
          <w:tab w:leader="none" w:pos="7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the Securities Purchase Agreement are true and correct in all material respects (except for those representations and warranties which are qualified as to materiality, in which case, such representations and warranties shall be true and correct in all respects) as of the date when made and as of the date hereof, as though made on and as of such date, except for such representations and warranties that speak as of a specific date, which shall be true and correct in all material respects (except for those representations and warranties which are qualified as to materiality or Material Adverse Effect, which representations and warranties shall be true and correct in all respects) as of such date.</w:t>
      </w:r>
    </w:p>
    <w:p>
      <w:pPr>
        <w:spacing w:after="0" w:line="192" w:lineRule="exact"/>
        <w:rPr>
          <w:rFonts w:ascii="Arial" w:cs="Arial" w:eastAsia="Arial" w:hAnsi="Arial"/>
          <w:sz w:val="18"/>
          <w:szCs w:val="18"/>
          <w:color w:val="auto"/>
        </w:rPr>
      </w:pPr>
    </w:p>
    <w:p>
      <w:pPr>
        <w:ind w:right="300" w:firstLine="436"/>
        <w:spacing w:after="0" w:line="277" w:lineRule="auto"/>
        <w:tabs>
          <w:tab w:leader="none" w:pos="7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Company has performed, satisfied and complied in all material respects with all covenants, agreements and conditions required by the Transaction Documents to be performed, satisfied or complied with by it at or prior to the date hereof.</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conditions set forth in Section 5.1(f) and Section 5.1(i) of the Securities Purchase Agreement have been satisfied.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certificate this ____ day of 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203200</wp:posOffset>
            </wp:positionV>
            <wp:extent cx="27946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194945</wp:posOffset>
            </wp:positionV>
            <wp:extent cx="27946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270" w:right="439" w:bottom="1440" w:gutter="0" w:footer="0" w:header="0"/>
        </w:sectPr>
      </w:pPr>
    </w:p>
    <w:bookmarkStart w:id="434" w:name="page435"/>
    <w:bookmarkEnd w:id="4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Merger Agreement</w:t>
      </w:r>
    </w:p>
    <w:p>
      <w:pPr>
        <w:sectPr>
          <w:pgSz w:w="11900" w:h="16838" w:orient="portrait"/>
          <w:cols w:equalWidth="0" w:num="1">
            <w:col w:w="9019"/>
          </w:cols>
          <w:pgMar w:left="1440" w:top="270" w:right="1440" w:bottom="1440" w:gutter="0" w:footer="0" w:header="0"/>
        </w:sectPr>
      </w:pPr>
    </w:p>
    <w:bookmarkStart w:id="435" w:name="page436"/>
    <w:bookmarkEnd w:id="435"/>
    <w:p>
      <w:pPr>
        <w:ind w:left="918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186055</wp:posOffset>
            </wp:positionV>
            <wp:extent cx="5332095" cy="75438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3">
                      <a:extLst>
                        <a:ext uri="{28A0092B-C50C-407E-A947-70E740481C1C}"/>
                      </a:extLst>
                    </a:blip>
                    <a:srcRect/>
                    <a:stretch>
                      <a:fillRect/>
                    </a:stretch>
                  </pic:blipFill>
                  <pic:spPr bwMode="auto">
                    <a:xfrm>
                      <a:off x="0" y="0"/>
                      <a:ext cx="5332095" cy="754380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36" w:name="page437"/>
    <w:bookmarkEnd w:id="4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4" w:right="260"/>
        <w:spacing w:after="0" w:line="311"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March 16, 2021 by and between Aeglea BioTherapeutics,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the persons listed on the attached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who are signatories to this Agreement (collectively, the “</w:t>
      </w:r>
      <w:r>
        <w:rPr>
          <w:rFonts w:ascii="Arial" w:cs="Arial" w:eastAsia="Arial" w:hAnsi="Arial"/>
          <w:sz w:val="16"/>
          <w:szCs w:val="16"/>
          <w:u w:val="single" w:color="auto"/>
          <w:color w:val="auto"/>
        </w:rPr>
        <w:t>Investors</w:t>
      </w:r>
      <w:r>
        <w:rPr>
          <w:rFonts w:ascii="Arial" w:cs="Arial" w:eastAsia="Arial" w:hAnsi="Arial"/>
          <w:sz w:val="16"/>
          <w:szCs w:val="16"/>
          <w:color w:val="auto"/>
        </w:rPr>
        <w:t xml:space="preserve">”). Unless otherwise defined herein, capitalized terms used in this Agreement have the respective meanings ascribed to them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wish to provide for certain arrangements with respect to the registration of the Registrable Securities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by the Company under the Securities Act (as defined below).</w:t>
      </w:r>
    </w:p>
    <w:p>
      <w:pPr>
        <w:spacing w:after="0" w:line="162"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covenants set forth herein, and other consideration, the receipt and adequacy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parties hereto agree as follows:</w:t>
      </w:r>
    </w:p>
    <w:p>
      <w:pPr>
        <w:spacing w:after="0" w:line="378" w:lineRule="exact"/>
        <w:rPr>
          <w:sz w:val="20"/>
          <w:szCs w:val="20"/>
          <w:color w:val="auto"/>
        </w:rPr>
      </w:pPr>
    </w:p>
    <w:p>
      <w:pPr>
        <w:ind w:left="5144"/>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the terms defined elsewhere in this Agreement, as used in this Agreement, the following terms have the respective meanings set forth below:</w:t>
      </w:r>
    </w:p>
    <w:p>
      <w:pPr>
        <w:spacing w:after="0" w:line="62"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Block Trade</w:t>
      </w:r>
      <w:r>
        <w:rPr>
          <w:rFonts w:ascii="Arial" w:cs="Arial" w:eastAsia="Arial" w:hAnsi="Arial"/>
          <w:sz w:val="18"/>
          <w:szCs w:val="18"/>
          <w:color w:val="auto"/>
        </w:rPr>
        <w:t>” shall mean an offering of Registrable Securities which requires both the Investors and the Company to enter into a sale agreement and is limited in scope of selling efforts as compared to an Underwritten Offering.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(c)“</w:t>
      </w:r>
      <w:r>
        <w:rPr>
          <w:rFonts w:ascii="Arial" w:cs="Arial" w:eastAsia="Arial" w:hAnsi="Arial"/>
          <w:sz w:val="17"/>
          <w:szCs w:val="17"/>
          <w:u w:val="single" w:color="auto"/>
          <w:color w:val="auto"/>
        </w:rPr>
        <w:t>Commission</w:t>
      </w:r>
      <w:r>
        <w:rPr>
          <w:rFonts w:ascii="Arial" w:cs="Arial" w:eastAsia="Arial" w:hAnsi="Arial"/>
          <w:sz w:val="17"/>
          <w:szCs w:val="17"/>
          <w:color w:val="auto"/>
        </w:rPr>
        <w:t>” shall mean the Securities and Exchange Commission or any other federal agency at the time administering the Securities Act.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$0.0001 per share.</w:t>
      </w:r>
    </w:p>
    <w:p>
      <w:pPr>
        <w:spacing w:after="0" w:line="225"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(e)“</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or any similar successor federal statute and the rules and regulations thereunder, all as the same shall be in effect from time to time.</w:t>
      </w:r>
    </w:p>
    <w:p>
      <w:pPr>
        <w:spacing w:after="0" w:line="170" w:lineRule="exact"/>
        <w:rPr>
          <w:sz w:val="20"/>
          <w:szCs w:val="20"/>
          <w:color w:val="auto"/>
        </w:rPr>
      </w:pPr>
    </w:p>
    <w:p>
      <w:pPr>
        <w:jc w:val="both"/>
        <w:ind w:left="4" w:right="120" w:hanging="4"/>
        <w:spacing w:after="0" w:line="259" w:lineRule="auto"/>
        <w:tabs>
          <w:tab w:leader="none" w:pos="229"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local or foreign government, or any department, agency, or instrumentality of any government; any public international organization, any transnational governmental organization; any court of competent jurisdiction, arbitral, administrative agency, commission, or other governmental regulatory authority or quasi-governmental authority, any political party; and any national securities exchange or national quotation system.</w:t>
      </w:r>
    </w:p>
    <w:p>
      <w:pPr>
        <w:sectPr>
          <w:pgSz w:w="11900" w:h="16838" w:orient="portrait"/>
          <w:cols w:equalWidth="0" w:num="1">
            <w:col w:w="11024"/>
          </w:cols>
          <w:pgMar w:left="436" w:top="121" w:right="439" w:bottom="1440" w:gutter="0" w:footer="0" w:header="0"/>
        </w:sectPr>
      </w:pPr>
    </w:p>
    <w:bookmarkStart w:id="438" w:name="page439"/>
    <w:bookmarkEnd w:id="43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w:t>
      </w:r>
      <w:r>
        <w:rPr>
          <w:rFonts w:ascii="Arial" w:cs="Arial" w:eastAsia="Arial" w:hAnsi="Arial"/>
          <w:sz w:val="18"/>
          <w:szCs w:val="18"/>
          <w:u w:val="single" w:color="auto"/>
          <w:color w:val="auto"/>
        </w:rPr>
        <w:t>Other Securities</w:t>
      </w:r>
      <w:r>
        <w:rPr>
          <w:rFonts w:ascii="Arial" w:cs="Arial" w:eastAsia="Arial" w:hAnsi="Arial"/>
          <w:sz w:val="18"/>
          <w:szCs w:val="18"/>
          <w:color w:val="auto"/>
        </w:rPr>
        <w:t>” shall mean securities of the Company, other than Registrable Securities (as defined below).</w:t>
      </w:r>
    </w:p>
    <w:p>
      <w:pPr>
        <w:spacing w:after="0" w:line="225" w:lineRule="exact"/>
        <w:rPr>
          <w:sz w:val="20"/>
          <w:szCs w:val="20"/>
          <w:color w:val="auto"/>
        </w:rPr>
      </w:pPr>
    </w:p>
    <w:p>
      <w:pPr>
        <w:ind w:left="4" w:right="260" w:hanging="4"/>
        <w:spacing w:after="0" w:line="277" w:lineRule="auto"/>
        <w:tabs>
          <w:tab w:leader="none" w:pos="25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0"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shall mean the shares of Common Stock and any Common Stock issued or issuable upon the exercise or conversion of any other securities (whether equity, debt or otherwise) of the Company now owned or hereafter acquired by any of the Investors. Registrable Securities shall cease to be Registrable Securities upon the earliest to occur of the following events: (i) such Registrable Securities have been sold pursuant to an effective Registration Statement; (ii) such Registrable Securities have been sold by the Investors pursuant to Rule 144 (or other similar rule), (iii) such Registrable Securities may be resold by the Investor holding such Registrable Securities without limitations as to volume or manner of sale pursuant to Rule 144; or (iv) ten (10) years after the date of this Agreement. For purposes of this definition, in order to determine whether an Investor is an “affiliate” (as such term is defined and used in Rule 144, and including for determining whether volume or manner of sale limitations of Rule 144 apply) the parties will assume that all convertible securities (whether equity, debt or otherwise) have been converted into Common Stock without regard to any limitations or conversion applicable thereto.</w:t>
      </w:r>
    </w:p>
    <w:p>
      <w:pPr>
        <w:spacing w:after="0" w:line="181" w:lineRule="exact"/>
        <w:rPr>
          <w:sz w:val="20"/>
          <w:szCs w:val="20"/>
          <w:color w:val="auto"/>
        </w:rPr>
      </w:pPr>
    </w:p>
    <w:p>
      <w:pPr>
        <w:ind w:left="4" w:right="820"/>
        <w:spacing w:after="0" w:line="277" w:lineRule="auto"/>
        <w:rPr>
          <w:sz w:val="20"/>
          <w:szCs w:val="20"/>
          <w:color w:val="auto"/>
        </w:rPr>
      </w:pPr>
      <w:r>
        <w:rPr>
          <w:rFonts w:ascii="Arial" w:cs="Arial" w:eastAsia="Arial" w:hAnsi="Arial"/>
          <w:sz w:val="18"/>
          <w:szCs w:val="18"/>
          <w:color w:val="auto"/>
        </w:rPr>
        <w:t>(j)The terms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shall refer to a registration effected by preparing and filing a Registration Statement in compliance with the Securities Act, and such Registration Statement becoming effective under the Securities Act.</w:t>
      </w:r>
    </w:p>
    <w:p>
      <w:pPr>
        <w:spacing w:after="0" w:line="170"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(k)“</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mean all expenses incurred by the Company in effecting any registration pursuant to this Agreement, including, without limitation, all registration, qualification, and filing fees, printing expenses, escrow fees, fees and disbursements of counsel for the Company, blue sky fees and expenses, and expenses of any regular or special audits incident to or required by any such registration, but shall not include Selling Expenses.</w:t>
      </w:r>
    </w:p>
    <w:p>
      <w:pPr>
        <w:spacing w:after="0" w:line="187" w:lineRule="exact"/>
        <w:rPr>
          <w:sz w:val="20"/>
          <w:szCs w:val="20"/>
          <w:color w:val="auto"/>
        </w:rPr>
      </w:pPr>
    </w:p>
    <w:p>
      <w:pPr>
        <w:ind w:left="4" w:right="220"/>
        <w:spacing w:after="0" w:line="301" w:lineRule="auto"/>
        <w:rPr>
          <w:sz w:val="20"/>
          <w:szCs w:val="20"/>
          <w:color w:val="auto"/>
        </w:rPr>
      </w:pPr>
      <w:r>
        <w:rPr>
          <w:rFonts w:ascii="Arial" w:cs="Arial" w:eastAsia="Arial" w:hAnsi="Arial"/>
          <w:sz w:val="16"/>
          <w:szCs w:val="16"/>
          <w:color w:val="auto"/>
        </w:rPr>
        <w:t>(l)“</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of the Company filed with, or to be filed with, the Commission under the Securities Act,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other than a registration statement (and related prospectus) filed on Form S-4 or Form S-8 or any successor forms thereto.</w:t>
      </w:r>
    </w:p>
    <w:p>
      <w:pPr>
        <w:spacing w:after="0" w:line="15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(m)“</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as promulgated by the Commission under the Securities Act, as such rule may be amended from time to time, or any similar successor rule that may be promulgated by the Commission.</w:t>
      </w:r>
    </w:p>
    <w:p>
      <w:pPr>
        <w:spacing w:after="0" w:line="170"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or any similar successor federal statute and the rules and regulations thereunder, all as the same shall be in effect from time to time.</w:t>
      </w:r>
    </w:p>
    <w:p>
      <w:pPr>
        <w:sectPr>
          <w:pgSz w:w="11900" w:h="16838" w:orient="portrait"/>
          <w:cols w:equalWidth="0" w:num="1">
            <w:col w:w="11004"/>
          </w:cols>
          <w:pgMar w:left="436" w:top="274" w:right="459" w:bottom="1440" w:gutter="0" w:footer="0" w:header="0"/>
        </w:sectPr>
      </w:pPr>
    </w:p>
    <w:bookmarkStart w:id="439" w:name="page440"/>
    <w:bookmarkEnd w:id="439"/>
    <w:p>
      <w:pPr>
        <w:ind w:left="4" w:right="5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Arial" w:cs="Arial" w:eastAsia="Arial" w:hAnsi="Arial"/>
          <w:sz w:val="18"/>
          <w:szCs w:val="18"/>
          <w:u w:val="single" w:color="auto"/>
          <w:color w:val="auto"/>
        </w:rPr>
        <w:t>Selling Expenses</w:t>
      </w:r>
      <w:r>
        <w:rPr>
          <w:rFonts w:ascii="Arial" w:cs="Arial" w:eastAsia="Arial" w:hAnsi="Arial"/>
          <w:sz w:val="18"/>
          <w:szCs w:val="18"/>
          <w:color w:val="auto"/>
        </w:rPr>
        <w:t>” shall mean all underwriting discounts and selling commissions applicable to the sale of Registrable Securities, the fees and expenses of any legal counsel and any other advisors any of the Investors engage and all similar fees and commissions relating to the Investors’ disposition of the Registrable Securities.</w:t>
      </w:r>
    </w:p>
    <w:p>
      <w:pPr>
        <w:spacing w:after="0" w:line="184"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(p)“</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 public offering of Registrable Securities pursuant to an effective registration statement under the Securities Act (other than pursuant to a registration statement on Form S-4 or S-8 or any similar or successor form) which requires the Investors and the Company to enter into an underwriting agreement.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Resale Registration Rights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Resale Registration Rights</w:t>
      </w:r>
      <w:r>
        <w:rPr>
          <w:rFonts w:ascii="Arial" w:cs="Arial" w:eastAsia="Arial" w:hAnsi="Arial"/>
          <w:sz w:val="18"/>
          <w:szCs w:val="18"/>
          <w:color w:val="auto"/>
        </w:rPr>
        <w:t>.</w:t>
      </w:r>
    </w:p>
    <w:p>
      <w:pPr>
        <w:spacing w:after="0" w:line="225"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(a)Following demand by any Investor the Company shall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the Registrable Securities by the Investors (the “</w:t>
      </w:r>
      <w:r>
        <w:rPr>
          <w:rFonts w:ascii="Arial" w:cs="Arial" w:eastAsia="Arial" w:hAnsi="Arial"/>
          <w:sz w:val="17"/>
          <w:szCs w:val="17"/>
          <w:u w:val="single" w:color="auto"/>
          <w:color w:val="auto"/>
        </w:rPr>
        <w:t>Resale Registration Shelf</w:t>
      </w:r>
      <w:r>
        <w:rPr>
          <w:rFonts w:ascii="Arial" w:cs="Arial" w:eastAsia="Arial" w:hAnsi="Arial"/>
          <w:sz w:val="17"/>
          <w:szCs w:val="17"/>
          <w:color w:val="auto"/>
        </w:rPr>
        <w:t xml:space="preserve">”), and the Company shall file such Resale Registration Shelf as promptly as reasonably practicable following such demand, and in any event within sixty (60) days of such demand. Such Resale Registration Shelf shall include a “final” prospectus, including the information required by Item 507 of Regulation S-K of the Securities Act, as provided by the Investors in accordance with Section 2.7. Notwithstanding the foregoing, before filing the Resale Registration Shelf, the Company shall furnish to the Investors a copy of the Resale Registration Shelf and afford the Investors an opportunity to review and comment on the Resale Registration Shelf. The Company’s obligation pursuant to this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is conditioned upon the Investors providing the information contemplated in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181"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color w:val="auto"/>
        </w:rPr>
        <w:t>(b)The Company shall use its reasonable best efforts to cause the Resale Registration Shelf and related prospectuses to become effective as promptly as practicable after filing. The Company shall use its reasonable best efforts to cause such Registration Statement to remain effective under the Securities Act until the earlier of the date (i) all Registrable Securities covered by the Resale Registration Shelf have been sold or may be sold freely without limitations or restrictions as to volume or manner of sale pursuant to Rule 144 or (ii) all Registrable Securities covered by the Resale Registration Shelf otherwise cease to be Registrable Securities pursuant to the definition of Registrable Securities. The Company shall promptly, and within two</w:t>
      </w:r>
    </w:p>
    <w:p>
      <w:pPr>
        <w:spacing w:after="0" w:line="2" w:lineRule="exact"/>
        <w:rPr>
          <w:sz w:val="20"/>
          <w:szCs w:val="20"/>
          <w:color w:val="auto"/>
        </w:rPr>
      </w:pPr>
    </w:p>
    <w:p>
      <w:pPr>
        <w:ind w:left="4" w:right="840" w:hanging="4"/>
        <w:spacing w:after="0" w:line="260" w:lineRule="auto"/>
        <w:tabs>
          <w:tab w:leader="none" w:pos="25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business days after the Company confirms effectiveness of the Resale Registration Shelf with the Commission, notify the Investors of the effectiveness of the Resale Registration Shelf.</w:t>
      </w:r>
    </w:p>
    <w:p>
      <w:pPr>
        <w:spacing w:after="0" w:line="18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 xml:space="preserve">(c)Notwithstanding anything contained herein to the contrary, the Company shall not be obligated to effect, or to take any action to effect, a registration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62"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(i)if the Company has and maintains an effective Registration Statement on Form S-3ASR that provides for the resale of an unlimited number of securities by selling stockholders (a “</w:t>
      </w:r>
      <w:r>
        <w:rPr>
          <w:rFonts w:ascii="Arial" w:cs="Arial" w:eastAsia="Arial" w:hAnsi="Arial"/>
          <w:sz w:val="18"/>
          <w:szCs w:val="18"/>
          <w:u w:val="single" w:color="auto"/>
          <w:color w:val="auto"/>
        </w:rPr>
        <w:t>Company Registration Shelf</w:t>
      </w: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(ii)during the period forty-five (45) days prior to the Company’s good faith estimate of the date of filing of a Company Registration Shelf; or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(iii)if the Company has caused a Registration Statement to become effective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during the prior twelve (12) month period.</w:t>
      </w:r>
    </w:p>
    <w:p>
      <w:pPr>
        <w:spacing w:after="0" w:line="23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(d)If the Company has a Company Registration Shelf in place at any time in which the Investors make a demand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the Company shall file with the Commission, as promptly as practicable, and in any event within fifteen (15) business days after such demand, a “final” prospectus supplement to its Company Registration Shelf covering the resale of the Registrable Securities by the Investors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file more than one Prospectus pursuant to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in any six month period to add additional Registrable Securities to the Company Registration Shelf that were acquired by the Investors other than directly from the Company or in an underwritten public offering by the Company. The Prospectus shall include the information required under Item 507 of Regulation S-K of the Securities Act, which information shall be provided by the Investors in accordance with </w:t>
      </w:r>
      <w:r>
        <w:rPr>
          <w:rFonts w:ascii="Arial" w:cs="Arial" w:eastAsia="Arial" w:hAnsi="Arial"/>
          <w:sz w:val="16"/>
          <w:szCs w:val="16"/>
          <w:u w:val="single" w:color="auto"/>
          <w:color w:val="auto"/>
        </w:rPr>
        <w:t>Section 2.7</w:t>
      </w:r>
      <w:r>
        <w:rPr>
          <w:rFonts w:ascii="Arial" w:cs="Arial" w:eastAsia="Arial" w:hAnsi="Arial"/>
          <w:sz w:val="16"/>
          <w:szCs w:val="16"/>
          <w:color w:val="auto"/>
        </w:rPr>
        <w:t>. Notwithstanding the foregoing, before filing the Prospectus, the Company shall furnish to the Investors a copy of the Prospectus and afford the Investors an opportunity to review and comment on the Prospectus.</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w:t>
      </w:r>
      <w:r>
        <w:rPr>
          <w:rFonts w:ascii="Arial" w:cs="Arial" w:eastAsia="Arial" w:hAnsi="Arial"/>
          <w:sz w:val="17"/>
          <w:szCs w:val="17"/>
          <w:u w:val="single" w:color="auto"/>
          <w:color w:val="auto"/>
        </w:rPr>
        <w:t>Deferral and Suspension</w:t>
      </w:r>
      <w:r>
        <w:rPr>
          <w:rFonts w:ascii="Arial" w:cs="Arial" w:eastAsia="Arial" w:hAnsi="Arial"/>
          <w:sz w:val="17"/>
          <w:szCs w:val="17"/>
          <w:color w:val="auto"/>
        </w:rPr>
        <w:t xml:space="preserve">. At any time after being obligated pursuant to this Agreement to file a Resale Registration Shelf or Prospectus, or after any Resale Registration Shelf has become effective or a Prospectus is filed with the Commission, the Company may defer the filing of or suspend the use of any such Resale Registration Shelf or Prospectus, upon giving written notice of such action to the Investors with a certificate signed by the Principal Executive Officer or Principal Financial Officer of the Company stating that in the good faith judgment of the Board, the filing or use of any such Resale Registration Shelf or Prospectus covering the Registrable Securities would be seriously detrimental to the Company or its stockholders at such time (including, without limitation, because the Company reasonably and in good faith believes that there is or may be in existence material nonpublic information or events involving the Company, the failure of which to be disclosed in the prospectus contained in such Restriction Statement, or such Prospectus, could result in a violation by the Company of the Securities Act, Exchange Act any state securities law, or any rule or regulation promulgated thereunder, and disclosure of such material nonpublic information or events would be seriously detrimental to the Company or its stockholders) and that the Board concludes, as a result, that it is in the best interests of the Company and its stockholders to defer the filing or suspend the use of such Resale Registration Shelf or Prospectus at such time. The Company shall have the right to defer the filing of or suspend the use of such Resale Registration Shelf or Prospectus for a period of not more than one hundred twenty (120) days from the date the Company notifies the Investors of such deferral or suspension;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exercise the right contained in this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more than once in any twelve month period. In the case of the suspension of use of any effective Resale Registration Shelf or Prospectus, the Investors, immediately upon receipt of notice thereof from the Company, shall discontinue any offers or sales of Registrable Securities pursuant to such Resale Registration Shelf or Prospectus until advised in writing by the Company that the use of such Resale Registration Shelf or Prospectus may be resumed. In the case of a deferred Prospectus or Resale Registration Shelf filing, the Company shall provide prompt written notice to the Investors of (i) the Company’s decision to file or seek effectiveness</w:t>
      </w:r>
    </w:p>
    <w:p>
      <w:pPr>
        <w:sectPr>
          <w:pgSz w:w="11900" w:h="16838" w:orient="portrait"/>
          <w:cols w:equalWidth="0" w:num="1">
            <w:col w:w="11000"/>
          </w:cols>
          <w:pgMar w:left="440" w:top="274" w:right="459" w:bottom="1440" w:gutter="0" w:footer="0" w:header="0"/>
        </w:sectPr>
      </w:pPr>
    </w:p>
    <w:bookmarkStart w:id="441" w:name="page442"/>
    <w:bookmarkEnd w:id="441"/>
    <w:p>
      <w:pPr>
        <w:ind w:left="4"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Prospectus or Resale Registration Shelf, as the case may be, following such deferral and (ii) in the case of a Resale Registration Shelf, the effectiveness of such Resale Registration Shelf. In the case of either a suspension of use of, or deferred filing of, any Resale Registration Shelf or Prospectus, the Company shall not, during the pendency of such suspension or deferral, be required to take any action hereunder (including any action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with respect to the registration or sale of any Registrable Securities pursuant to any such Resale Registration Shelf, Company Registration Shelf or Prospectus.</w:t>
      </w:r>
    </w:p>
    <w:p>
      <w:pPr>
        <w:spacing w:after="0" w:line="188" w:lineRule="exact"/>
        <w:rPr>
          <w:sz w:val="20"/>
          <w:szCs w:val="20"/>
          <w:color w:val="auto"/>
        </w:rPr>
      </w:pPr>
    </w:p>
    <w:p>
      <w:pPr>
        <w:ind w:left="4" w:right="480"/>
        <w:spacing w:after="0" w:line="301" w:lineRule="auto"/>
        <w:rPr>
          <w:sz w:val="20"/>
          <w:szCs w:val="20"/>
          <w:color w:val="auto"/>
        </w:rPr>
      </w:pPr>
      <w:r>
        <w:rPr>
          <w:rFonts w:ascii="Arial" w:cs="Arial" w:eastAsia="Arial" w:hAnsi="Arial"/>
          <w:sz w:val="16"/>
          <w:szCs w:val="16"/>
          <w:color w:val="auto"/>
        </w:rPr>
        <w:t>(f)</w:t>
      </w:r>
      <w:r>
        <w:rPr>
          <w:rFonts w:ascii="Arial" w:cs="Arial" w:eastAsia="Arial" w:hAnsi="Arial"/>
          <w:sz w:val="16"/>
          <w:szCs w:val="16"/>
          <w:u w:val="single" w:color="auto"/>
          <w:color w:val="auto"/>
        </w:rPr>
        <w:t>Other Securities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below, any Resale Registration Shelf or Prospectus may include Other Securities, and may include securities of the Company being sold for the account of the Company; provided such Other Securities are excluded first from such Registration Statement in order to comply with any applicable laws or request from any Government Entity, Nasdaq or any applicable listing agency. For the avoidance of doubt, no Other Securities may be included in an Underwritten Offering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without the consent of the Investors.</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Sales and Underwritten Offerings of the Registrable Securities</w:t>
      </w:r>
      <w:r>
        <w:rPr>
          <w:rFonts w:ascii="Arial" w:cs="Arial" w:eastAsia="Arial" w:hAnsi="Arial"/>
          <w:sz w:val="18"/>
          <w:szCs w:val="18"/>
          <w:color w:val="auto"/>
        </w:rPr>
        <w:t>.</w:t>
      </w:r>
    </w:p>
    <w:p>
      <w:pPr>
        <w:spacing w:after="0" w:line="225" w:lineRule="exact"/>
        <w:rPr>
          <w:sz w:val="20"/>
          <w:szCs w:val="20"/>
          <w:color w:val="auto"/>
        </w:rPr>
      </w:pPr>
    </w:p>
    <w:p>
      <w:pPr>
        <w:ind w:left="4" w:right="380"/>
        <w:spacing w:after="0" w:line="259" w:lineRule="auto"/>
        <w:rPr>
          <w:sz w:val="20"/>
          <w:szCs w:val="20"/>
          <w:color w:val="auto"/>
        </w:rPr>
      </w:pPr>
      <w:r>
        <w:rPr>
          <w:rFonts w:ascii="Arial" w:cs="Arial" w:eastAsia="Arial" w:hAnsi="Arial"/>
          <w:sz w:val="18"/>
          <w:szCs w:val="18"/>
          <w:color w:val="auto"/>
        </w:rPr>
        <w:t xml:space="preserve">(a)Notwithstanding any provision contained herein to the contrary, the Investors, collectively, shall and subject to the limitations set forth in this </w:t>
      </w:r>
      <w:r>
        <w:rPr>
          <w:rFonts w:ascii="Arial" w:cs="Arial" w:eastAsia="Arial" w:hAnsi="Arial"/>
          <w:sz w:val="18"/>
          <w:szCs w:val="18"/>
          <w:u w:val="single" w:color="auto"/>
          <w:color w:val="auto"/>
        </w:rPr>
        <w:t>Section 2.2</w:t>
      </w:r>
      <w:r>
        <w:rPr>
          <w:rFonts w:ascii="Arial" w:cs="Arial" w:eastAsia="Arial" w:hAnsi="Arial"/>
          <w:sz w:val="18"/>
          <w:szCs w:val="18"/>
          <w:color w:val="auto"/>
        </w:rPr>
        <w:t>, be permitted (i) one Underwritten Offering per calendar year, but no more than three Underwritten Offerings and eight Block Trades in total, and (ii) no more than two Underwritten Offerings or Block Trades in any twelve month period, to effect the sale or distribution of Registrable Securities.</w:t>
      </w:r>
    </w:p>
    <w:p>
      <w:pPr>
        <w:spacing w:after="0" w:line="18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(b)If the Investors intend to effect an Underwritten Offering or Block Trade pursuant to a Resale Registration Shelf or Company Registration Shelf to sell or otherwise distribute Registrable Securities, they shall so advise the Company and provide as much notice to the Company as reasonably practicable (and, in either case, not less than fifteen (15) business days prior to the Investors’ request that the Company file a prospectus supplement to a Resale Registration Shelf or Company Registration Shelf).</w:t>
      </w:r>
    </w:p>
    <w:p>
      <w:pPr>
        <w:spacing w:after="0" w:line="187" w:lineRule="exact"/>
        <w:rPr>
          <w:sz w:val="20"/>
          <w:szCs w:val="20"/>
          <w:color w:val="auto"/>
        </w:rPr>
      </w:pPr>
    </w:p>
    <w:p>
      <w:pPr>
        <w:jc w:val="both"/>
        <w:ind w:left="4" w:right="180"/>
        <w:spacing w:after="0" w:line="263" w:lineRule="auto"/>
        <w:rPr>
          <w:sz w:val="20"/>
          <w:szCs w:val="20"/>
          <w:color w:val="auto"/>
        </w:rPr>
      </w:pPr>
      <w:r>
        <w:rPr>
          <w:rFonts w:ascii="Arial" w:cs="Arial" w:eastAsia="Arial" w:hAnsi="Arial"/>
          <w:sz w:val="18"/>
          <w:szCs w:val="18"/>
          <w:color w:val="auto"/>
        </w:rPr>
        <w:t xml:space="preserve">(c)In connection with any offering initiated by the Investors pursuant to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involving an underwriting of shares of Registrable Securities, the Investors shall be entitled to select the underwriter or underwriters for such offering, subject to the consent of the Company, such consent not to be unreasonably withheld, conditioned or delayed.</w:t>
      </w:r>
    </w:p>
    <w:p>
      <w:pPr>
        <w:spacing w:after="0" w:line="184"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 xml:space="preserve">(d)In connection with any offering initiated by the Investors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involving an Underwritten Offering of Registrable Securities, the Company shall not be required to include any of the Registrable Securities in such underwriting unless the Investors (i) enter into an underwriting agreement in customary form with the underwriter or underwriters, (ii) accept customary terms in such underwriting agreement with regard to representations and warranties relating to ownership of the Registrable Securities and authority and power to enter into such underwriting agreement and</w:t>
      </w:r>
    </w:p>
    <w:p>
      <w:pPr>
        <w:spacing w:after="0" w:line="1" w:lineRule="exact"/>
        <w:rPr>
          <w:sz w:val="20"/>
          <w:szCs w:val="20"/>
          <w:color w:val="auto"/>
        </w:rPr>
      </w:pPr>
    </w:p>
    <w:p>
      <w:pPr>
        <w:ind w:left="4" w:right="20" w:hanging="4"/>
        <w:spacing w:after="0" w:line="271" w:lineRule="auto"/>
        <w:tabs>
          <w:tab w:leader="none" w:pos="31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complete and execute all questionnaires, powers of attorney, custody agreements, indemnities and other documents as may be requested by such underwriter or underwriters. Further, the Company shall not be required to include any of the Registrable Securities in such underwriting if (Y) the underwriting agreement proposed by the underwriter or underwriters contains representations, warranties or conditions that are not reasonable in light of the Company’s then-current business or (Z) the underwriter, underwriters or the Investors require the Company to participate in any marketing, road show or comparable activity that may be required to complete the orderly sale of shares by the underwriter or underwriters.</w:t>
      </w:r>
    </w:p>
    <w:p>
      <w:pPr>
        <w:sectPr>
          <w:pgSz w:w="11900" w:h="16838" w:orient="portrait"/>
          <w:cols w:equalWidth="0" w:num="1">
            <w:col w:w="11004"/>
          </w:cols>
          <w:pgMar w:left="436" w:top="274" w:right="459" w:bottom="1440" w:gutter="0" w:footer="0" w:header="0"/>
        </w:sectPr>
      </w:pPr>
    </w:p>
    <w:bookmarkStart w:id="442" w:name="page443"/>
    <w:bookmarkEnd w:id="44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(e)If the total amount of securities to be sold in any offering initiated by the Investors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involving an underwriting of shares of Registrable Securities exceeds the amount that the underwriters determine in their sole discretion is compatible with the success of the offering, then the Company shall be required to include in the offering only that number of such securities, including Registrable Securities (subject in each case to the cutback provisions set forth in this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that the underwriters and the Company determine in their sole discretion shall not jeopardize the success of the offering. If the Underwritten Offering has been requested pursuant to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hereof, the number of shares that are entitled to be included in the registration and underwriting shall be allocated in the following manner: (a)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shares of Company equity securities that the Company desires to include in such registration shall be excluded and (b) </w:t>
      </w:r>
      <w:r>
        <w:rPr>
          <w:rFonts w:ascii="Arial" w:cs="Arial" w:eastAsia="Arial" w:hAnsi="Arial"/>
          <w:sz w:val="17"/>
          <w:szCs w:val="17"/>
          <w:u w:val="single" w:color="auto"/>
          <w:color w:val="auto"/>
        </w:rPr>
        <w:t>second</w:t>
      </w:r>
      <w:r>
        <w:rPr>
          <w:rFonts w:ascii="Arial" w:cs="Arial" w:eastAsia="Arial" w:hAnsi="Arial"/>
          <w:sz w:val="17"/>
          <w:szCs w:val="17"/>
          <w:color w:val="auto"/>
        </w:rPr>
        <w:t>, Registrable Securities requested to be included in such registration by the Investors shall be excluded. For the avoidance of doubt, no other person besides the Investors shall be entitled to participate in any Block Trade. To facilitate the allocation of shares in accordance with the above provisions, the Company or the underwriters may round down the number of shares allocated to any of the Investors to the nearest 100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2.3.</w:t>
      </w:r>
      <w:r>
        <w:rPr>
          <w:rFonts w:ascii="Arial" w:cs="Arial" w:eastAsia="Arial" w:hAnsi="Arial"/>
          <w:sz w:val="16"/>
          <w:szCs w:val="16"/>
          <w:u w:val="single" w:color="auto"/>
          <w:color w:val="auto"/>
        </w:rPr>
        <w:t>Fees and Expenses</w:t>
      </w:r>
      <w:r>
        <w:rPr>
          <w:rFonts w:ascii="Arial" w:cs="Arial" w:eastAsia="Arial" w:hAnsi="Arial"/>
          <w:sz w:val="16"/>
          <w:szCs w:val="16"/>
          <w:color w:val="auto"/>
        </w:rPr>
        <w:t>. All Registration Expenses incurred in connection with registrations pursuant to this Agreement shall be borne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Selling Expenses relating to securities registered on behalf of the Investors shall be borne by the Investors.</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In the case of each registration of Registrable Securities effected by the Company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the Company shall keep the Investors advised as to the initiation of each such registration and as to the status thereof. The Company shall use its reasonable best efforts, within the limits set forth in this </w:t>
      </w:r>
      <w:r>
        <w:rPr>
          <w:rFonts w:ascii="Arial" w:cs="Arial" w:eastAsia="Arial" w:hAnsi="Arial"/>
          <w:sz w:val="18"/>
          <w:szCs w:val="18"/>
          <w:u w:val="single" w:color="auto"/>
          <w:color w:val="auto"/>
        </w:rPr>
        <w:t>Section 2.4</w:t>
      </w:r>
      <w:r>
        <w:rPr>
          <w:rFonts w:ascii="Arial" w:cs="Arial" w:eastAsia="Arial" w:hAnsi="Arial"/>
          <w:sz w:val="18"/>
          <w:szCs w:val="18"/>
          <w:color w:val="auto"/>
        </w:rPr>
        <w:t>, to:</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(a)prepare and file with the Commission such amendments and supplements to such Registration Statement and the prospectuses used in connection with such Registration Statement as may be necessary to keep such Registration Statement effective and current and comply with the provisions of the Securities Act with respect to the disposition of all securities covered by such Registration Statement;</w:t>
      </w:r>
    </w:p>
    <w:p>
      <w:pPr>
        <w:spacing w:after="0" w:line="16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(b)furnish to the Investors such numbers of copies of a prospectus, including preliminary prospectuses, in conformity with the requirements of the Securities Act, and such other documents as the Investors may reasonably request in order to facilitate the disposition of Registrable Securities;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(c)use its reasonable best efforts to register and qualify the Registrable Securities covered by such Registration Statement under such other securities or blue sky laws of such jurisdictions in the United States as shall be reasonably requested by the Investors, provided that the Company shall not be required in connection therewith or as a condition thereto to qualify to do business or to file a general consent to service of process in any such states or jurisdictions;</w:t>
      </w:r>
    </w:p>
    <w:p>
      <w:pPr>
        <w:sectPr>
          <w:pgSz w:w="11900" w:h="16838" w:orient="portrait"/>
          <w:cols w:equalWidth="0" w:num="1">
            <w:col w:w="10960"/>
          </w:cols>
          <w:pgMar w:left="440" w:top="274" w:right="499" w:bottom="1440" w:gutter="0" w:footer="0" w:header="0"/>
        </w:sectPr>
      </w:pPr>
    </w:p>
    <w:bookmarkStart w:id="443" w:name="page444"/>
    <w:bookmarkEnd w:id="44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(d)in the event of an Underwritten Offering or Block Trade, and subject to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enter into and perform its obligations under an underwriting agreement or Block Trade sale agreement in usual and customary form (including any “lock-ups” on behalf of the Company and its directors and officers), with the managing underwriter of such offering and take such other usual and customary action as the Investors may reasonably request in order to facilitate the disposition of such Registrable Securities;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(e)notify the Investors at any time when a prospectus relating to a Registration Statement covering any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use its reasonable best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(f)provide a transfer agent and registrar for all Registrable Securities registered pursuant to such Registration Statement and, if required, a CUSIP number for all such Registrable Securities, in each case not later than the effective date of such registration;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(g)if requested by an Investor, use reasonable best efforts to cause the Company’s transfer agent to remove any restrictive legend from any Registrable Securities, within two business days following such request;</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(h)cause to be furnished, at the request of the Investors, on the date that Registrable Securities are delivered to underwriters for sale in connection with an Underwritten Offering or Block Trade, (i) an opinion, dated such date, of the counsel representing the Company for the purposes of such registration, in form and substance as is customarily given to underwriters in an underwritten public offering, addressed to the underwriters, and (ii) a letter or letters from the independent certified public accountants of the Company, in form and substance as is customarily given by independent certified public accountants to underwriters in an underwritten public offering, addressed to the underwriters; and</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(i)cause all such Registrable Securities included in a Registration Statement pursuant to this Agreement to be listed on each securities exchange or other securities trading markets on which Common Stock is then listed.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The Investors Obligations</w:t>
      </w:r>
      <w:r>
        <w:rPr>
          <w:rFonts w:ascii="Arial" w:cs="Arial" w:eastAsia="Arial" w:hAnsi="Arial"/>
          <w:sz w:val="18"/>
          <w:szCs w:val="18"/>
          <w:color w:val="auto"/>
        </w:rPr>
        <w:t>.</w:t>
      </w:r>
    </w:p>
    <w:p>
      <w:pPr>
        <w:spacing w:after="0" w:line="22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w:t>
      </w:r>
      <w:r>
        <w:rPr>
          <w:rFonts w:ascii="Arial" w:cs="Arial" w:eastAsia="Arial" w:hAnsi="Arial"/>
          <w:sz w:val="16"/>
          <w:szCs w:val="16"/>
          <w:u w:val="single" w:color="auto"/>
          <w:color w:val="auto"/>
        </w:rPr>
        <w:t>Discontinuance of Distribution</w:t>
      </w:r>
      <w:r>
        <w:rPr>
          <w:rFonts w:ascii="Arial" w:cs="Arial" w:eastAsia="Arial" w:hAnsi="Arial"/>
          <w:sz w:val="16"/>
          <w:szCs w:val="16"/>
          <w:color w:val="auto"/>
        </w:rPr>
        <w:t xml:space="preserve">. The Investors agree that, upon receipt of any notice from the Company of the occurrence of any event of the kind described in Section 2.4(e) hereof, the Investors shall immediately discontinue disposition of Registrable Securities pursuant to any Registration Statement covering such Registrable Securities until the Investors’ receipt of the copies of the supplemented or amended prospectus contemplated by Section 2.4(e) hereof or receipt of notice that no supplement or amendment is required and that the Investors’ disposition of the Registrable Securities may be resumed. The Company may provide appropriate stop orders to enforce the provisions of this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-462280</wp:posOffset>
            </wp:positionV>
            <wp:extent cx="29845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1">
                      <a:extLst>
                        <a:ext uri="{28A0092B-C50C-407E-A947-70E740481C1C}"/>
                      </a:extLst>
                    </a:blip>
                    <a:srcRect/>
                    <a:stretch>
                      <a:fillRect/>
                    </a:stretch>
                  </pic:blipFill>
                  <pic:spPr bwMode="auto">
                    <a:xfrm>
                      <a:off x="0" y="0"/>
                      <a:ext cx="298450" cy="889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-187960</wp:posOffset>
            </wp:positionV>
            <wp:extent cx="29845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2">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444" w:name="page445"/>
    <w:bookmarkEnd w:id="444"/>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w:t>
      </w:r>
      <w:r>
        <w:rPr>
          <w:rFonts w:ascii="Arial" w:cs="Arial" w:eastAsia="Arial" w:hAnsi="Arial"/>
          <w:sz w:val="18"/>
          <w:szCs w:val="18"/>
          <w:u w:val="single" w:color="auto"/>
          <w:color w:val="auto"/>
        </w:rPr>
        <w:t>Compliance with Prospectus Delivery Requirements</w:t>
      </w:r>
      <w:r>
        <w:rPr>
          <w:rFonts w:ascii="Arial" w:cs="Arial" w:eastAsia="Arial" w:hAnsi="Arial"/>
          <w:sz w:val="18"/>
          <w:szCs w:val="18"/>
          <w:color w:val="auto"/>
        </w:rPr>
        <w:t>. The Investors covenant and agree that they shall comply with the prospectus delivery requirements of the Securities Act as applicable to them or an exemption therefrom in connection with sales of Registrable Securities pursuant to any Registration Statement filed by the Company pursuant to this Agreement.</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w:t>
      </w:r>
      <w:r>
        <w:rPr>
          <w:rFonts w:ascii="Arial" w:cs="Arial" w:eastAsia="Arial" w:hAnsi="Arial"/>
          <w:sz w:val="18"/>
          <w:szCs w:val="18"/>
          <w:u w:val="single" w:color="auto"/>
          <w:color w:val="auto"/>
        </w:rPr>
        <w:t>Notification of Sale of Registrable Securities</w:t>
      </w:r>
      <w:r>
        <w:rPr>
          <w:rFonts w:ascii="Arial" w:cs="Arial" w:eastAsia="Arial" w:hAnsi="Arial"/>
          <w:sz w:val="18"/>
          <w:szCs w:val="18"/>
          <w:color w:val="auto"/>
        </w:rPr>
        <w:t>. The Investors covenant and agree that they shall notify the Company following the sale of Registrable Securities to a third party as promptly as reasonably practicable, and in any event within thirty (30) days, following the sale of such Registrable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(a)To the extent permitted by law, the Company shall indemnify the Investors, and, as applicable, their officers, directors, and constituent partners, legal counsel for each Investor and each Person controlling the Investors, with respect to which registration, related qualification, or related compliance of Registrable Securities has been effected pursuant to this Agreement, and each underwriter, if any, and each Person who controls any underwriter within the meaning of the Securities Act against all claims, losses, damages, or liabilities (or actions in respect thereof)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 (ii) 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Investors, each such underwriter, and each Person who controls the Investors or underwriter, any legal and any other expenses reasonably incurred in connection with investigating or defending any such claim, loss,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contained in this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shall not apply to amounts paid in settlement of any such claim, loss, damage, liability, or action if settlement is effected without the consent of the Company unless such settlement (x) includes an unconditional release of the Company, in form and substance reasonably satisfactory to the Company, from all liability on claims that are the subject matter of such proceeding and (y) does not include any statement as to or any admission of fault, culpability or a failure to act by or on behalf of the Company; and provided, further, that the Company shall not be liable in any such case to the extent that any such claim, loss, damage, liability, or expense arises out of or is based upon any violation by such Investor of the obligations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or any untrue statement or omission contained in such prospectus or other document based upon written information furnished to the Company by the Investors, such underwriter, or such controlling Person and stated to be for use therein.</w:t>
      </w:r>
    </w:p>
    <w:p>
      <w:pPr>
        <w:sectPr>
          <w:pgSz w:w="11900" w:h="16838" w:orient="portrait"/>
          <w:cols w:equalWidth="0" w:num="1">
            <w:col w:w="10960"/>
          </w:cols>
          <w:pgMar w:left="440" w:top="274" w:right="499" w:bottom="1440" w:gutter="0" w:footer="0" w:header="0"/>
        </w:sectPr>
      </w:pPr>
    </w:p>
    <w:bookmarkStart w:id="445" w:name="page446"/>
    <w:bookmarkEnd w:id="445"/>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(b)To the extent permitted by law, each Investor (severally and not jointly) shall, if Registrable Securities held by such Investor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Investor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hereof,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legal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Investor and stated to be specifically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contained in this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shall not apply to amounts paid in settlement of any such claim, loss, damage, liability, or action if settlement is effected without the consent of such Investor unless such settlement (x) includes an unconditional release of such Investor, in form and substance reasonably satisfactory to such Investor, from all liability on claims that are the subject matter of such proceeding and</w:t>
      </w:r>
    </w:p>
    <w:p>
      <w:pPr>
        <w:spacing w:after="0" w:line="11" w:lineRule="exact"/>
        <w:rPr>
          <w:sz w:val="20"/>
          <w:szCs w:val="20"/>
          <w:color w:val="auto"/>
        </w:rPr>
      </w:pPr>
    </w:p>
    <w:p>
      <w:pPr>
        <w:ind w:left="4" w:right="120" w:hanging="4"/>
        <w:spacing w:after="0" w:line="277" w:lineRule="auto"/>
        <w:tabs>
          <w:tab w:leader="none" w:pos="25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does not include any statement as to or any admission of fault, culpability or a failure to act by or on behalf of such Investor ; provided, further, that such Investor’s liability under this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(when combined with any amounts such Investor is liable for under </w:t>
      </w:r>
      <w:r>
        <w:rPr>
          <w:rFonts w:ascii="Arial" w:cs="Arial" w:eastAsia="Arial" w:hAnsi="Arial"/>
          <w:sz w:val="17"/>
          <w:szCs w:val="17"/>
          <w:u w:val="single" w:color="auto"/>
          <w:color w:val="auto"/>
        </w:rPr>
        <w:t>Section 2.6(d)</w:t>
      </w:r>
      <w:r>
        <w:rPr>
          <w:rFonts w:ascii="Arial" w:cs="Arial" w:eastAsia="Arial" w:hAnsi="Arial"/>
          <w:sz w:val="17"/>
          <w:szCs w:val="17"/>
          <w:color w:val="auto"/>
        </w:rPr>
        <w:t>) shall not exceed such Investor’s net proceeds from the offering of securities made in connection with such registration.</w:t>
      </w:r>
    </w:p>
    <w:p>
      <w:pPr>
        <w:spacing w:after="0" w:line="173"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 xml:space="preserve">(c)Promptly after receipt by an indemnified party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of notice of the commencement of any action, such indemnified party shall, if a claim in respect thereof is to be made against an indemnifying party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notify the indemnifying party in writing of the commencement thereof and generally summarize such action. The indemnifying party shall have the right to participate in and to assume the defense of such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indemnifying party shall be entitled to select counsel for the defense of such claim with the approval of any parties entitled to indemnification, which approval shall not be unreasonably withheld; provided further, however, that if either party reasonably determines that there may be a conflict between the position of the Company and the Investors in conducting the defense of such action, suit, or proceeding by reason of recognized claims for indemnity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but the omission so to notify the indemnifying party shall not relieve such party of any liability that such party may have to any indemnified party otherwise than under this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ectPr>
          <w:pgSz w:w="11900" w:h="16838" w:orient="portrait"/>
          <w:cols w:equalWidth="0" w:num="1">
            <w:col w:w="11004"/>
          </w:cols>
          <w:pgMar w:left="436" w:top="274" w:right="459" w:bottom="1440" w:gutter="0" w:footer="0" w:header="0"/>
        </w:sectPr>
      </w:pPr>
    </w:p>
    <w:bookmarkStart w:id="446" w:name="page447"/>
    <w:bookmarkEnd w:id="44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(d)If the indemnification provided for in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In no event, however, shall (i) any amount due for contribution hereunder be in excess of the amount that would otherwise be due under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2.6(b)</w:t>
      </w:r>
      <w:r>
        <w:rPr>
          <w:rFonts w:ascii="Arial" w:cs="Arial" w:eastAsia="Arial" w:hAnsi="Arial"/>
          <w:sz w:val="16"/>
          <w:szCs w:val="16"/>
          <w:color w:val="auto"/>
        </w:rPr>
        <w:t>, as applicable, based on the limitations of such provisions and (ii) a Person guilty of fraudulent misrepresentation (within the meaning of the Securities Act) be entitled to contribution from a Person who was not guilty of such fraudulent misrepresentation.</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(e)Notwithstanding the foregoing, to the extent that the provisions on indemnification and contribution contained in the underwriting agreement entered into in connection with an Underwritten Offering, or the Block Trade sale agreement, are in conflict with the foregoing provisions, the provisions in the underwriting agreement or Block Trade sale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the underwriting agreement to provide for or address a matter provided for or addressed by the foregoing provisions shall not be a conflict between the underwriting agreement or the Block Trade sale agreement and the foregoing provisions.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(f)The obligations of the Company and the Investors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survive the completion of any offering of Registrable Securities in a Registration Statement under this Agreement or otherwise.</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The Investors shall furnish to the Company such information regarding the Investors and the distribution proposed by the Investors as the Company may reasonably request and as shall be reasonably required in connection with any registration referred to in this Agreement. The Investors agree to, as promptly as practicable (and in any event prior to any sales made pursuant to a prospectus), furnish to the Company all information required to be disclosed in order to make the information previously furnished to the Company by the Investors not misleading. The Investors agree to keep confidential the receipt of any notice received pursuant to Section 2.4(e) and the contents thereof, except as required pursuant to applicable law. Notwithstanding anything to the contrary herein, the Company shall be under no obligation to name the Investors in any Registration Statement if the Investors have not provided the information required by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with respect to the Investors as a selling securityholder in such Registration Statement or any related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-443230</wp:posOffset>
            </wp:positionV>
            <wp:extent cx="29845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6">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447" w:name="page448"/>
    <w:bookmarkEnd w:id="447"/>
    <w:p>
      <w:pPr>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rFonts w:ascii="Arial" w:cs="Arial" w:eastAsia="Arial" w:hAnsi="Arial"/>
          <w:sz w:val="18"/>
          <w:szCs w:val="18"/>
          <w:u w:val="single" w:color="auto"/>
          <w:color w:val="auto"/>
        </w:rPr>
        <w:t>Rule 144 Requirements</w:t>
      </w:r>
      <w:r>
        <w:rPr>
          <w:rFonts w:ascii="Arial" w:cs="Arial" w:eastAsia="Arial" w:hAnsi="Arial"/>
          <w:sz w:val="18"/>
          <w:szCs w:val="18"/>
          <w:color w:val="auto"/>
        </w:rPr>
        <w:t>. With a view to making available to the Investors the benefits of Rule 144 and any other rule or regulation of the Commission that may at any time permit the Investors to sell Registrable Securities to the public without registration, the Company agrees to use its reasonable best efforts to: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(a)make and keep public information available, as those terms are understood and defined in Rule 144 at all times after the date hereof;</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(b)file with the Commission in a timely manner all reports and other documents required of the Company under the Securities Act and the Exchange Act;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(c)prior to the filing of the Registration Statement or any amendment thereto (whether pre-effective or post-effective), and prior to the filing of any prospectus or prospectus supplement related thereto, to provide the Investors with copies of all of the pages thereof (if any) that reference the Investors; and</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(d)furnish to any Investor, so long as the Investor owns any Registrable Securities, forthwith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by an Investor in availing itself of any rule or regulation of the Commission which permits an Investor to sell any such securities without registration.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prior written consent of the Investors, enter into any agreement with any holder or prospective holder of any securities of the Company which would provide to such holder rights with respect to the registration of such securities under the Securities Act or the Exchange Act that would conflict with or adversely affect any of the rights provided to the Investors in this Section 2; it being understood and agreed that any subsequent agreement of the Company with any holder or prospective holder of any securities of the Company of the same class (or convertible into or exchange for securities of the same class) as the Registrable Securities granting such Person rights under this Section 2 equivalent to the rights of the Investors under this Section 2 will not be prohibited by the terms of this Section 2.9.</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Amendment</w:t>
      </w:r>
      <w:r>
        <w:rPr>
          <w:rFonts w:ascii="Arial" w:cs="Arial" w:eastAsia="Arial" w:hAnsi="Arial"/>
          <w:sz w:val="18"/>
          <w:szCs w:val="18"/>
          <w:color w:val="auto"/>
        </w:rPr>
        <w:t>. No amendment, alteration or modification of any of the provisions of this Agreement shall be binding unless made in writing and signed by each of the Company and the Investors.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Injunctive Relief</w:t>
      </w:r>
      <w:r>
        <w:rPr>
          <w:rFonts w:ascii="Arial" w:cs="Arial" w:eastAsia="Arial" w:hAnsi="Arial"/>
          <w:sz w:val="18"/>
          <w:szCs w:val="18"/>
          <w:color w:val="auto"/>
        </w:rPr>
        <w:t>. It is hereby agreed and acknowledged that it shall be impossible to measure in money the damages that would be suffered if the parties fail to comply with any of the obligations herein imposed on them and that in the event of any such failure, an aggrieved Person shall be irreparably damaged and shall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ectPr>
          <w:pgSz w:w="11900" w:h="16838" w:orient="portrait"/>
          <w:cols w:equalWidth="0" w:num="1">
            <w:col w:w="11000"/>
          </w:cols>
          <w:pgMar w:left="440" w:top="274" w:right="459" w:bottom="1440" w:gutter="0" w:footer="0" w:header="0"/>
        </w:sectPr>
      </w:pPr>
    </w:p>
    <w:bookmarkStart w:id="448" w:name="page449"/>
    <w:bookmarkEnd w:id="44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required or permitted under this Agreement must be in writing and sent to the address or email address identified below. Notices must be given: (a) by personal delivery, with receipt acknowledged; (b) by email followed by hard copy delivered by the methods under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or</w:t>
      </w:r>
    </w:p>
    <w:p>
      <w:pPr>
        <w:ind w:right="60"/>
        <w:spacing w:after="0" w:line="255" w:lineRule="auto"/>
        <w:rPr>
          <w:sz w:val="20"/>
          <w:szCs w:val="20"/>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(c) by prepaid certified or registered mail, return receipt requested; or (d) by prepaid reputable overnight delivery service. Notices shall be effective upon receipt. Either party may change its notice address by providing the other party written notice of such change. Notices shall be delivered as follows:</w:t>
      </w:r>
    </w:p>
    <w:p>
      <w:pPr>
        <w:sectPr>
          <w:pgSz w:w="11900" w:h="16838" w:orient="portrait"/>
          <w:cols w:equalWidth="0" w:num="1">
            <w:col w:w="10980"/>
          </w:cols>
          <w:pgMar w:left="440" w:top="274" w:right="47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If to the Investors: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At such Investor’s address as set forth on Schedule A hereto</w:t>
      </w:r>
    </w:p>
    <w:p>
      <w:pPr>
        <w:spacing w:after="0" w:line="140" w:lineRule="exact"/>
        <w:rPr>
          <w:sz w:val="20"/>
          <w:szCs w:val="20"/>
          <w:color w:val="auto"/>
        </w:rPr>
      </w:pPr>
    </w:p>
    <w:p>
      <w:pPr>
        <w:sectPr>
          <w:pgSz w:w="11900" w:h="16838" w:orient="portrait"/>
          <w:cols w:equalWidth="0" w:num="2">
            <w:col w:w="1320" w:space="440"/>
            <w:col w:w="92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Address: 805 Las Cimas Parkway, Suite 100, Austin, TX 78746</w:t>
      </w:r>
    </w:p>
    <w:p>
      <w:pPr>
        <w:spacing w:after="0" w:line="139" w:lineRule="exact"/>
        <w:rPr>
          <w:sz w:val="20"/>
          <w:szCs w:val="20"/>
          <w:color w:val="auto"/>
        </w:rPr>
      </w:pPr>
    </w:p>
    <w:p>
      <w:pPr>
        <w:sectPr>
          <w:pgSz w:w="11900" w:h="16838" w:orient="portrait"/>
          <w:cols w:equalWidth="0" w:num="2">
            <w:col w:w="1360" w:space="400"/>
            <w:col w:w="92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Attention: Robert Freedman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1080" w:space="680"/>
            <w:col w:w="9220"/>
          </w:cols>
          <w:pgMar w:left="440" w:top="274" w:right="4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Governing Law; Jurisdiction; Venue; Jury Trial</w:t>
      </w:r>
      <w:r>
        <w:rPr>
          <w:rFonts w:ascii="Arial" w:cs="Arial" w:eastAsia="Arial" w:hAnsi="Arial"/>
          <w:sz w:val="18"/>
          <w:szCs w:val="18"/>
          <w:color w:val="auto"/>
        </w:rPr>
        <w:t>.</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(a)This Agreement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(b)Each of the Company and the Investors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Agreement and the transactions contemplated herein, or for recognition or enforcement of any judgment, and each of the Company and the Investors irrevocably and unconditionally agrees that all claims in respect of any such action or proceeding may be heard and determined in such New York state court or, to the fullest extent permitted by applicable law, in such federal court. Each of the Company and the Investors hereto agrees that a final judgment in any such action or proceeding shall be conclusive and may be enforced in other jurisdictions by suit on the judgment or in any other manner provided by law.</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(c)Each of the Company and the Investors irrevocably and unconditionally waives, to the fullest extent permitted by applicable law, any objection that it may now or hereafter have to the laying of venue of any action or proceeding arising out of or relating to this Agreement and the transactions contemplated herein in any court referred to in </w:t>
      </w:r>
      <w:r>
        <w:rPr>
          <w:rFonts w:ascii="Arial" w:cs="Arial" w:eastAsia="Arial" w:hAnsi="Arial"/>
          <w:sz w:val="16"/>
          <w:szCs w:val="16"/>
          <w:u w:val="single" w:color="auto"/>
          <w:color w:val="auto"/>
        </w:rPr>
        <w:t>Section 3.4</w:t>
      </w:r>
      <w:r>
        <w:rPr>
          <w:rFonts w:ascii="Arial" w:cs="Arial" w:eastAsia="Arial" w:hAnsi="Arial"/>
          <w:sz w:val="16"/>
          <w:szCs w:val="16"/>
          <w:color w:val="auto"/>
        </w:rPr>
        <w:t>(b) hereof. Each of the Company and the Investors hereby irrevocably waives, to the fullest extent permitted by applicable law, the defense of an inconvenient forum to the maintenance of such action or proceeding in any such court.</w:t>
      </w:r>
    </w:p>
    <w:p>
      <w:pPr>
        <w:sectPr>
          <w:pgSz w:w="11900" w:h="16838" w:orient="portrait"/>
          <w:cols w:equalWidth="0" w:num="1">
            <w:col w:w="10980"/>
          </w:cols>
          <w:pgMar w:left="440" w:top="274" w:right="479" w:bottom="1440" w:gutter="0" w:footer="0" w:header="0"/>
          <w:type w:val="continuous"/>
        </w:sectPr>
      </w:pPr>
    </w:p>
    <w:bookmarkStart w:id="449" w:name="page450"/>
    <w:bookmarkEnd w:id="449"/>
    <w:p>
      <w:pPr>
        <w:ind w:left="4" w:right="1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(d)EACH OF THE COMPANY AND THE INVESTORS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OF THE COMPANY AND THE INVESTORS (A) CERTIFIES THAT NO REPRESENTATIVE, AGENT OR ATTORNEY OF ANY OTHER PERSON HAS REPRESENTED, EXPRESSLY OR OTHERWISE, THAT SUCH OTHER PERSON WOULD NOT, IN THE EVENT OF LITIGATION, SEEK TO ENFORCE THE FOREGOING WAIVER AND</w:t>
      </w:r>
    </w:p>
    <w:p>
      <w:pPr>
        <w:spacing w:after="0" w:line="1" w:lineRule="exact"/>
        <w:rPr>
          <w:sz w:val="20"/>
          <w:szCs w:val="20"/>
          <w:color w:val="auto"/>
        </w:rPr>
      </w:pPr>
    </w:p>
    <w:p>
      <w:pPr>
        <w:ind w:left="4" w:right="1100" w:hanging="4"/>
        <w:spacing w:after="0" w:line="260" w:lineRule="auto"/>
        <w:tabs>
          <w:tab w:leader="none" w:pos="28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ACKNOWLEDGES THAT EACH OF THE COMPANY AND THE INVESTORS HAS BEEN INDUCED TO ENTER INTO THIS AGREEMENT BY, AMONG OTHER THINGS, THE MUTUAL WAIVERS AND CERTIFICATIONS IN THIS SECTION.</w:t>
      </w:r>
    </w:p>
    <w:p>
      <w:pPr>
        <w:spacing w:after="0" w:line="185"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3.5.</w:t>
      </w:r>
      <w:r>
        <w:rPr>
          <w:rFonts w:ascii="Arial" w:cs="Arial" w:eastAsia="Arial" w:hAnsi="Arial"/>
          <w:sz w:val="17"/>
          <w:szCs w:val="17"/>
          <w:u w:val="single" w:color="auto"/>
          <w:color w:val="auto"/>
        </w:rPr>
        <w:t>Successors, Assigns and Transferees</w:t>
      </w:r>
      <w:r>
        <w:rPr>
          <w:rFonts w:ascii="Arial" w:cs="Arial" w:eastAsia="Arial" w:hAnsi="Arial"/>
          <w:sz w:val="17"/>
          <w:szCs w:val="17"/>
          <w:color w:val="auto"/>
        </w:rPr>
        <w:t xml:space="preserve">. Any and all rights, duties and obligations hereunder shall not be assigned, transferred, delegated or sublicensed by any party hereto without the prior written consent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Investors shall be entitled to transfer Registrable Securities to one or more of their affiliates and, solely in connection therewith, may assign their rights hereunder in respect of such transferred Registrable Securities, in each case, so long as such Investor is not relieved of any liability or obligations hereunder, without the prior consent of the Company. Any transfer or assignment made other than as provided in the first sentence of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be null and void. Subject to the foregoing and except as otherwise provided herein, the provisions of this Agreement shall inure to the benefit of, and be binding upon, the successors, permitted assigns, heirs, executors and administrators of the parties hereto. The Company shall not consummate any recapitalization, merger, consolidation, reorganization or other similar transaction whereby stockholders of the Company receive (either directly, through an exchange, via dividend from the Company or otherwise) equity (the “</w:t>
      </w:r>
      <w:r>
        <w:rPr>
          <w:rFonts w:ascii="Arial" w:cs="Arial" w:eastAsia="Arial" w:hAnsi="Arial"/>
          <w:sz w:val="17"/>
          <w:szCs w:val="17"/>
          <w:u w:val="single" w:color="auto"/>
          <w:color w:val="auto"/>
        </w:rPr>
        <w:t>Other Equity</w:t>
      </w:r>
      <w:r>
        <w:rPr>
          <w:rFonts w:ascii="Arial" w:cs="Arial" w:eastAsia="Arial" w:hAnsi="Arial"/>
          <w:sz w:val="17"/>
          <w:szCs w:val="17"/>
          <w:color w:val="auto"/>
        </w:rPr>
        <w:t>”) in any other entity (the “</w:t>
      </w:r>
      <w:r>
        <w:rPr>
          <w:rFonts w:ascii="Arial" w:cs="Arial" w:eastAsia="Arial" w:hAnsi="Arial"/>
          <w:sz w:val="17"/>
          <w:szCs w:val="17"/>
          <w:u w:val="single" w:color="auto"/>
          <w:color w:val="auto"/>
        </w:rPr>
        <w:t>Other Entity</w:t>
      </w:r>
      <w:r>
        <w:rPr>
          <w:rFonts w:ascii="Arial" w:cs="Arial" w:eastAsia="Arial" w:hAnsi="Arial"/>
          <w:sz w:val="17"/>
          <w:szCs w:val="17"/>
          <w:color w:val="auto"/>
        </w:rPr>
        <w:t>”) with respect to Registrable Securities hereunder, unless prior to the consummation thereof, the Other Entity assumes, by written instrument, the obligations under this Agreement with respect to such Other Equity as if such Other Equity were Registrable Securities hereunder.</w:t>
      </w:r>
    </w:p>
    <w:p>
      <w:pPr>
        <w:spacing w:after="0" w:line="182" w:lineRule="exact"/>
        <w:rPr>
          <w:sz w:val="20"/>
          <w:szCs w:val="20"/>
          <w:color w:val="auto"/>
        </w:rPr>
      </w:pPr>
    </w:p>
    <w:p>
      <w:pPr>
        <w:jc w:val="both"/>
        <w:ind w:left="4" w:right="380"/>
        <w:spacing w:after="0" w:line="342" w:lineRule="auto"/>
        <w:rPr>
          <w:sz w:val="20"/>
          <w:szCs w:val="20"/>
          <w:color w:val="auto"/>
        </w:rPr>
      </w:pPr>
      <w:r>
        <w:rPr>
          <w:rFonts w:ascii="Arial" w:cs="Arial" w:eastAsia="Arial" w:hAnsi="Arial"/>
          <w:sz w:val="16"/>
          <w:szCs w:val="16"/>
          <w:color w:val="auto"/>
        </w:rPr>
        <w:t>3.6.</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any exhibits hereto, constitute the entire agreement between the parties relating to the subject matter hereof and all previous agreements or arrangements between the parties, written or oral, relating to the subject matter hereof are superseded.</w:t>
      </w:r>
    </w:p>
    <w:p>
      <w:pPr>
        <w:spacing w:after="0" w:line="124"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3.7.</w:t>
      </w:r>
      <w:r>
        <w:rPr>
          <w:rFonts w:ascii="Arial" w:cs="Arial" w:eastAsia="Arial" w:hAnsi="Arial"/>
          <w:sz w:val="18"/>
          <w:szCs w:val="18"/>
          <w:u w:val="single" w:color="auto"/>
          <w:color w:val="auto"/>
        </w:rPr>
        <w:t>Waiver</w:t>
      </w:r>
      <w:r>
        <w:rPr>
          <w:rFonts w:ascii="Arial" w:cs="Arial" w:eastAsia="Arial" w:hAnsi="Arial"/>
          <w:sz w:val="18"/>
          <w:szCs w:val="18"/>
          <w:color w:val="auto"/>
        </w:rPr>
        <w:t>. 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87"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this Agreement is declared invalid or unenforceable by any court of competent jurisdiction, such declaration shall not affect the remainder of the Agreement and the invalidated provision shall be revised in a manner that shall render such provision valid while preserving the parties’ original intent to the maximum extent possible.</w:t>
      </w:r>
    </w:p>
    <w:p>
      <w:pPr>
        <w:sectPr>
          <w:pgSz w:w="11900" w:h="16838" w:orient="portrait"/>
          <w:cols w:equalWidth="0" w:num="1">
            <w:col w:w="10984"/>
          </w:cols>
          <w:pgMar w:left="436" w:top="274" w:right="479" w:bottom="1440" w:gutter="0" w:footer="0" w:header="0"/>
        </w:sectPr>
      </w:pPr>
    </w:p>
    <w:bookmarkStart w:id="450" w:name="page451"/>
    <w:bookmarkEnd w:id="45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3.9.</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 All references in this Agreement to sections, paragraphs and exhibits shall, unless otherwise provided, refer to sections and paragraphs hereof and exhibits attached hereto.</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3.10.</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any number of counterparts, each of which shall be enforceable against the parties that execute such counterparts (including by facsimile or other electronic means), and all of which together shall constitute one instrument.</w:t>
      </w:r>
    </w:p>
    <w:p>
      <w:pPr>
        <w:spacing w:after="0" w:line="14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3.11.</w:t>
      </w:r>
      <w:r>
        <w:rPr>
          <w:rFonts w:ascii="Arial" w:cs="Arial" w:eastAsia="Arial" w:hAnsi="Arial"/>
          <w:sz w:val="18"/>
          <w:szCs w:val="18"/>
          <w:u w:val="single" w:color="auto"/>
          <w:color w:val="auto"/>
        </w:rPr>
        <w:t>Term and Termination</w:t>
      </w:r>
      <w:r>
        <w:rPr>
          <w:rFonts w:ascii="Arial" w:cs="Arial" w:eastAsia="Arial" w:hAnsi="Arial"/>
          <w:sz w:val="18"/>
          <w:szCs w:val="18"/>
          <w:color w:val="auto"/>
        </w:rPr>
        <w:t xml:space="preserve">. The Investors’ rights to demand the registration of the Registrable Securities under this Agreement, as well as the Company’s obligations hereunder other than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 shall terminate automatically once all Registrable Securities cease to be Registrable Securities pursuant to the terms of this Agreement.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 Follows</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451" w:name="page452"/>
    <w:bookmarkEnd w:id="451"/>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Registration Rights Agreement effective as of the day, month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Anthony Quinn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Anthony Quinn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1020"/>
          </w:cols>
          <w:pgMar w:left="440" w:top="274" w:right="439" w:bottom="1440" w:gutter="0" w:footer="0" w:header="0"/>
        </w:sectPr>
      </w:pPr>
    </w:p>
    <w:bookmarkStart w:id="452" w:name="page453"/>
    <w:bookmarkEnd w:id="452"/>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Registration Rights Agreement effective as of the day, month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667,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BAKER BROS. ADVISORS LP, management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company and investment adviser to 667, L.P., pursuant</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to authority granted to it by Baker Biotech Capital, L.P.,</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general partner to 667, L.P., and not as the general</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Scott L. Lessing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BAKER BROTHERS LIFE SCIENCES,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BAKER BROS. ADVISORS LP, management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company and investment adviser to BAKER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BROTHERS LIFE SCIENCES, L.P., pursuant to</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authority granted to it by Baker Brothers Life Sciences</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Capital, L.P., general partner to BAKER BROTHERS</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LIFE SCIENCES, L.P., and not as the general partner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Scott L. Lessing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1000"/>
          </w:cols>
          <w:pgMar w:left="440" w:top="274" w:right="459" w:bottom="1440" w:gutter="0" w:footer="0" w:header="0"/>
        </w:sectPr>
      </w:pPr>
    </w:p>
    <w:bookmarkStart w:id="453" w:name="page454"/>
    <w:bookmarkEnd w:id="453"/>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u w:val="single" w:color="auto"/>
          <w:color w:val="auto"/>
        </w:rPr>
        <w:t>The Investors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667,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BAKER BROTHERS LIFE SCIENCES,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above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Baker Brothers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860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Scott Lessing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Akin Gump Strauss Hauer &amp; Feld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Jeffrey Kochian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10036-6745</w:t>
      </w:r>
    </w:p>
    <w:p>
      <w:pPr>
        <w:sectPr>
          <w:pgSz w:w="11900" w:h="16838" w:orient="portrait"/>
          <w:cols w:equalWidth="0" w:num="1">
            <w:col w:w="10019"/>
          </w:cols>
          <w:pgMar w:left="440" w:top="270" w:right="1440"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right="480" w:firstLine="991"/>
        <w:spacing w:after="0" w:line="263"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dated as of June 22, 2023, by and among Aeglea BioTherapeutics,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the several purchasers signatory hereto (each, including its successors and assigns, a “</w:t>
      </w:r>
      <w:r>
        <w:rPr>
          <w:rFonts w:ascii="Arial" w:cs="Arial" w:eastAsia="Arial" w:hAnsi="Arial"/>
          <w:sz w:val="18"/>
          <w:szCs w:val="18"/>
          <w:i w:val="1"/>
          <w:iCs w:val="1"/>
          <w:color w:val="auto"/>
        </w:rPr>
        <w:t>Purchaser</w:t>
      </w:r>
      <w:r>
        <w:rPr>
          <w:rFonts w:ascii="Arial" w:cs="Arial" w:eastAsia="Arial" w:hAnsi="Arial"/>
          <w:sz w:val="18"/>
          <w:szCs w:val="18"/>
          <w:color w:val="auto"/>
        </w:rPr>
        <w:t>” and collectively, the “</w:t>
      </w:r>
      <w:r>
        <w:rPr>
          <w:rFonts w:ascii="Arial" w:cs="Arial" w:eastAsia="Arial" w:hAnsi="Arial"/>
          <w:sz w:val="18"/>
          <w:szCs w:val="18"/>
          <w:i w:val="1"/>
          <w:iCs w:val="1"/>
          <w:color w:val="auto"/>
        </w:rPr>
        <w:t>Purchasers</w:t>
      </w:r>
      <w:r>
        <w:rPr>
          <w:rFonts w:ascii="Arial" w:cs="Arial" w:eastAsia="Arial" w:hAnsi="Arial"/>
          <w:sz w:val="18"/>
          <w:szCs w:val="18"/>
          <w:color w:val="auto"/>
        </w:rPr>
        <w:t>”).</w:t>
      </w:r>
    </w:p>
    <w:p>
      <w:pPr>
        <w:spacing w:after="0" w:line="184"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This Agreement is made pursuant to the Securities Purchase Agreement, dated as of the date hereof, between the Company and each Purchaser (the “</w:t>
      </w:r>
      <w:r>
        <w:rPr>
          <w:rFonts w:ascii="Arial" w:cs="Arial" w:eastAsia="Arial" w:hAnsi="Arial"/>
          <w:sz w:val="18"/>
          <w:szCs w:val="18"/>
          <w:i w:val="1"/>
          <w:iCs w:val="1"/>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right="500" w:firstLine="991"/>
        <w:spacing w:after="0" w:line="342" w:lineRule="auto"/>
        <w:rPr>
          <w:sz w:val="20"/>
          <w:szCs w:val="20"/>
          <w:color w:val="auto"/>
        </w:rPr>
      </w:pPr>
      <w:r>
        <w:rPr>
          <w:rFonts w:ascii="Arial" w:cs="Arial" w:eastAsia="Arial" w:hAnsi="Arial"/>
          <w:sz w:val="16"/>
          <w:szCs w:val="16"/>
          <w:color w:val="auto"/>
        </w:rPr>
        <w:t>NOW, THEREFORE, IN CONSIDERATION of the mutual covenants contained in this Agreement, and for other good and valuable consideration, the receipt and adequacy of which are hereby acknowledged, the Company and each of the Purchasers agree as follows:</w:t>
      </w:r>
    </w:p>
    <w:p>
      <w:pPr>
        <w:spacing w:after="0" w:line="124" w:lineRule="exact"/>
        <w:rPr>
          <w:sz w:val="20"/>
          <w:szCs w:val="20"/>
          <w:color w:val="auto"/>
        </w:rPr>
      </w:pPr>
    </w:p>
    <w:p>
      <w:pPr>
        <w:ind w:right="420" w:firstLine="436"/>
        <w:spacing w:after="0" w:line="308" w:lineRule="auto"/>
        <w:tabs>
          <w:tab w:leader="none" w:pos="75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6(d)</w:t>
      </w:r>
      <w:r>
        <w:rPr>
          <w:rFonts w:ascii="Arial" w:cs="Arial" w:eastAsia="Arial" w:hAnsi="Arial"/>
          <w:sz w:val="18"/>
          <w:szCs w:val="18"/>
          <w:color w:val="auto"/>
        </w:rPr>
        <w:t>.</w:t>
      </w:r>
    </w:p>
    <w:p>
      <w:pPr>
        <w:spacing w:after="0" w:line="225"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any Person that, directly or indirectly through one or more intermediaries, controls or is controlled by or is under common control with a Person, as such terms are used in and construed under Rule 405 of the Securities Act of 1933, as amended.</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6"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Company’s common stock, par value $0.0001 per share, and stock of any other class of securities into which such securities may hereafter be reclassified or changed.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date that the Registration Statement filed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is first declared effective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211" w:lineRule="exact"/>
        <w:rPr>
          <w:sz w:val="20"/>
          <w:szCs w:val="20"/>
          <w:color w:val="auto"/>
        </w:rPr>
      </w:pPr>
    </w:p>
    <w:p>
      <w:pPr>
        <w:ind w:right="40" w:firstLine="991"/>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Effectiveness Deadline</w:t>
      </w:r>
      <w:r>
        <w:rPr>
          <w:rFonts w:ascii="Arial" w:cs="Arial" w:eastAsia="Arial" w:hAnsi="Arial"/>
          <w:sz w:val="17"/>
          <w:szCs w:val="17"/>
          <w:color w:val="auto"/>
        </w:rPr>
        <w:t>” means, with respect to the Initial Registration Statement or the New Registration Statement, the thirtieth (30</w:t>
      </w:r>
      <w:r>
        <w:rPr>
          <w:rFonts w:ascii="Arial" w:cs="Arial" w:eastAsia="Arial" w:hAnsi="Arial"/>
          <w:sz w:val="25"/>
          <w:szCs w:val="25"/>
          <w:color w:val="auto"/>
          <w:vertAlign w:val="superscript"/>
        </w:rPr>
        <w:t>th</w:t>
      </w:r>
      <w:r>
        <w:rPr>
          <w:rFonts w:ascii="Arial" w:cs="Arial" w:eastAsia="Arial" w:hAnsi="Arial"/>
          <w:sz w:val="17"/>
          <w:szCs w:val="17"/>
          <w:color w:val="auto"/>
        </w:rPr>
        <w:t>) calendar day following the Filing Deadline (or, in the event the Commission reviews and has written comments to the Initial Registration Statement or the New Registration Statement, the sixtieth (60</w:t>
      </w:r>
      <w:r>
        <w:rPr>
          <w:rFonts w:ascii="Arial" w:cs="Arial" w:eastAsia="Arial" w:hAnsi="Arial"/>
          <w:sz w:val="25"/>
          <w:szCs w:val="25"/>
          <w:color w:val="auto"/>
          <w:vertAlign w:val="superscript"/>
        </w:rPr>
        <w:t>th</w:t>
      </w:r>
      <w:r>
        <w:rPr>
          <w:rFonts w:ascii="Arial" w:cs="Arial" w:eastAsia="Arial" w:hAnsi="Arial"/>
          <w:sz w:val="17"/>
          <w:szCs w:val="17"/>
          <w:color w:val="auto"/>
        </w:rPr>
        <w:t>) calendar day following the Filing Deadline); provided, however, that if the Company is notified by the Commission that the Initial Registration Statement or the New Registration Statement will not be reviewed or is no longer subject to further review and comments, the Effectiveness Deadline as to such Registration Statement shall be the fifth (5</w:t>
      </w:r>
      <w:r>
        <w:rPr>
          <w:rFonts w:ascii="Arial" w:cs="Arial" w:eastAsia="Arial" w:hAnsi="Arial"/>
          <w:sz w:val="25"/>
          <w:szCs w:val="25"/>
          <w:color w:val="auto"/>
          <w:vertAlign w:val="superscript"/>
        </w:rPr>
        <w:t>th</w:t>
      </w:r>
      <w:r>
        <w:rPr>
          <w:rFonts w:ascii="Arial" w:cs="Arial" w:eastAsia="Arial" w:hAnsi="Arial"/>
          <w:sz w:val="17"/>
          <w:szCs w:val="17"/>
          <w:color w:val="auto"/>
        </w:rPr>
        <w:t>) Trading Day following the date on which the Company is so notified if such date precedes the dates otherwise required above; provided, further, that if the Effectiveness Deadline falls on a Saturday, Sunday or other day that the Commission is closed for business, the Effectiveness Deadline shall be extended to the next Business Day on which the Commission is open for business.</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55" w:name="page456"/>
    <w:bookmarkEnd w:id="45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right="360" w:firstLine="991"/>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Filing Deadline</w:t>
      </w:r>
      <w:r>
        <w:rPr>
          <w:rFonts w:ascii="Arial" w:cs="Arial" w:eastAsia="Arial" w:hAnsi="Arial"/>
          <w:sz w:val="16"/>
          <w:szCs w:val="16"/>
          <w:color w:val="auto"/>
        </w:rPr>
        <w:t xml:space="preserve">” means, with respect to the Initial Registration Statement required to be filed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the forty-fifth (45</w:t>
      </w:r>
      <w:r>
        <w:rPr>
          <w:rFonts w:ascii="Arial" w:cs="Arial" w:eastAsia="Arial" w:hAnsi="Arial"/>
          <w:sz w:val="23"/>
          <w:szCs w:val="23"/>
          <w:color w:val="auto"/>
          <w:vertAlign w:val="superscript"/>
        </w:rPr>
        <w:t>th</w:t>
      </w:r>
      <w:r>
        <w:rPr>
          <w:rFonts w:ascii="Arial" w:cs="Arial" w:eastAsia="Arial" w:hAnsi="Arial"/>
          <w:sz w:val="16"/>
          <w:szCs w:val="16"/>
          <w:color w:val="auto"/>
        </w:rPr>
        <w:t>) calendar day following the Closing Date, provided, however, that if the Filing Deadline falls on a Saturday, Sunday or other day that the Commission is closed for business, the Filing Deadline shall be extended to the next Business Day on which the Commission is open for business.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FINRA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Holders</w:t>
      </w:r>
      <w:r>
        <w:rPr>
          <w:rFonts w:ascii="Arial" w:cs="Arial" w:eastAsia="Arial" w:hAnsi="Arial"/>
          <w:sz w:val="18"/>
          <w:szCs w:val="18"/>
          <w:color w:val="auto"/>
        </w:rPr>
        <w:t>” means the holder or holders, as the case may be, from time to time of Registrable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Market</w:t>
      </w:r>
      <w:r>
        <w:rPr>
          <w:rFonts w:ascii="Arial" w:cs="Arial" w:eastAsia="Arial" w:hAnsi="Arial"/>
          <w:sz w:val="18"/>
          <w:szCs w:val="18"/>
          <w:color w:val="auto"/>
        </w:rPr>
        <w:t>” means the Trading Market on which the Common Stock are primarily listed on and quoted for trading, which, as of the Closing Date, shall be the Nasdaq Global Market.</w:t>
      </w:r>
    </w:p>
    <w:p>
      <w:pPr>
        <w:spacing w:after="0" w:line="170"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0"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Prospectus</w:t>
      </w:r>
      <w:r>
        <w:rPr>
          <w:rFonts w:ascii="Arial" w:cs="Arial" w:eastAsia="Arial" w:hAnsi="Arial"/>
          <w:sz w:val="17"/>
          <w:szCs w:val="17"/>
          <w:color w:val="auto"/>
        </w:rPr>
        <w:t>” means the prospectus included in a Registration Statement (including, without limitation, a prospectus that includes any information previously omitted from a prospectus filed as part of an effective registration statement in reliance upon Rule 430B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Purchaser</w:t>
      </w:r>
      <w:r>
        <w:rPr>
          <w:rFonts w:ascii="Arial" w:cs="Arial" w:eastAsia="Arial" w:hAnsi="Arial"/>
          <w:sz w:val="18"/>
          <w:szCs w:val="18"/>
          <w:color w:val="auto"/>
        </w:rPr>
        <w:t>” or “</w:t>
      </w:r>
      <w:r>
        <w:rPr>
          <w:rFonts w:ascii="Arial" w:cs="Arial" w:eastAsia="Arial" w:hAnsi="Arial"/>
          <w:sz w:val="18"/>
          <w:szCs w:val="18"/>
          <w:i w:val="1"/>
          <w:iCs w:val="1"/>
          <w:color w:val="auto"/>
        </w:rPr>
        <w:t>Purchasers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Registrable Securities</w:t>
      </w:r>
      <w:r>
        <w:rPr>
          <w:rFonts w:ascii="Arial" w:cs="Arial" w:eastAsia="Arial" w:hAnsi="Arial"/>
          <w:sz w:val="17"/>
          <w:szCs w:val="17"/>
          <w:color w:val="auto"/>
        </w:rPr>
        <w:t>” means all of (i) the Shares, (ii) the Series A Preferred Stock issued pursuant to the Purchase Agreement, (iii) any Common Stock issued on or around the date hereof pursuant to that certain Agreement and Plan of Merger, dated as of the date hereof, by and among the Company, Aspen Merger Sub I, Inc., a Delaware corporation and wholly owned subsidiary of Parent,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56" w:name="page457"/>
    <w:bookmarkEnd w:id="456"/>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Sequoia Merger Sub II, LLC, a Delaware limited liability company and wholly owned subsidiary of Parent, and Spyre Therapeutics, Inc., and (iv) any securities issued or issuable upon any stock split, dividend or other distribution, recapitalization or similar event with respect to the foregoing, provided that, with respect to a particular Holder, such Holder’s Shares shall cease to be Registrable Securities upon the earlier to occur of the following: (A) a sale pursuant to a Registration Statement or Rule 144 under the Securities Act (in which case, only such security sold by the Holder shall cease to be a Registrable Security); and (B) such Shares become eligible for resale by the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Transfer Agent.</w:t>
      </w:r>
    </w:p>
    <w:p>
      <w:pPr>
        <w:spacing w:after="0" w:line="166"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Statements</w:t>
      </w:r>
      <w:r>
        <w:rPr>
          <w:rFonts w:ascii="Arial" w:cs="Arial" w:eastAsia="Arial" w:hAnsi="Arial"/>
          <w:sz w:val="18"/>
          <w:szCs w:val="18"/>
          <w:color w:val="auto"/>
        </w:rPr>
        <w:t>” means any one or more registration statements of the Company filed under the Securities Act that cover the resale of any of the Registrable Securities pursuant to the provisions of this Agreement (including without limitation the Initial Registration Statement, any New Registration Statement and any Remainder Registration Statements), amendments and supplements to such Registration Statements, including post-effective amendments, all exhibits and all material incorporated by reference or deemed to be incorporated by reference in such Registration Statements.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144</w:t>
      </w:r>
      <w:r>
        <w:rPr>
          <w:rFonts w:ascii="Arial" w:cs="Arial" w:eastAsia="Arial" w:hAnsi="Arial"/>
          <w:sz w:val="17"/>
          <w:szCs w:val="17"/>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46"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172</w:t>
      </w:r>
      <w:r>
        <w:rPr>
          <w:rFonts w:ascii="Arial" w:cs="Arial" w:eastAsia="Arial" w:hAnsi="Arial"/>
          <w:sz w:val="17"/>
          <w:szCs w:val="17"/>
          <w:color w:val="auto"/>
        </w:rPr>
        <w:t>” means Rule 172 promulgated by the Commission pursuant to the Securities Act, as such Rule may be amended from time to time, or any similar rule or regulation hereafter adopted by the Commission having substantially the same effect as such Rule.</w:t>
      </w:r>
    </w:p>
    <w:p>
      <w:pPr>
        <w:spacing w:after="0" w:line="146"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415</w:t>
      </w:r>
      <w:r>
        <w:rPr>
          <w:rFonts w:ascii="Arial" w:cs="Arial" w:eastAsia="Arial" w:hAnsi="Arial"/>
          <w:sz w:val="17"/>
          <w:szCs w:val="17"/>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46"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424</w:t>
      </w:r>
      <w:r>
        <w:rPr>
          <w:rFonts w:ascii="Arial" w:cs="Arial" w:eastAsia="Arial" w:hAnsi="Arial"/>
          <w:sz w:val="17"/>
          <w:szCs w:val="17"/>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146"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Rule 461</w:t>
      </w:r>
      <w:r>
        <w:rPr>
          <w:rFonts w:ascii="Arial" w:cs="Arial" w:eastAsia="Arial" w:hAnsi="Arial"/>
          <w:sz w:val="17"/>
          <w:szCs w:val="17"/>
          <w:color w:val="auto"/>
        </w:rPr>
        <w:t>” means Rule 461 promulgated by the Commission pursuant to the Securities Act, as such Rule may be amended from time to time, or any similar rule or regulation hereafter adopted by the Commission having substantially the same effect as such Rule.</w:t>
      </w:r>
    </w:p>
    <w:p>
      <w:pPr>
        <w:spacing w:after="0" w:line="146"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 Guidance</w:t>
      </w:r>
      <w:r>
        <w:rPr>
          <w:rFonts w:ascii="Arial" w:cs="Arial" w:eastAsia="Arial" w:hAnsi="Arial"/>
          <w:sz w:val="16"/>
          <w:szCs w:val="16"/>
          <w:color w:val="auto"/>
        </w:rPr>
        <w:t>” means (i) any publicly-available written or oral guidance, comments, requirements or requests of the Commission staff; provided, that any such oral guidance, comments, requirements or requests are reduced to writing by the Commission and (ii) the Securities Act.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Selling Shareholder Questionnaire</w:t>
      </w:r>
      <w:r>
        <w:rPr>
          <w:rFonts w:ascii="Arial" w:cs="Arial" w:eastAsia="Arial" w:hAnsi="Arial"/>
          <w:sz w:val="18"/>
          <w:szCs w:val="18"/>
          <w:color w:val="auto"/>
        </w:rPr>
        <w:t>” means a questionnaire in the form attached as Annex B hereto, or such other form of questionnaire or information provided to the Company in connection with the preparation of a Registration Statement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57" w:name="page458"/>
    <w:bookmarkEnd w:id="457"/>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Series A Preferred Stock</w:t>
      </w:r>
      <w:r>
        <w:rPr>
          <w:rFonts w:ascii="Arial" w:cs="Arial" w:eastAsia="Arial" w:hAnsi="Arial"/>
          <w:sz w:val="16"/>
          <w:szCs w:val="16"/>
          <w:color w:val="auto"/>
        </w:rPr>
        <w:t>” means the Series A Non-Voting Convertible Preferred Stock, par value $0.0001 per share, of the Company.</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Shares</w:t>
      </w:r>
      <w:r>
        <w:rPr>
          <w:rFonts w:ascii="Arial" w:cs="Arial" w:eastAsia="Arial" w:hAnsi="Arial"/>
          <w:sz w:val="16"/>
          <w:szCs w:val="16"/>
          <w:color w:val="auto"/>
        </w:rPr>
        <w:t>” means the shares of Common Stock which may be issued upon conversion of the Series A Preferred Stock held by Purchasers.</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Principal Market is open for business.</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292" w:lineRule="exact"/>
        <w:rPr>
          <w:sz w:val="20"/>
          <w:szCs w:val="20"/>
          <w:color w:val="auto"/>
        </w:rPr>
      </w:pPr>
    </w:p>
    <w:p>
      <w:pPr>
        <w:ind w:left="760" w:hanging="324"/>
        <w:spacing w:after="0"/>
        <w:tabs>
          <w:tab w:leader="none" w:pos="76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84" w:lineRule="auto"/>
        <w:tabs>
          <w:tab w:leader="none" w:pos="1812" w:val="left"/>
        </w:tabs>
        <w:numPr>
          <w:ilvl w:val="1"/>
          <w:numId w:val="317"/>
        </w:numPr>
        <w:rPr>
          <w:rFonts w:ascii="Arial" w:cs="Arial" w:eastAsia="Arial" w:hAnsi="Arial"/>
          <w:sz w:val="16"/>
          <w:szCs w:val="16"/>
          <w:color w:val="auto"/>
        </w:rPr>
      </w:pPr>
      <w:r>
        <w:rPr>
          <w:rFonts w:ascii="Arial" w:cs="Arial" w:eastAsia="Arial" w:hAnsi="Arial"/>
          <w:sz w:val="16"/>
          <w:szCs w:val="16"/>
          <w:color w:val="auto"/>
        </w:rPr>
        <w:t>On or prior to the Filing Deadline, the Company shall prepare and file with the Commission a Registration Statement covering the resale of all of the Registrable Securities for an offering to be made on a continuous basis pursuant to Rule 415 (the “</w:t>
      </w:r>
      <w:r>
        <w:rPr>
          <w:rFonts w:ascii="Arial" w:cs="Arial" w:eastAsia="Arial" w:hAnsi="Arial"/>
          <w:sz w:val="16"/>
          <w:szCs w:val="16"/>
          <w:i w:val="1"/>
          <w:iCs w:val="1"/>
          <w:color w:val="auto"/>
        </w:rPr>
        <w:t>Initial Registration Statement</w:t>
      </w:r>
      <w:r>
        <w:rPr>
          <w:rFonts w:ascii="Arial" w:cs="Arial" w:eastAsia="Arial" w:hAnsi="Arial"/>
          <w:sz w:val="16"/>
          <w:szCs w:val="16"/>
          <w:color w:val="auto"/>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and shall contain (except if otherwise required pursuant to written comments received from the Commission upon a review of such Registration Statement) the “Plan of Distribution” section substantially in the form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(which may be modified to respond to comments, if any, provided by the Commission). Notwithstanding the registration obligations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Initial Registration Statement as required by the Commission and/or (ii) withdraw the Initial Registration Statement and file a new registration statement (a “</w:t>
      </w:r>
      <w:r>
        <w:rPr>
          <w:rFonts w:ascii="Arial" w:cs="Arial" w:eastAsia="Arial" w:hAnsi="Arial"/>
          <w:sz w:val="16"/>
          <w:szCs w:val="16"/>
          <w:i w:val="1"/>
          <w:iCs w:val="1"/>
          <w:color w:val="auto"/>
        </w:rPr>
        <w:t>New Registration Statement</w:t>
      </w:r>
      <w:r>
        <w:rPr>
          <w:rFonts w:ascii="Arial" w:cs="Arial" w:eastAsia="Arial" w:hAnsi="Arial"/>
          <w:sz w:val="16"/>
          <w:szCs w:val="16"/>
          <w:color w:val="auto"/>
        </w:rPr>
        <w:t xml:space="preserve">”), in either case covering the maximum number of Registrable Securities permitted to be registered by the Commission, on Form S-3 or, if the Company is ineligible to register the Registrable Securities on Form S-3, such other form available to register for resale the Registrable Securities as a secondary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filing such amendment or New Registration Statement, the Company shall be obligated to use its commercially reasonable efforts to advocate with the Commission for the registration of all of the Registrable Securities in accordance with the SEC Guidance, including without limitation, the Securities Act Rules Compliance and Disclosure Interpretations Question 612.09. Notwithstanding any other provision of this Agreement, if the Commission or any SEC Guidance sets forth a limitation of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first be reduced by Registrable Securities not acquired pursuant to the Purchase Agreement (whether pursuant to registration rights or otherwise), and second by Registrable Securities represented by Shares applied to the Holders on a pro rata basis based on the total number of Shares held by such Holders, subject to a determination by the Commission that certain Holders must be reduced first based on the number of Shares held by such Holders. In the event of a cutback hereunder, the Company shall give the Holder at least one (1) Trading Day prior notice along with the calculations as to such Holder’s allotment. In the event the Company amends the Initial Registration Statement or files a New Registration Statement, as the case may be, in accordance with the foregoing, the Company will use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58" w:name="page459"/>
    <w:bookmarkEnd w:id="4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commercially reasonable efforts to file with the Commission, as promptly as allowed by Commission or SEC Guidance provided to the Company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registrants of securities in general, one or more registration statements on Form S-3 or such other form available to register for resale those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Registrable Securities that were not registered for resale on the Initial Registration Statement, as amended, or the New Registration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Registration Statements</w:t>
      </w:r>
      <w:r>
        <w:rPr>
          <w:rFonts w:ascii="Arial" w:cs="Arial" w:eastAsia="Arial" w:hAnsi="Arial"/>
          <w:sz w:val="16"/>
          <w:szCs w:val="16"/>
          <w:color w:val="auto"/>
        </w:rPr>
        <w:t>”). No Holder shall be named as an “underwriter” in any Registration Statement without such Holder’s prior written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consent.</w:t>
      </w:r>
    </w:p>
    <w:p>
      <w:pPr>
        <w:spacing w:after="0" w:line="211" w:lineRule="exact"/>
        <w:rPr>
          <w:sz w:val="20"/>
          <w:szCs w:val="20"/>
          <w:color w:val="auto"/>
        </w:rPr>
      </w:pPr>
    </w:p>
    <w:p>
      <w:pPr>
        <w:ind w:firstLine="1428"/>
        <w:spacing w:after="0" w:line="286" w:lineRule="auto"/>
        <w:tabs>
          <w:tab w:leader="none" w:pos="182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cause each Registration Statement to be declared effective by the Commission as soon as practicable and, with respect to the Initial Registration Statement or the New Registration Statement, as applicable, no later than the Effectiveness Deadline (including filing with the Commission a request for acceleration of effectiveness in accordance with Rule 461 promulgated under the Securities Act), and shall use its commercially reasonable efforts to keep each Registration Statement continuously effective under the Securities Act until the earlier of (i) such time as all of the Registrable Securities covered by such Registration Statement have been publicly sold by the Holders; or (ii) the date that all Registrable Securities covered by such Registration Statement may be sold by non-affiliates without volume or manner-of-sale restrictions pursuant to Rule 144, without the requirement for the Company to be in compliance with the current public information requirement under Rule 144 (the “</w:t>
      </w:r>
      <w:r>
        <w:rPr>
          <w:rFonts w:ascii="Arial" w:cs="Arial" w:eastAsia="Arial" w:hAnsi="Arial"/>
          <w:sz w:val="16"/>
          <w:szCs w:val="16"/>
          <w:i w:val="1"/>
          <w:iCs w:val="1"/>
          <w:color w:val="auto"/>
        </w:rPr>
        <w:t>Effectiveness Period</w:t>
      </w:r>
      <w:r>
        <w:rPr>
          <w:rFonts w:ascii="Arial" w:cs="Arial" w:eastAsia="Arial" w:hAnsi="Arial"/>
          <w:sz w:val="16"/>
          <w:szCs w:val="16"/>
          <w:color w:val="auto"/>
        </w:rPr>
        <w:t>”). The Company shall request effectiveness of a Registration Statement as of 4:00 P.M. New York City time on a Trading Day. The Company shall promptly notify the Holders via e-mail of the effectiveness of a Registration Statement or any post-effective amendment thereto on the same Trading Day that the Company telephonically confirms effectiveness with the Commission, which date of confirmation shall initially be the date requested for effectiveness of such Registration Statement. The Company shall, by 9:30 A.M. New York City time on the first Trading Day after the Effective Date, file a final Prospectus with the Commission, as required by Rule 424(b) and shall provide the Purchasers with copies of the final Prospectus to be used in connection with the sale or other disposition of the securities covered thereby. The Company shall promptly inform each Holder in writing if, at any time during the Effectiveness Period, the Company does not satisfy the conditions specified in Rule 172 and, as a result thereof, the Holder is required to deliver a Prospectus in connection with any disposition of Registrable Securities.</w:t>
      </w:r>
    </w:p>
    <w:p>
      <w:pPr>
        <w:spacing w:after="0" w:line="167" w:lineRule="exact"/>
        <w:rPr>
          <w:rFonts w:ascii="Arial" w:cs="Arial" w:eastAsia="Arial" w:hAnsi="Arial"/>
          <w:sz w:val="16"/>
          <w:szCs w:val="16"/>
          <w:color w:val="auto"/>
        </w:rPr>
      </w:pPr>
    </w:p>
    <w:p>
      <w:pPr>
        <w:ind w:right="20" w:firstLine="1428"/>
        <w:spacing w:after="0" w:line="269" w:lineRule="auto"/>
        <w:tabs>
          <w:tab w:leader="none" w:pos="1812"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Each Holder of Registrable Securities to be sold agrees to furnish to the Company a completed Selling Shareholder Questionnaire not more than five (5) Trading Days following the date of this Agreement. At least 10 Trading Days prior to the first anticipated filing date of a Registration Statement for any registration under this Agreement, the Company will notify each Holder of the information the Company requires from that Holder for inclusion in the Registration Statement other than the information contained in the Selling Shareholder Questionnaire, if any, which shall be completed and delivered to the Company promptly upon request and, in any event, within three (3) Trading Days prior to the applicable anticipated filing date. Each Holder further agrees that it shall not be entitled to be named as a selling securityholder in the Registration Statement or use the Prospectus for offers and resales of Registrable Securities at any time, unless such Holder has provided such information to the Company and responded to any reasonable requests for further information as described in the previous sentence. Each Holder acknowledges and agrees that the information in the Selling Shareholder Questionnaire or request for further information as described in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will be used by the Company in the preparation of the Registration Statement and hereby consents to the inclusion of such information in the Registration Statement (subject to such Holder’s right to timely review the Registration Statement as set forth herein).</w:t>
      </w:r>
    </w:p>
    <w:p>
      <w:pPr>
        <w:spacing w:after="0" w:line="181" w:lineRule="exact"/>
        <w:rPr>
          <w:rFonts w:ascii="Arial" w:cs="Arial" w:eastAsia="Arial" w:hAnsi="Arial"/>
          <w:sz w:val="17"/>
          <w:szCs w:val="17"/>
          <w:color w:val="auto"/>
        </w:rPr>
      </w:pPr>
    </w:p>
    <w:p>
      <w:pPr>
        <w:ind w:right="200" w:firstLine="1428"/>
        <w:spacing w:after="0" w:line="257" w:lineRule="auto"/>
        <w:tabs>
          <w:tab w:leader="none" w:pos="182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In the event that Form S-3 is not available for the registration of the resale of Registrable Securities hereunder, the Company shall (i) register the resale of the Registrable Securities on another appropriate form reasonably acceptable to the Holders and (ii) undertake to register the Registrable Securities on Form S-3 promptly after such form is available,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maintain the effectiveness of the Registration Statement then in effect until such time as a Registration Statement on Form S-3 covering the Registrable Securities has been declared effective by the Commission.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59" w:name="page460"/>
    <w:bookmarkEnd w:id="459"/>
    <w:p>
      <w:pPr>
        <w:ind w:left="4" w:firstLine="1428"/>
        <w:spacing w:after="0" w:line="267" w:lineRule="auto"/>
        <w:tabs>
          <w:tab w:leader="none" w:pos="1816" w:val="left"/>
        </w:tabs>
        <w:numPr>
          <w:ilvl w:val="1"/>
          <w:numId w:val="3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 a Registration Statement covering the Registrable Securities is not filed with the Commission on or prior to the Filing Deadline, the Company will make pro rata payments to each Purchaser then holding Registrable Securities, or (ii) following receipt of the Requisite Stockholder Approval, (A) a Registration Statement covering the Registrable Securities is not declared effective by the Commission prior to the Effectiveness Deadline or (B) after a Registration Statement has been declared effective by the Commission, (1) such Registration Statement ceases for any reason (including, without limitation, by reason of a stop order, or the Company’s failure to update the Registration Statement) to remain continuously effective as to sell all Registrable Securities for which it is required to be effective, (2) the Purchasers are not permitted to utilize the Prospectus therein to resell such Registrable Securities (other than during permitted suspension under Section 6(d)), or (3) a permitted suspension of the Registration Statement under Section 6(d) exceeds the length set forth therein, (each of the foregoing events in clauses (i) and (ii), a “</w:t>
      </w:r>
      <w:r>
        <w:rPr>
          <w:rFonts w:ascii="Arial" w:cs="Arial" w:eastAsia="Arial" w:hAnsi="Arial"/>
          <w:sz w:val="17"/>
          <w:szCs w:val="17"/>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Failure</w:t>
      </w:r>
      <w:r>
        <w:rPr>
          <w:rFonts w:ascii="Arial" w:cs="Arial" w:eastAsia="Arial" w:hAnsi="Arial"/>
          <w:sz w:val="17"/>
          <w:szCs w:val="17"/>
          <w:color w:val="auto"/>
        </w:rPr>
        <w:t>”), then, in addition to any other rights the Purchasers may have hereunder or under applicable law, the Company will make pro rata payments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Purchaser of then outstanding Registrable Securities, as liquidated damages and not as a penalty (the “</w:t>
      </w:r>
      <w:r>
        <w:rPr>
          <w:rFonts w:ascii="Arial" w:cs="Arial" w:eastAsia="Arial" w:hAnsi="Arial"/>
          <w:sz w:val="17"/>
          <w:szCs w:val="17"/>
          <w:i w:val="1"/>
          <w:iCs w:val="1"/>
          <w:color w:val="auto"/>
        </w:rPr>
        <w:t>Liquidated Damages</w:t>
      </w:r>
      <w:r>
        <w:rPr>
          <w:rFonts w:ascii="Arial" w:cs="Arial" w:eastAsia="Arial" w:hAnsi="Arial"/>
          <w:sz w:val="17"/>
          <w:szCs w:val="17"/>
          <w:color w:val="auto"/>
        </w:rPr>
        <w:t>”), in an amount equal to one percent (1.0%) of the aggregate amount invested by such Purchaser for the Registrable Securities then held by such Purchaser for the initial day of a Registration Failure and for each thirty (30) day period (or pro rata portion thereof with respect to a final period, if any) thereafter until the Registration Failure is cured. The Liquidated Damages shall be paid monthly within ten (10) Business Days of the date of such Registration Failure and the end of each subsequent thirty (30) day period (or portion thereof with respect to a final period, if any) thereafter until the Registration Failure is cured. Such payments shall be made in cash to each Purchaser then holding Registrable Securities. Interest shall accrue at the rate of one percent (1%) per month on any such liquidated damages payments that shall not be paid by the applicable payment date until such amount is paid in full. Notwithstanding the foregoing, (I) no Liquidated Damages shall be payable with respect to any period after the expiration of the Effectiveness Period (as defined below) (it being understood that this sentence shall not relieve the Company of any Liquidated Damages accruing prior to the expiration of the Effectiveness Period), (II) in no event shall the aggregate amount of Liquidated Damages payable to a Purchaser exceed, in the aggregate, five percent (5.0%) of the aggregate purchase price paid by such Purchaser pursuant to the Purchase Agreement and (III) no Liquidated Damages shall accrue or be payable with respect to any reduction in the number or Registrable Securities to be included in a Registration Statement due to the application of Rule 415 as set forth in Section 2(a).</w:t>
      </w:r>
    </w:p>
    <w:p>
      <w:pPr>
        <w:spacing w:after="0" w:line="291" w:lineRule="exact"/>
        <w:rPr>
          <w:rFonts w:ascii="Arial" w:cs="Arial" w:eastAsia="Arial" w:hAnsi="Arial"/>
          <w:sz w:val="17"/>
          <w:szCs w:val="17"/>
          <w:color w:val="auto"/>
        </w:rPr>
      </w:pPr>
    </w:p>
    <w:p>
      <w:pPr>
        <w:ind w:left="764" w:hanging="324"/>
        <w:spacing w:after="0"/>
        <w:tabs>
          <w:tab w:leader="none" w:pos="764"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5" w:lineRule="exact"/>
        <w:rPr>
          <w:sz w:val="20"/>
          <w:szCs w:val="20"/>
          <w:color w:val="auto"/>
        </w:rPr>
      </w:pPr>
    </w:p>
    <w:p>
      <w:pPr>
        <w:ind w:left="4" w:right="100" w:firstLine="1428"/>
        <w:spacing w:after="0" w:line="285" w:lineRule="auto"/>
        <w:tabs>
          <w:tab w:leader="none" w:pos="1816" w:val="left"/>
        </w:tabs>
        <w:numPr>
          <w:ilvl w:val="1"/>
          <w:numId w:val="321"/>
        </w:numPr>
        <w:rPr>
          <w:rFonts w:ascii="Arial" w:cs="Arial" w:eastAsia="Arial" w:hAnsi="Arial"/>
          <w:sz w:val="16"/>
          <w:szCs w:val="16"/>
          <w:color w:val="auto"/>
        </w:rPr>
      </w:pPr>
      <w:r>
        <w:rPr>
          <w:rFonts w:ascii="Arial" w:cs="Arial" w:eastAsia="Arial" w:hAnsi="Arial"/>
          <w:sz w:val="16"/>
          <w:szCs w:val="16"/>
          <w:color w:val="auto"/>
        </w:rPr>
        <w:t>Not less than five (5) Trading Days prior to the filing of each Registration Statement and not less than two (2) Trading Days prior to the filing of any related Prospectus or any amendment or supplement thereto (except for Annual Reports on Form 10-K, and Quarterly Reports on Form 10-Q and Current Reports on Form 8-K and any similar or successor reports), (i) furnish to each Holder copies of such Registration Statement, Prospectus or amendment or supplement thereto, as proposed to be filed, which documents will be subject to the review of such Holder (it being acknowledged and agreed that if a Holder does not object to or comment on the aforementioned documents within such five (5) Trading Day or two</w:t>
      </w:r>
    </w:p>
    <w:p>
      <w:pPr>
        <w:spacing w:after="0" w:line="1" w:lineRule="exact"/>
        <w:rPr>
          <w:rFonts w:ascii="Arial" w:cs="Arial" w:eastAsia="Arial" w:hAnsi="Arial"/>
          <w:sz w:val="16"/>
          <w:szCs w:val="16"/>
          <w:color w:val="auto"/>
        </w:rPr>
      </w:pPr>
    </w:p>
    <w:p>
      <w:pPr>
        <w:jc w:val="both"/>
        <w:ind w:left="4" w:right="80" w:hanging="4"/>
        <w:spacing w:after="0" w:line="253" w:lineRule="auto"/>
        <w:tabs>
          <w:tab w:leader="none" w:pos="25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Trading Day period, as the case may be, then the Holder shall be deemed to have consented to and approved the use of such documents) and (ii) to the extent that a Holder is identified in the Registration Statement as an “underwriter” (as defined in the Securities Act), use commercially reasonable efforts to cause its officers and directors, counsel and independent registered public accountants to respond to such inquiries as shall be necessary, in the reasonable opinion of respective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460" w:name="page461"/>
    <w:bookmarkEnd w:id="460"/>
    <w:p>
      <w:pPr>
        <w:jc w:val="both"/>
        <w:ind w:left="4" w:right="3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counsel to each Holder, to conduct a reasonable investigation within the meaning of the Securities Act. The Company shall not file any Registration Statement or amendment or supplement thereto in a form to which a Holder reasonably objects in good faith, provided that, such Holder notifies the Company of such objection in writing within the five (5) Trading Day or two (2) Trading Day periods described above, as applicable.</w:t>
      </w:r>
    </w:p>
    <w:p>
      <w:pPr>
        <w:spacing w:after="0" w:line="149" w:lineRule="exact"/>
        <w:rPr>
          <w:sz w:val="20"/>
          <w:szCs w:val="20"/>
          <w:color w:val="auto"/>
        </w:rPr>
      </w:pPr>
    </w:p>
    <w:p>
      <w:pPr>
        <w:ind w:left="4" w:right="40" w:firstLine="1428"/>
        <w:spacing w:after="0" w:line="285" w:lineRule="auto"/>
        <w:tabs>
          <w:tab w:leader="none" w:pos="1826" w:val="left"/>
        </w:tabs>
        <w:numPr>
          <w:ilvl w:val="1"/>
          <w:numId w:val="323"/>
        </w:numPr>
        <w:rPr>
          <w:rFonts w:ascii="Arial" w:cs="Arial" w:eastAsia="Arial" w:hAnsi="Arial"/>
          <w:sz w:val="16"/>
          <w:szCs w:val="16"/>
          <w:color w:val="auto"/>
        </w:rPr>
      </w:pPr>
      <w:r>
        <w:rPr>
          <w:rFonts w:ascii="Arial" w:cs="Arial" w:eastAsia="Arial" w:hAnsi="Arial"/>
          <w:sz w:val="16"/>
          <w:szCs w:val="16"/>
          <w:color w:val="auto"/>
        </w:rPr>
        <w:t>(i) Prepare and file with the Commission such amendments (including post-effective amendments) and supplements, to each Registration Statement and the Prospectus used in connection therewith as may be necessary to keep such Registration Statement continuously effective as to the applicable Registrable Securities for its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1" w:lineRule="exact"/>
        <w:rPr>
          <w:rFonts w:ascii="Arial" w:cs="Arial" w:eastAsia="Arial" w:hAnsi="Arial"/>
          <w:sz w:val="16"/>
          <w:szCs w:val="16"/>
          <w:color w:val="auto"/>
        </w:rPr>
      </w:pPr>
    </w:p>
    <w:p>
      <w:pPr>
        <w:ind w:left="4" w:right="20" w:hanging="4"/>
        <w:spacing w:after="0" w:line="266" w:lineRule="auto"/>
        <w:tabs>
          <w:tab w:leader="none" w:pos="31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respond as promptly as reasonably practicable to any comments received from the Commission with respect to each Registration Statement or any amendment thereto and, as promptly as reasonably possible, provide the Holders true and complete copies of all correspondence from and to the Commission relating to such Registration Statement that pertains to the Holders as “Selling Stockholders” but not any comments that would result in the disclosure to the Holders of material and non-public information concerning the Company (unless such Holder consents to receive such material and non-public information); and (iv) comply with the provisions of the Securities Act and the Exchange Act with respect to the disposition of all Registrable Securities covered by a Registration Statement until such time as all of such Registrable Securities shall have been disposed of (subject to the terms of this Agreement) in accordance with the intended methods of disposition by the Holders thereof as set forth in such Registration Statement as so amended or in such Prospectus as so supplemented;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Purchaser shall be responsible for the delivery of the Prospectus to the Persons to whom such Purchaser sells any of the Registrable Securities (including in accordance with Rule 172 under the Securities Act) to the extent required under the Securities Act, and each Purchaser agrees to dispose of Registrable Securities in compliance with the “Plan of Distribution” described in the Registration Statement and otherwise in compliance with applicable federal and state securities laws. In the case of amendments and supplements to a Registration Statement which are required to be filed pursuant to this Agreement (including pursuant to this Section 3(b)) by reason of the Company filing a report on Form 10-K, Form 10-Q or Form 8-K or any analogous report under the Exchange Act, the Company shall have incorporated such report by reference into such Registration Statement, if applicable, or shall file such amendments or supplements with the Commission on the same day on which the Exchange Act report which created the requirement for the Company to amend or supplement such Registration Statement was filed.</w:t>
      </w:r>
    </w:p>
    <w:p>
      <w:pPr>
        <w:spacing w:after="0" w:line="191" w:lineRule="exact"/>
        <w:rPr>
          <w:rFonts w:ascii="Arial" w:cs="Arial" w:eastAsia="Arial" w:hAnsi="Arial"/>
          <w:sz w:val="17"/>
          <w:szCs w:val="17"/>
          <w:color w:val="auto"/>
        </w:rPr>
      </w:pPr>
    </w:p>
    <w:p>
      <w:pPr>
        <w:jc w:val="both"/>
        <w:ind w:left="4" w:firstLine="1428"/>
        <w:spacing w:after="0" w:line="287" w:lineRule="auto"/>
        <w:tabs>
          <w:tab w:leader="none" w:pos="1816" w:val="left"/>
        </w:tabs>
        <w:numPr>
          <w:ilvl w:val="1"/>
          <w:numId w:val="324"/>
        </w:numPr>
        <w:rPr>
          <w:rFonts w:ascii="Arial" w:cs="Arial" w:eastAsia="Arial" w:hAnsi="Arial"/>
          <w:sz w:val="16"/>
          <w:szCs w:val="16"/>
          <w:color w:val="auto"/>
        </w:rPr>
      </w:pPr>
      <w:r>
        <w:rPr>
          <w:rFonts w:ascii="Arial" w:cs="Arial" w:eastAsia="Arial" w:hAnsi="Arial"/>
          <w:sz w:val="16"/>
          <w:szCs w:val="16"/>
          <w:color w:val="auto"/>
        </w:rPr>
        <w:t>Notify the Holders of Registrable Securities to be sold (which notice shall, if given pursuant to clauses (iii) through (vi) hereof, be accompanied by an instruction to suspend the use of the Prospectus until the requisite changes have been made, provided that the Company shall omit any material, non-public information relating to the Company and/or any of its subsidiaries) as promptly as reasonably practicable (and, in the case of (i)</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(A) below, not less than one (1) Trading Day prior to such filing) and (if requested by any such Person) confirm such notice in writing no later than one</w:t>
      </w:r>
    </w:p>
    <w:p>
      <w:pPr>
        <w:spacing w:after="0" w:line="32" w:lineRule="exact"/>
        <w:rPr>
          <w:rFonts w:ascii="Arial" w:cs="Arial" w:eastAsia="Arial" w:hAnsi="Arial"/>
          <w:sz w:val="16"/>
          <w:szCs w:val="16"/>
          <w:color w:val="auto"/>
        </w:rPr>
      </w:pPr>
    </w:p>
    <w:p>
      <w:pPr>
        <w:ind w:left="4" w:right="20"/>
        <w:spacing w:after="0" w:line="270" w:lineRule="auto"/>
        <w:rPr>
          <w:rFonts w:ascii="Arial" w:cs="Arial" w:eastAsia="Arial" w:hAnsi="Arial"/>
          <w:sz w:val="16"/>
          <w:szCs w:val="16"/>
          <w:color w:val="auto"/>
        </w:rPr>
      </w:pPr>
      <w:r>
        <w:rPr>
          <w:rFonts w:ascii="Arial" w:cs="Arial" w:eastAsia="Arial" w:hAnsi="Arial"/>
          <w:sz w:val="17"/>
          <w:szCs w:val="17"/>
          <w:color w:val="auto"/>
        </w:rPr>
        <w:t>(1)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any Registration Statement (in which case the Company shall provide to each of the Holders true and complete copies of all comments that pertain to the Holders as a “Selling Stockholder” or to the “Plan of Distribution” and all written responses thereto, but not information that the Company believes would constitute material and non-public information); and (C) with respect to each Registration Statement or any post-effective amendment, when the same has become effective; (ii)</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61" w:name="page462"/>
    <w:bookmarkEnd w:id="46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any request by the Commission or any other Federal or state governmental authority for amendments or supplements to a Registration Statement or Prospectus or for additional information that pertains to the Holders as “Selling Stockholders” or the “Plan of Distribution”;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or incorporated by reference in a Registration Statement ineligible for inclusion or incorporation by reference therein or any statement made in such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the case of any Prospectus, form of prospectus or supplement thereto, in light of the circumstances under which they were made), not misleading and (vi) of the occurrence or existence of any pending corporate development with respect to the Company that , upon the advice of legal counsel, the Company’s board of directors reasonably believes may be material and that, in the reasonable determination of the Company’s board of directors, makes it not in the best interest of the Company to allow continued availability of a Registration Statement or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and all such information shall remain confidential to each Holder until such information otherwise becomes public, unless disclosure by a Holder is required by law;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notwithstanding each Holder’s agreement to keep such information confidential, each such Holder makes no acknowledgement that any such information is material, non-public information.</w:t>
      </w:r>
    </w:p>
    <w:p>
      <w:pPr>
        <w:spacing w:after="0" w:line="174" w:lineRule="exact"/>
        <w:rPr>
          <w:sz w:val="20"/>
          <w:szCs w:val="20"/>
          <w:color w:val="auto"/>
        </w:rPr>
      </w:pPr>
    </w:p>
    <w:p>
      <w:pPr>
        <w:ind w:right="220" w:firstLine="1428"/>
        <w:spacing w:after="0" w:line="263" w:lineRule="auto"/>
        <w:tabs>
          <w:tab w:leader="none" w:pos="182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Use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as soon as practicable.</w:t>
      </w:r>
    </w:p>
    <w:p>
      <w:pPr>
        <w:spacing w:after="0" w:line="183" w:lineRule="exact"/>
        <w:rPr>
          <w:rFonts w:ascii="Arial" w:cs="Arial" w:eastAsia="Arial" w:hAnsi="Arial"/>
          <w:sz w:val="18"/>
          <w:szCs w:val="18"/>
          <w:color w:val="auto"/>
        </w:rPr>
      </w:pPr>
    </w:p>
    <w:p>
      <w:pPr>
        <w:ind w:right="220" w:firstLine="1428"/>
        <w:spacing w:after="0" w:line="275" w:lineRule="auto"/>
        <w:tabs>
          <w:tab w:leader="none" w:pos="1812"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If requested by a Holder, furnish to such Holder, without charge, at least one conformed copy of each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have no obligation to provide any document pursuant to this clause that is available on the Commission’s EDGAR system.</w:t>
      </w:r>
    </w:p>
    <w:p>
      <w:pPr>
        <w:spacing w:after="0" w:line="176" w:lineRule="exact"/>
        <w:rPr>
          <w:rFonts w:ascii="Arial" w:cs="Arial" w:eastAsia="Arial" w:hAnsi="Arial"/>
          <w:sz w:val="17"/>
          <w:szCs w:val="17"/>
          <w:color w:val="auto"/>
        </w:rPr>
      </w:pPr>
    </w:p>
    <w:p>
      <w:pPr>
        <w:ind w:right="20" w:firstLine="1428"/>
        <w:spacing w:after="0" w:line="271" w:lineRule="auto"/>
        <w:tabs>
          <w:tab w:leader="none" w:pos="1792"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Prior to any resale of Registrable Securities by a Holder, use its commercially reasonable efforts to register or qualify or cooperate with the selling Holders in connection with the registration or qualification (or exemption from the registration or qualification) of the resale of such Registrable Securities (or, in the case of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62" w:name="page463"/>
    <w:bookmarkEnd w:id="462"/>
    <w:p>
      <w:pPr>
        <w:ind w:left="4" w:right="60" w:firstLine="1428"/>
        <w:spacing w:after="0" w:line="279" w:lineRule="auto"/>
        <w:tabs>
          <w:tab w:leader="none" w:pos="1826" w:val="left"/>
        </w:tabs>
        <w:numPr>
          <w:ilvl w:val="2"/>
          <w:numId w:val="3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Cooperate with such Holder to facilitate the timely preparation and delivery of certificates or book entry statements, as applicable, representing Registrable Securities to be delivered to a transferee pursuant to the Registration Statement, which certificates or statements shall be free, to the extent permitted by the Purchase Agreement and under law, of all restrictive legends, and to enable such Registrable Securities to be in such denominations and registered in such names as any such Holders may reasonably request.</w:t>
      </w:r>
    </w:p>
    <w:p>
      <w:pPr>
        <w:spacing w:after="0" w:line="171" w:lineRule="exact"/>
        <w:rPr>
          <w:rFonts w:ascii="Arial" w:cs="Arial" w:eastAsia="Arial" w:hAnsi="Arial"/>
          <w:sz w:val="17"/>
          <w:szCs w:val="17"/>
          <w:color w:val="auto"/>
        </w:rPr>
      </w:pPr>
    </w:p>
    <w:p>
      <w:pPr>
        <w:ind w:left="4" w:right="240" w:firstLine="1428"/>
        <w:spacing w:after="0" w:line="284" w:lineRule="auto"/>
        <w:tabs>
          <w:tab w:leader="none" w:pos="1826" w:val="left"/>
        </w:tabs>
        <w:numPr>
          <w:ilvl w:val="2"/>
          <w:numId w:val="326"/>
        </w:numPr>
        <w:rPr>
          <w:rFonts w:ascii="Arial" w:cs="Arial" w:eastAsia="Arial" w:hAnsi="Arial"/>
          <w:sz w:val="16"/>
          <w:szCs w:val="16"/>
          <w:color w:val="auto"/>
        </w:rPr>
      </w:pPr>
      <w:r>
        <w:rPr>
          <w:rFonts w:ascii="Arial" w:cs="Arial" w:eastAsia="Arial" w:hAnsi="Arial"/>
          <w:sz w:val="16"/>
          <w:szCs w:val="16"/>
          <w:color w:val="auto"/>
        </w:rPr>
        <w:t xml:space="preserve">Following the occurrence of any event contemplated by </w:t>
      </w:r>
      <w:r>
        <w:rPr>
          <w:rFonts w:ascii="Arial" w:cs="Arial" w:eastAsia="Arial" w:hAnsi="Arial"/>
          <w:sz w:val="16"/>
          <w:szCs w:val="16"/>
          <w:u w:val="single" w:color="auto"/>
          <w:color w:val="auto"/>
        </w:rPr>
        <w:t>Section 3(c)</w:t>
      </w:r>
      <w:r>
        <w:rPr>
          <w:rFonts w:ascii="Arial" w:cs="Arial" w:eastAsia="Arial" w:hAnsi="Arial"/>
          <w:sz w:val="16"/>
          <w:szCs w:val="16"/>
          <w:color w:val="auto"/>
        </w:rPr>
        <w:t>, as promptly as reasonably practicable (taking into account the Company’s good faith assessment of any adverse consequences to the Company and its shareholders of the premature disclosure of such event), prepare a supplement or amendment, including a post-effective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the case of any Prospectus, form of prospectus or supplement thereto, in light of the circumstances under which they were made), not misleading. If the Company notifies the Holders in accordance with clauses (iii) through</w:t>
      </w:r>
    </w:p>
    <w:p>
      <w:pPr>
        <w:spacing w:after="0" w:line="2" w:lineRule="exact"/>
        <w:rPr>
          <w:rFonts w:ascii="Arial" w:cs="Arial" w:eastAsia="Arial" w:hAnsi="Arial"/>
          <w:sz w:val="16"/>
          <w:szCs w:val="16"/>
          <w:color w:val="auto"/>
        </w:rPr>
      </w:pPr>
    </w:p>
    <w:p>
      <w:pPr>
        <w:ind w:left="4" w:hanging="4"/>
        <w:spacing w:after="0" w:line="251" w:lineRule="auto"/>
        <w:tabs>
          <w:tab w:leader="none" w:pos="30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to suspend the availability of a Registration Statement and Prospectus in accordance with the time periods set forth in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which may be extended only in accordance with Section 6(f). For the avoidance of doubt, the Company’s rights under this </w:t>
      </w:r>
      <w:r>
        <w:rPr>
          <w:rFonts w:ascii="Arial" w:cs="Arial" w:eastAsia="Arial" w:hAnsi="Arial"/>
          <w:sz w:val="18"/>
          <w:szCs w:val="18"/>
          <w:u w:val="single" w:color="auto"/>
          <w:color w:val="auto"/>
        </w:rPr>
        <w:t>Section 3(h)</w:t>
      </w:r>
      <w:r>
        <w:rPr>
          <w:rFonts w:ascii="Arial" w:cs="Arial" w:eastAsia="Arial" w:hAnsi="Arial"/>
          <w:sz w:val="18"/>
          <w:szCs w:val="18"/>
          <w:color w:val="auto"/>
        </w:rPr>
        <w:t xml:space="preserve"> shall include suspensions of availability arising from the filing of a post-effective amendment to a Registration Statement to update the Prospectus therein to include the information contained in the Company’s Annual Report on Form 10-K, which suspensions may extend for the amount of time reasonably required to respond to any comments of the staff of the Commission on such amendment.</w:t>
      </w:r>
    </w:p>
    <w:p>
      <w:pPr>
        <w:spacing w:after="0" w:line="197" w:lineRule="exact"/>
        <w:rPr>
          <w:rFonts w:ascii="Arial" w:cs="Arial" w:eastAsia="Arial" w:hAnsi="Arial"/>
          <w:sz w:val="18"/>
          <w:szCs w:val="18"/>
          <w:color w:val="auto"/>
        </w:rPr>
      </w:pPr>
    </w:p>
    <w:p>
      <w:pPr>
        <w:ind w:left="4" w:right="60" w:firstLine="1428"/>
        <w:spacing w:after="0" w:line="291" w:lineRule="auto"/>
        <w:tabs>
          <w:tab w:leader="none" w:pos="1786" w:val="left"/>
        </w:tabs>
        <w:numPr>
          <w:ilvl w:val="2"/>
          <w:numId w:val="327"/>
        </w:numPr>
        <w:rPr>
          <w:rFonts w:ascii="Arial" w:cs="Arial" w:eastAsia="Arial" w:hAnsi="Arial"/>
          <w:sz w:val="16"/>
          <w:szCs w:val="16"/>
          <w:color w:val="auto"/>
        </w:rPr>
      </w:pPr>
      <w:r>
        <w:rPr>
          <w:rFonts w:ascii="Arial" w:cs="Arial" w:eastAsia="Arial" w:hAnsi="Arial"/>
          <w:sz w:val="16"/>
          <w:szCs w:val="16"/>
          <w:color w:val="auto"/>
        </w:rPr>
        <w:t>The Company may require each selling Holder to furnish to the Company a certified statement as to (i) the number of shares of Common Stock beneficially owned by such Holder and any Affiliate thereof, (ii) any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affiliations,</w:t>
      </w:r>
    </w:p>
    <w:p>
      <w:pPr>
        <w:ind w:left="4" w:right="640" w:hanging="4"/>
        <w:spacing w:after="0" w:line="260" w:lineRule="auto"/>
        <w:tabs>
          <w:tab w:leader="none" w:pos="31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natural persons who have the power to vote or dispose of the Common Stock and (iv) any other information as may be requested by the Commission, FINRA or any state securities commission.</w:t>
      </w:r>
    </w:p>
    <w:p>
      <w:pPr>
        <w:spacing w:after="0" w:line="185" w:lineRule="exact"/>
        <w:rPr>
          <w:rFonts w:ascii="Arial" w:cs="Arial" w:eastAsia="Arial" w:hAnsi="Arial"/>
          <w:sz w:val="18"/>
          <w:szCs w:val="18"/>
          <w:color w:val="auto"/>
        </w:rPr>
      </w:pPr>
    </w:p>
    <w:p>
      <w:pPr>
        <w:ind w:left="4" w:right="40" w:firstLine="1428"/>
        <w:spacing w:after="0" w:line="263" w:lineRule="auto"/>
        <w:tabs>
          <w:tab w:leader="none" w:pos="1786" w:val="left"/>
        </w:tabs>
        <w:numPr>
          <w:ilvl w:val="2"/>
          <w:numId w:val="328"/>
        </w:numPr>
        <w:rPr>
          <w:rFonts w:ascii="Arial" w:cs="Arial" w:eastAsia="Arial" w:hAnsi="Arial"/>
          <w:sz w:val="18"/>
          <w:szCs w:val="18"/>
          <w:color w:val="auto"/>
        </w:rPr>
      </w:pPr>
      <w:r>
        <w:rPr>
          <w:rFonts w:ascii="Arial" w:cs="Arial" w:eastAsia="Arial" w:hAnsi="Arial"/>
          <w:sz w:val="18"/>
          <w:szCs w:val="18"/>
          <w:color w:val="auto"/>
        </w:rPr>
        <w:t>The Company shall cooperate with any registered broker through which a Holder proposes to resell its Registrable Securities in effecting a filing with FINRA pursuant to FINRA Rule 5110 as requested by any such Holder and the Company shall pay the filing fee required for the first such filing within two (2) Business Days of the request therefor.</w:t>
      </w:r>
    </w:p>
    <w:p>
      <w:pPr>
        <w:spacing w:after="0" w:line="183" w:lineRule="exact"/>
        <w:rPr>
          <w:rFonts w:ascii="Arial" w:cs="Arial" w:eastAsia="Arial" w:hAnsi="Arial"/>
          <w:sz w:val="18"/>
          <w:szCs w:val="18"/>
          <w:color w:val="auto"/>
        </w:rPr>
      </w:pPr>
    </w:p>
    <w:p>
      <w:pPr>
        <w:ind w:left="4" w:firstLine="1428"/>
        <w:spacing w:after="0" w:line="257" w:lineRule="auto"/>
        <w:tabs>
          <w:tab w:leader="none" w:pos="1826" w:val="left"/>
        </w:tabs>
        <w:numPr>
          <w:ilvl w:val="2"/>
          <w:numId w:val="328"/>
        </w:numPr>
        <w:rPr>
          <w:rFonts w:ascii="Arial" w:cs="Arial" w:eastAsia="Arial" w:hAnsi="Arial"/>
          <w:sz w:val="18"/>
          <w:szCs w:val="18"/>
          <w:color w:val="auto"/>
        </w:rPr>
      </w:pPr>
      <w:r>
        <w:rPr>
          <w:rFonts w:ascii="Arial" w:cs="Arial" w:eastAsia="Arial" w:hAnsi="Arial"/>
          <w:sz w:val="18"/>
          <w:szCs w:val="18"/>
          <w:color w:val="auto"/>
        </w:rPr>
        <w:t>If at any time the Commission takes the position that the offering of some or all of the Registrable Securities in a Registration Statement is not eligible to be made on a delayed or continuous basis under the provisions of Rule 415 under the Securities Act or requires any Holder to be named as an “underwriter,” the Company shall use commercially reasonable efforts to persuade the Commission that the offering contemplated by such Registration Statement is a valid secondary offering and not an offering “by or on behalf of the issuer” as defined in Rule 415 and that none of the Holders is an “underwriter.</w:t>
      </w:r>
    </w:p>
    <w:p>
      <w:pPr>
        <w:spacing w:after="0" w:line="187" w:lineRule="exact"/>
        <w:rPr>
          <w:rFonts w:ascii="Arial" w:cs="Arial" w:eastAsia="Arial" w:hAnsi="Arial"/>
          <w:sz w:val="18"/>
          <w:szCs w:val="18"/>
          <w:color w:val="auto"/>
        </w:rPr>
      </w:pPr>
    </w:p>
    <w:p>
      <w:pPr>
        <w:ind w:left="4" w:right="360" w:firstLine="436"/>
        <w:spacing w:after="0" w:line="263" w:lineRule="auto"/>
        <w:tabs>
          <w:tab w:leader="none" w:pos="759"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 All fees and expenses incident to the Company’s performance of or compliance with its obligations under this Agreement (excluding any underwriting discounts and selling commissions and all legal fees and expenses of legal counsel for any Holder) shall be borne by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463" w:name="page464"/>
    <w:bookmarkEnd w:id="46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required to be made with any Trading Market on which the Common Stock are then listed for trading, (B) with respect to compliance with applicable state securities or blue sky laws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in connection with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above, with respect to any filing that may be required to be made by any broker through which a Holder intends to make sales of Registrable Securities with FINRA pursuant to the FINRA Rule 5110, so long as the broker is receiving no more than a customary brokerage commission in connection with such sale), (ii) printing expenses (including, without limitation, expenses of printing certificates for Registrable Securities and of printing prospectuses if the printing of prospectuses is reasonably requested by the Holders of a majority of the Registrable Securities included in the Registration Statement), (iii) messenger, telephone and delivery expenses, (iv) fees, expenses and disbursements of counsel for the Company, (v) Securities Act liability insurance, if the Company so desires such insurance, and (vi) fees and expenses of all other Persons retained by the Company in connection with the registrations and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Transaction Documents, any legal fees or other costs of the Holders.</w:t>
      </w:r>
    </w:p>
    <w:p>
      <w:pPr>
        <w:spacing w:after="0" w:line="279" w:lineRule="exact"/>
        <w:rPr>
          <w:sz w:val="20"/>
          <w:szCs w:val="20"/>
          <w:color w:val="auto"/>
        </w:rPr>
      </w:pPr>
    </w:p>
    <w:p>
      <w:pPr>
        <w:ind w:left="760" w:hanging="324"/>
        <w:spacing w:after="0"/>
        <w:tabs>
          <w:tab w:leader="none" w:pos="76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1428"/>
        <w:spacing w:after="0" w:line="268" w:lineRule="auto"/>
        <w:tabs>
          <w:tab w:leader="none" w:pos="1812"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shall, notwithstanding any termination of this Agreement, indemnify, defend and hold harmless each Holder and each of their respective officers, directors, agents, partners, members, managers, stockholders, Affiliates, investment advisers and employees of each of them, each Person who controls any such Holder (within the meaning of Section 15 of the Securities Act or Section 20 of the Exchange Act) and the officers, directors, partners, members, managers, stockholders, agents, investment advisers and employees of each such controlling Person, to the fullest extent permitted by applicable law, from and against any and all losses, claims, damages, liabilities, costs (including, without limitation, reasonable costs of preparation and investigation and reasonable attorneys’ fees), expenses and disbursements (collectively, “</w:t>
      </w:r>
      <w:r>
        <w:rPr>
          <w:rFonts w:ascii="Arial" w:cs="Arial" w:eastAsia="Arial" w:hAnsi="Arial"/>
          <w:sz w:val="17"/>
          <w:szCs w:val="17"/>
          <w:i w:val="1"/>
          <w:iCs w:val="1"/>
          <w:color w:val="auto"/>
        </w:rPr>
        <w:t>Losses</w:t>
      </w:r>
      <w:r>
        <w:rPr>
          <w:rFonts w:ascii="Arial" w:cs="Arial" w:eastAsia="Arial" w:hAnsi="Arial"/>
          <w:sz w:val="17"/>
          <w:szCs w:val="17"/>
          <w:color w:val="auto"/>
        </w:rPr>
        <w:t>”), as incurred, that arise out of or are based upon (i)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or its agents of the Securities Act, the Exchange Act or any state securities law or any rule or regulation thereunder, in connection with the performance of its obligations under this Agreement or any action or inaction required of the Company in connection with any registration, except to the extent, but only to the extent, that (A) such untrue statements, alleged untrue statements,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approved in writing by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64" w:name="page465"/>
    <w:bookmarkEnd w:id="464"/>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Holder expressly for use in the Registration Statement, such Prospectus or such form of Prospectus or in any amendment or supplement thereto (it being understood that each Holder has approved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for this purpose), (B) in the case of an occurrence of an event of the type specified in </w:t>
      </w:r>
      <w:r>
        <w:rPr>
          <w:rFonts w:ascii="Arial" w:cs="Arial" w:eastAsia="Arial" w:hAnsi="Arial"/>
          <w:sz w:val="16"/>
          <w:szCs w:val="16"/>
          <w:u w:val="single" w:color="auto"/>
          <w:color w:val="auto"/>
        </w:rPr>
        <w:t>Section 3(c)(iii)-(vi)</w:t>
      </w:r>
      <w:r>
        <w:rPr>
          <w:rFonts w:ascii="Arial" w:cs="Arial" w:eastAsia="Arial" w:hAnsi="Arial"/>
          <w:sz w:val="16"/>
          <w:szCs w:val="16"/>
          <w:color w:val="auto"/>
        </w:rPr>
        <w:t xml:space="preserve">, related to the use by a Holder of an outdated or defective Prospectus after the Company has notified such Holder in writing that the Prospectus is outdated or defective and prior to the receipt by such Holder of the Advice contemplated and defined in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below, to the extent that following the receipt of the Advice the misstatement or omission giving rise to such Loss would have been corrected or (C) to the extent that any such Losses arise out of the Purchaser’s (or any other indemnified Person’s) failure to send or give a copy of the Prospectus or supplement (as then amended or supplemented), if required, pursuant to Rule 172 under the Securities Act (or any successor rule) to the Persons asserting an untrue statement or alleged untrue statement or alleged untrue statement or omission or alleged omission at or prior to the written confirmation of the sale of Registrable Securities to such Person if such statement or omission was corrected in such Prospectus or supplement.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an Indemnified Party (as defined in </w:t>
      </w:r>
      <w:r>
        <w:rPr>
          <w:rFonts w:ascii="Arial" w:cs="Arial" w:eastAsia="Arial" w:hAnsi="Arial"/>
          <w:sz w:val="16"/>
          <w:szCs w:val="16"/>
          <w:u w:val="single" w:color="auto"/>
          <w:color w:val="auto"/>
        </w:rPr>
        <w:t>Section 5(c)</w:t>
      </w:r>
      <w:r>
        <w:rPr>
          <w:rFonts w:ascii="Arial" w:cs="Arial" w:eastAsia="Arial" w:hAnsi="Arial"/>
          <w:sz w:val="16"/>
          <w:szCs w:val="16"/>
          <w:color w:val="auto"/>
        </w:rPr>
        <w:t>) and shall survive the transfer of the Registrable Securities by the Holders.</w:t>
      </w:r>
    </w:p>
    <w:p>
      <w:pPr>
        <w:spacing w:after="0" w:line="168" w:lineRule="exact"/>
        <w:rPr>
          <w:sz w:val="20"/>
          <w:szCs w:val="20"/>
          <w:color w:val="auto"/>
        </w:rPr>
      </w:pPr>
    </w:p>
    <w:p>
      <w:pPr>
        <w:ind w:firstLine="1428"/>
        <w:spacing w:after="0" w:line="268" w:lineRule="auto"/>
        <w:tabs>
          <w:tab w:leader="none" w:pos="1822"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Holders</w:t>
      </w:r>
      <w:r>
        <w:rPr>
          <w:rFonts w:ascii="Arial" w:cs="Arial" w:eastAsia="Arial" w:hAnsi="Arial"/>
          <w:sz w:val="17"/>
          <w:szCs w:val="17"/>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arising out of or are based solely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(i) to the extent that such untrue statements or omissions are based solely upon information regarding such Holder furnished in writing to the Company by such Holder expressly for use therein or (ii) to the extent that such information relates to such Holder or such Holder’s proposed method of distribution of Registrable Securities and was reviewed and approved in writing by such Holder expressly for use in a Registration Statement (it being understood that the Holder has approved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for this purpose), such Prospectus or such form of Prospectus or in any amendment or supplement thereto or (iii) in the case of an occurrence of an event of the type specified in </w:t>
      </w:r>
      <w:r>
        <w:rPr>
          <w:rFonts w:ascii="Arial" w:cs="Arial" w:eastAsia="Arial" w:hAnsi="Arial"/>
          <w:sz w:val="17"/>
          <w:szCs w:val="17"/>
          <w:u w:val="single" w:color="auto"/>
          <w:color w:val="auto"/>
        </w:rPr>
        <w:t>Section 3(c)(iii)-(vi)</w:t>
      </w:r>
      <w:r>
        <w:rPr>
          <w:rFonts w:ascii="Arial" w:cs="Arial" w:eastAsia="Arial" w:hAnsi="Arial"/>
          <w:sz w:val="17"/>
          <w:szCs w:val="17"/>
          <w:color w:val="auto"/>
        </w:rPr>
        <w:t xml:space="preserve">, to the extent related to the use by such Holder of an outdated or defective Prospectus after the Company has notified such Holder in writing that the Prospectus is outdated or defective and prior to the receipt by such Holder of the Advice contemplated in </w:t>
      </w:r>
      <w:r>
        <w:rPr>
          <w:rFonts w:ascii="Arial" w:cs="Arial" w:eastAsia="Arial" w:hAnsi="Arial"/>
          <w:sz w:val="17"/>
          <w:szCs w:val="17"/>
          <w:u w:val="single" w:color="auto"/>
          <w:color w:val="auto"/>
        </w:rPr>
        <w:t>Section 6(d)</w:t>
      </w:r>
      <w:r>
        <w:rPr>
          <w:rFonts w:ascii="Arial" w:cs="Arial" w:eastAsia="Arial" w:hAnsi="Arial"/>
          <w:sz w:val="17"/>
          <w:szCs w:val="17"/>
          <w:color w:val="auto"/>
        </w:rPr>
        <w:t>.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79" w:lineRule="exact"/>
        <w:rPr>
          <w:rFonts w:ascii="Arial" w:cs="Arial" w:eastAsia="Arial" w:hAnsi="Arial"/>
          <w:sz w:val="17"/>
          <w:szCs w:val="17"/>
          <w:color w:val="auto"/>
        </w:rPr>
      </w:pPr>
    </w:p>
    <w:p>
      <w:pPr>
        <w:ind w:firstLine="1428"/>
        <w:spacing w:after="0" w:line="291" w:lineRule="auto"/>
        <w:tabs>
          <w:tab w:leader="none" w:pos="1812"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If any Proceeding shall be brought or asserted against any Person entitled to indemnity hereunder (an “</w:t>
      </w:r>
      <w:r>
        <w:rPr>
          <w:rFonts w:ascii="Arial" w:cs="Arial" w:eastAsia="Arial" w:hAnsi="Arial"/>
          <w:sz w:val="16"/>
          <w:szCs w:val="16"/>
          <w:i w:val="1"/>
          <w:iCs w:val="1"/>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i w:val="1"/>
          <w:iCs w:val="1"/>
          <w:color w:val="auto"/>
        </w:rPr>
        <w:t>Indemnifying Party</w:t>
      </w:r>
      <w:r>
        <w:rPr>
          <w:rFonts w:ascii="Arial" w:cs="Arial" w:eastAsia="Arial" w:hAnsi="Arial"/>
          <w:sz w:val="16"/>
          <w:szCs w:val="16"/>
          <w:color w:val="auto"/>
        </w:rPr>
        <w:t xml:space="preserve">”) in writing, and the Indemnifying Party shall have the right to assume the defense thereof, including the employment of counsel reasonably satisfactory to the Indemnified Party and the payment of all reasonable fees, expenses and disbursements incurred in connection with defense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65" w:name="page466"/>
    <w:bookmarkEnd w:id="465"/>
    <w:p>
      <w:pPr>
        <w:ind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Indemnified Party shall have the right to employ separate counsel in any such Proceeding and to participate in the defense thereof, but the fees, expenses and disbursements of such counsel shall be at the expense of such Indemnified Party or Indemnified Parties unless: (1) the Indemnifying Party has agreed in writing to pay such fees, expenses and amounts;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exists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that the Indemnifying Party shall not be liable for the fees, expenses and disbursements of more than one separate firm of attorneys at any time for all Indemnified Parties.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7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Subject to the terms of this Agreement, all fees, expenses and disbursements of the Indemnified Party (including reasonable fees, expenses and disbursements to the extent incurred in connection with investigating or preparing to defend such Proceeding in a manner not inconsistent with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paid to the Indemnified Party, as incurred, within 20 Trading Days of written notice thereof to the Indemnifying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Indemnified Party shall promptly reimburse the Indemnifying Party for that portion of such fees, expenses and disbursements applicable to such actions for which such Indemnified Party is finally judicially determined to not be entitled to indemnification hereunder. The failure to deliver written notice to the Indemnifying Party within a reasonable time of the commencement of any such action shall not relieve such Indemnifying Party of any liability to the Indemnified Party under this </w:t>
      </w:r>
      <w:r>
        <w:rPr>
          <w:rFonts w:ascii="Arial" w:cs="Arial" w:eastAsia="Arial" w:hAnsi="Arial"/>
          <w:sz w:val="18"/>
          <w:szCs w:val="18"/>
          <w:u w:val="single" w:color="auto"/>
          <w:color w:val="auto"/>
        </w:rPr>
        <w:t>Section 5</w:t>
      </w:r>
      <w:r>
        <w:rPr>
          <w:rFonts w:ascii="Arial" w:cs="Arial" w:eastAsia="Arial" w:hAnsi="Arial"/>
          <w:sz w:val="18"/>
          <w:szCs w:val="18"/>
          <w:color w:val="auto"/>
        </w:rPr>
        <w:t>, except to the extent that the Indemnifying Party is materially and adversely prejudiced in its ability to defend such action.</w:t>
      </w:r>
    </w:p>
    <w:p>
      <w:pPr>
        <w:spacing w:after="0" w:line="192" w:lineRule="exact"/>
        <w:rPr>
          <w:sz w:val="20"/>
          <w:szCs w:val="20"/>
          <w:color w:val="auto"/>
        </w:rPr>
      </w:pPr>
    </w:p>
    <w:p>
      <w:pPr>
        <w:ind w:firstLine="1428"/>
        <w:spacing w:after="0" w:line="287" w:lineRule="auto"/>
        <w:tabs>
          <w:tab w:leader="none" w:pos="1822"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a claim for indemnification under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xml:space="preserve"> is unavailable to an Indemnified Party or insufficient to hold an Indemnified Party harmless for any Losses,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expenses or disbursements incurred by such party in connection with any Proceeding to the extent such party would have been indemnified for such fees, expenses or disbursements if the indemnification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was available to such party in accordance with its terms.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66" w:name="page467"/>
    <w:bookmarkEnd w:id="466"/>
    <w:p>
      <w:pPr>
        <w:ind w:right="20"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hereto agree that it would not be just and equitable if contribution pursuant to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(A)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and (B) no contribution will be made under circumstances where the maker of such contribution would not have been required to indemnify the Indemnified Party under the fault standards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 No person guilty of fraudulent misrepresentation (within the meaning of Section 11(f) of the Securities Act) shall be entitled to contribution from any Person who was not guilty of such fraudulent misrepresentation.</w:t>
      </w:r>
    </w:p>
    <w:p>
      <w:pPr>
        <w:spacing w:after="0" w:line="16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The indemnity and contribution agreements contained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are in addition to any liability that the Indemnifying Parties may have to the Indemnified Parties and are not in diminution or limitation of the indemnification provisions under the Purchase Agreement.</w:t>
      </w:r>
    </w:p>
    <w:p>
      <w:pPr>
        <w:spacing w:after="0" w:line="254" w:lineRule="exact"/>
        <w:rPr>
          <w:sz w:val="20"/>
          <w:szCs w:val="20"/>
          <w:color w:val="auto"/>
        </w:rPr>
      </w:pPr>
    </w:p>
    <w:p>
      <w:pPr>
        <w:ind w:left="760" w:hanging="324"/>
        <w:spacing w:after="0"/>
        <w:tabs>
          <w:tab w:leader="none" w:pos="76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73" w:lineRule="auto"/>
        <w:tabs>
          <w:tab w:leader="none" w:pos="1812"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seek specific performance of its rights under this Agreement, without the requirement of posting a bond.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77" w:lineRule="exact"/>
        <w:rPr>
          <w:rFonts w:ascii="Arial" w:cs="Arial" w:eastAsia="Arial" w:hAnsi="Arial"/>
          <w:sz w:val="17"/>
          <w:szCs w:val="17"/>
          <w:color w:val="auto"/>
        </w:rPr>
      </w:pPr>
    </w:p>
    <w:p>
      <w:pPr>
        <w:ind w:right="40" w:firstLine="1428"/>
        <w:spacing w:after="0" w:line="296" w:lineRule="auto"/>
        <w:tabs>
          <w:tab w:leader="none" w:pos="1822"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No Piggyback on Registrations; Prohibition on Filing Other Registration Statements</w:t>
      </w:r>
      <w:r>
        <w:rPr>
          <w:rFonts w:ascii="Arial" w:cs="Arial" w:eastAsia="Arial" w:hAnsi="Arial"/>
          <w:sz w:val="16"/>
          <w:szCs w:val="16"/>
          <w:color w:val="auto"/>
        </w:rPr>
        <w:t>. Except and to the extent specified in the Purchase Agreement, neither the Company nor any of its security holders (other than the Holders in such capacity pursuant hereto) may include securities of the Company in a Registration Statement other than the Registrable Securities and the Company shall not prior to the Effective Date enter into any agreement providing any such right to any of its security holders. For the avoidance of doubt, the provisions of this Agreement shall not impact the terms of any lock-up agreement entered into by Purchaser for the benefit of the Company on or about the date hereof.</w:t>
      </w:r>
    </w:p>
    <w:p>
      <w:pPr>
        <w:spacing w:after="0" w:line="161" w:lineRule="exact"/>
        <w:rPr>
          <w:rFonts w:ascii="Arial" w:cs="Arial" w:eastAsia="Arial" w:hAnsi="Arial"/>
          <w:sz w:val="16"/>
          <w:szCs w:val="16"/>
          <w:color w:val="auto"/>
        </w:rPr>
      </w:pPr>
    </w:p>
    <w:p>
      <w:pPr>
        <w:ind w:right="80" w:firstLine="1428"/>
        <w:spacing w:after="0" w:line="279" w:lineRule="auto"/>
        <w:tabs>
          <w:tab w:leader="none" w:pos="1812"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Each Holder covenants and agrees that it will comply with the prospectus delivery requirements of the Securities Act as applicable to it (unless an exemption therefrom is available) in connection with sales of Registrable Securities pursuant to the Registration Statement and shall sell the Registrable Securities only in accordance with a method of distribution described in the Registration Statement, or pursuant to an exemption from, or in a transaction not subject to, the registration requirements of the Securities Act.</w:t>
      </w:r>
    </w:p>
    <w:p>
      <w:pPr>
        <w:spacing w:after="0" w:line="171" w:lineRule="exact"/>
        <w:rPr>
          <w:rFonts w:ascii="Arial" w:cs="Arial" w:eastAsia="Arial" w:hAnsi="Arial"/>
          <w:sz w:val="17"/>
          <w:szCs w:val="17"/>
          <w:color w:val="auto"/>
        </w:rPr>
      </w:pPr>
    </w:p>
    <w:p>
      <w:pPr>
        <w:jc w:val="both"/>
        <w:ind w:right="200" w:firstLine="1428"/>
        <w:spacing w:after="0" w:line="259" w:lineRule="auto"/>
        <w:tabs>
          <w:tab w:leader="none" w:pos="1822" w:val="left"/>
        </w:tabs>
        <w:numPr>
          <w:ilvl w:val="1"/>
          <w:numId w:val="332"/>
        </w:numPr>
        <w:rPr>
          <w:rFonts w:ascii="Arial" w:cs="Arial" w:eastAsia="Arial" w:hAnsi="Arial"/>
          <w:sz w:val="18"/>
          <w:szCs w:val="18"/>
          <w:color w:val="auto"/>
        </w:rPr>
      </w:pPr>
      <w:r>
        <w:rPr>
          <w:rFonts w:ascii="Arial" w:cs="Arial" w:eastAsia="Arial" w:hAnsi="Arial"/>
          <w:sz w:val="18"/>
          <w:szCs w:val="18"/>
          <w:u w:val="single" w:color="auto"/>
          <w:color w:val="auto"/>
        </w:rPr>
        <w:t>Discontinued Disposition</w:t>
      </w:r>
      <w:r>
        <w:rPr>
          <w:rFonts w:ascii="Arial" w:cs="Arial" w:eastAsia="Arial" w:hAnsi="Arial"/>
          <w:sz w:val="18"/>
          <w:szCs w:val="18"/>
          <w:color w:val="auto"/>
        </w:rPr>
        <w:t xml:space="preserve">. By its acquisition of Registrable Securities, each Holder agrees that, upon receipt of a notice from the Company of the occurrence of any event of the kind described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r>
        <w:rPr>
          <w:rFonts w:ascii="Arial" w:cs="Arial" w:eastAsia="Arial" w:hAnsi="Arial"/>
          <w:sz w:val="18"/>
          <w:szCs w:val="18"/>
          <w:u w:val="single" w:color="auto"/>
          <w:color w:val="auto"/>
        </w:rPr>
        <w:t>iii</w:t>
      </w:r>
      <w:r>
        <w:rPr>
          <w:rFonts w:ascii="Arial" w:cs="Arial" w:eastAsia="Arial" w:hAnsi="Arial"/>
          <w:sz w:val="18"/>
          <w:szCs w:val="18"/>
          <w:color w:val="auto"/>
        </w:rPr>
        <w:t>)-(</w:t>
      </w:r>
      <w:r>
        <w:rPr>
          <w:rFonts w:ascii="Arial" w:cs="Arial" w:eastAsia="Arial" w:hAnsi="Arial"/>
          <w:sz w:val="18"/>
          <w:szCs w:val="18"/>
          <w:u w:val="single" w:color="auto"/>
          <w:color w:val="auto"/>
        </w:rPr>
        <w:t>vi</w:t>
      </w:r>
      <w:r>
        <w:rPr>
          <w:rFonts w:ascii="Arial" w:cs="Arial" w:eastAsia="Arial" w:hAnsi="Arial"/>
          <w:sz w:val="18"/>
          <w:szCs w:val="18"/>
          <w:color w:val="auto"/>
        </w:rPr>
        <w:t>), such Holder will forthwith discontinue disposition of such Registrable Securities under a Registration Statement until it is advised in writing (the “</w:t>
      </w:r>
      <w:r>
        <w:rPr>
          <w:rFonts w:ascii="Arial" w:cs="Arial" w:eastAsia="Arial" w:hAnsi="Arial"/>
          <w:sz w:val="18"/>
          <w:szCs w:val="18"/>
          <w:i w:val="1"/>
          <w:iCs w:val="1"/>
          <w:color w:val="auto"/>
        </w:rPr>
        <w:t>Advice</w:t>
      </w:r>
      <w:r>
        <w:rPr>
          <w:rFonts w:ascii="Arial" w:cs="Arial" w:eastAsia="Arial" w:hAnsi="Arial"/>
          <w:sz w:val="18"/>
          <w:szCs w:val="18"/>
          <w:color w:val="auto"/>
        </w:rPr>
        <w:t>”) by the Company that the use of the applicable Prospectus (as it may have been supplemented or amended) may be resumed.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467" w:name="page468"/>
    <w:bookmarkEnd w:id="467"/>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will use its commercially reasonable efforts to ensure that the use of the Prospectus may be resumed as promptly as is practicable. Notwithstanding anything herein to the contrary, no Holder shall be required to discontinue disposition of Registrable Securities under a Registration Statement by virtue of the delivery by the Company of a notice of the occurrence of any event of the kind described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r>
        <w:rPr>
          <w:rFonts w:ascii="Arial" w:cs="Arial" w:eastAsia="Arial" w:hAnsi="Arial"/>
          <w:sz w:val="18"/>
          <w:szCs w:val="18"/>
          <w:u w:val="single" w:color="auto"/>
          <w:color w:val="auto"/>
        </w:rPr>
        <w:t>vi</w:t>
      </w:r>
      <w:r>
        <w:rPr>
          <w:rFonts w:ascii="Arial" w:cs="Arial" w:eastAsia="Arial" w:hAnsi="Arial"/>
          <w:sz w:val="18"/>
          <w:szCs w:val="18"/>
          <w:color w:val="auto"/>
        </w:rPr>
        <w:t>) on more than two occasions or for more than 90 total calendar days, in each case during any twelve-month period, or for more than 45 calendar days during any 90-day period.</w:t>
      </w:r>
    </w:p>
    <w:p>
      <w:pPr>
        <w:spacing w:after="0" w:line="188" w:lineRule="exact"/>
        <w:rPr>
          <w:sz w:val="20"/>
          <w:szCs w:val="20"/>
          <w:color w:val="auto"/>
        </w:rPr>
      </w:pPr>
    </w:p>
    <w:p>
      <w:pPr>
        <w:ind w:left="4" w:right="220" w:firstLine="1428"/>
        <w:spacing w:after="0" w:line="263" w:lineRule="auto"/>
        <w:tabs>
          <w:tab w:leader="none" w:pos="1816" w:val="left"/>
        </w:tabs>
        <w:numPr>
          <w:ilvl w:val="1"/>
          <w:numId w:val="333"/>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Neither the Company nor any of its subsidiaries has entered, as of the date hereof, nor shall the Company or any of its subsidiaries, on or after the date hereof, enter into any agreement with respect to its securities, that would have the effect of impairing the rights granted to the Holders in this Agreement or otherwise conflicts with the provisions hereof.</w:t>
      </w:r>
    </w:p>
    <w:p>
      <w:pPr>
        <w:spacing w:after="0" w:line="183" w:lineRule="exact"/>
        <w:rPr>
          <w:rFonts w:ascii="Arial" w:cs="Arial" w:eastAsia="Arial" w:hAnsi="Arial"/>
          <w:sz w:val="18"/>
          <w:szCs w:val="18"/>
          <w:color w:val="auto"/>
        </w:rPr>
      </w:pPr>
    </w:p>
    <w:p>
      <w:pPr>
        <w:ind w:left="4" w:right="80" w:firstLine="1428"/>
        <w:spacing w:after="0" w:line="286" w:lineRule="auto"/>
        <w:tabs>
          <w:tab w:leader="none" w:pos="1796" w:val="left"/>
        </w:tabs>
        <w:numPr>
          <w:ilvl w:val="1"/>
          <w:numId w:val="333"/>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including the provisions of this sentence, may not be amended, modified or supplemented, or waived unless the same shall be in writing and signed by the Company and Holders holding no less than a majority of the then outstanding Registrable Securities, provided that (i) any party may give a waiver as to itself and (ii) any proposed amendment that would, by its terms, have a disproportionate and materially adverse effect on any Holder shall require the consent of such Holder(s). Notwithstanding the foregoing,</w:t>
      </w:r>
    </w:p>
    <w:p>
      <w:pPr>
        <w:spacing w:after="0" w:line="1" w:lineRule="exact"/>
        <w:rPr>
          <w:rFonts w:ascii="Arial" w:cs="Arial" w:eastAsia="Arial" w:hAnsi="Arial"/>
          <w:sz w:val="16"/>
          <w:szCs w:val="16"/>
          <w:color w:val="auto"/>
        </w:rPr>
      </w:pPr>
    </w:p>
    <w:p>
      <w:pPr>
        <w:ind w:left="4" w:right="300" w:hanging="4"/>
        <w:spacing w:after="0" w:line="295" w:lineRule="auto"/>
        <w:tabs>
          <w:tab w:leader="none" w:pos="259"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and (2) none of the definitions of Filing Deadline, Effectiveness Deadline or Effectiveness Period, Section 2(e), Section 3(c), Section 5, Section 6(d), or the provisions of this sentence, may be amended, modified, or supplemented except with the consent of each Holder.</w:t>
      </w:r>
    </w:p>
    <w:p>
      <w:pPr>
        <w:spacing w:after="0" w:line="161" w:lineRule="exact"/>
        <w:rPr>
          <w:rFonts w:ascii="Arial" w:cs="Arial" w:eastAsia="Arial" w:hAnsi="Arial"/>
          <w:sz w:val="16"/>
          <w:szCs w:val="16"/>
          <w:color w:val="auto"/>
        </w:rPr>
      </w:pPr>
    </w:p>
    <w:p>
      <w:pPr>
        <w:ind w:left="4" w:right="340" w:firstLine="1428"/>
        <w:spacing w:after="0" w:line="277" w:lineRule="auto"/>
        <w:tabs>
          <w:tab w:leader="none" w:pos="1826"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170" w:lineRule="exact"/>
        <w:rPr>
          <w:rFonts w:ascii="Arial" w:cs="Arial" w:eastAsia="Arial" w:hAnsi="Arial"/>
          <w:sz w:val="18"/>
          <w:szCs w:val="18"/>
          <w:color w:val="auto"/>
        </w:rPr>
      </w:pPr>
    </w:p>
    <w:p>
      <w:pPr>
        <w:ind w:left="4" w:right="20" w:firstLine="1428"/>
        <w:spacing w:after="0" w:line="268" w:lineRule="auto"/>
        <w:tabs>
          <w:tab w:leader="none" w:pos="1826" w:val="left"/>
        </w:tabs>
        <w:numPr>
          <w:ilvl w:val="1"/>
          <w:numId w:val="33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inure to the benefit of and be binding upon the successors and permitted assigns of each of the parties and shall inure to the benefit of each Holder.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The Company may not assign its rights (except by merger or in connection with another entity acquiring all or substantially all of the Company’s assets) or obligations hereunder without the prior written consent of all the Holders of the then outstanding Registrable Securities. Each Holder may assign its respective rights hereunder in the manner and to the Persons as permitted under the Purchase Agreement; provided in each case that (i) the Holder agrees in writing with the transferee or assignee to assign such rights and related obligations under this Agreement, and for the transferee or assignee to assume such obligations, and a copy of such agreement is furnished to the Company within a reasonable time after such assignment, (ii) the Company is, within a reasonable time after such transfer or assignment, furnished with written notice of the name and address of such transferee or assignee and the securities with respect to which such registration rights are being transferred or assigned, (iii) at or before the time the Company received the written notice contemplated by clause (ii) of this sentence, the transferee or assignee agrees in writing with the Company to be bound by all of the provisions contained herein and (iv) the transferee is an “accredited investor,” as that term is defined in Rule 501 of Regulation D.</w:t>
      </w:r>
    </w:p>
    <w:p>
      <w:pPr>
        <w:spacing w:after="0" w:line="186" w:lineRule="exact"/>
        <w:rPr>
          <w:rFonts w:ascii="Arial" w:cs="Arial" w:eastAsia="Arial" w:hAnsi="Arial"/>
          <w:sz w:val="17"/>
          <w:szCs w:val="17"/>
          <w:color w:val="auto"/>
        </w:rPr>
      </w:pPr>
    </w:p>
    <w:p>
      <w:pPr>
        <w:ind w:left="4" w:right="240" w:firstLine="1428"/>
        <w:spacing w:after="0" w:line="286" w:lineRule="auto"/>
        <w:tabs>
          <w:tab w:leader="none" w:pos="1786" w:val="left"/>
        </w:tabs>
        <w:numPr>
          <w:ilvl w:val="1"/>
          <w:numId w:val="334"/>
        </w:numPr>
        <w:rPr>
          <w:rFonts w:ascii="Arial" w:cs="Arial" w:eastAsia="Arial" w:hAnsi="Arial"/>
          <w:sz w:val="17"/>
          <w:szCs w:val="17"/>
          <w:color w:val="auto"/>
        </w:rPr>
      </w:pPr>
      <w:r>
        <w:rPr>
          <w:rFonts w:ascii="Arial" w:cs="Arial" w:eastAsia="Arial" w:hAnsi="Arial"/>
          <w:sz w:val="17"/>
          <w:szCs w:val="17"/>
          <w:u w:val="single" w:color="auto"/>
          <w:color w:val="auto"/>
        </w:rPr>
        <w:t>Execution and Counterparts</w:t>
      </w:r>
      <w:r>
        <w:rPr>
          <w:rFonts w:ascii="Arial" w:cs="Arial" w:eastAsia="Arial" w:hAnsi="Arial"/>
          <w:sz w:val="17"/>
          <w:szCs w:val="17"/>
          <w:color w:val="auto"/>
        </w:rPr>
        <w:t>.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both parties need not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68" w:name="page469"/>
    <w:bookmarkEnd w:id="46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 the same counterpart.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right="120" w:firstLine="1428"/>
        <w:spacing w:after="0" w:line="277" w:lineRule="auto"/>
        <w:tabs>
          <w:tab w:leader="none" w:pos="1782"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170" w:lineRule="exact"/>
        <w:rPr>
          <w:rFonts w:ascii="Arial" w:cs="Arial" w:eastAsia="Arial" w:hAnsi="Arial"/>
          <w:sz w:val="18"/>
          <w:szCs w:val="18"/>
          <w:color w:val="auto"/>
        </w:rPr>
      </w:pPr>
    </w:p>
    <w:p>
      <w:pPr>
        <w:ind w:left="1820" w:hanging="392"/>
        <w:spacing w:after="0"/>
        <w:tabs>
          <w:tab w:leader="none" w:pos="1820"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Cumulative Remedies</w:t>
      </w:r>
      <w:r>
        <w:rPr>
          <w:rFonts w:ascii="Arial" w:cs="Arial" w:eastAsia="Arial" w:hAnsi="Arial"/>
          <w:sz w:val="16"/>
          <w:szCs w:val="16"/>
          <w:color w:val="auto"/>
        </w:rPr>
        <w:t>. The remedies provided herein are cumulative and not exclusive of any other remedies provided by law.</w:t>
      </w:r>
    </w:p>
    <w:p>
      <w:pPr>
        <w:spacing w:after="0" w:line="248" w:lineRule="exact"/>
        <w:rPr>
          <w:rFonts w:ascii="Arial" w:cs="Arial" w:eastAsia="Arial" w:hAnsi="Arial"/>
          <w:sz w:val="16"/>
          <w:szCs w:val="16"/>
          <w:color w:val="auto"/>
        </w:rPr>
      </w:pPr>
    </w:p>
    <w:p>
      <w:pPr>
        <w:ind w:right="100" w:firstLine="1428"/>
        <w:spacing w:after="0" w:line="273" w:lineRule="auto"/>
        <w:tabs>
          <w:tab w:leader="none" w:pos="1782"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good faith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7" w:lineRule="exact"/>
        <w:rPr>
          <w:rFonts w:ascii="Arial" w:cs="Arial" w:eastAsia="Arial" w:hAnsi="Arial"/>
          <w:sz w:val="17"/>
          <w:szCs w:val="17"/>
          <w:color w:val="auto"/>
        </w:rPr>
      </w:pPr>
    </w:p>
    <w:p>
      <w:pPr>
        <w:ind w:left="1860" w:hanging="432"/>
        <w:spacing w:after="0"/>
        <w:tabs>
          <w:tab w:leader="none" w:pos="1860"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only and shall not limit or otherwise affect the meaning hereof.</w:t>
      </w:r>
    </w:p>
    <w:p>
      <w:pPr>
        <w:spacing w:after="0" w:line="248" w:lineRule="exact"/>
        <w:rPr>
          <w:rFonts w:ascii="Arial" w:cs="Arial" w:eastAsia="Arial" w:hAnsi="Arial"/>
          <w:sz w:val="16"/>
          <w:szCs w:val="16"/>
          <w:color w:val="auto"/>
        </w:rPr>
      </w:pPr>
    </w:p>
    <w:p>
      <w:pPr>
        <w:ind w:firstLine="1428"/>
        <w:spacing w:after="0" w:line="285" w:lineRule="auto"/>
        <w:tabs>
          <w:tab w:leader="none" w:pos="1822"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this Agreement are several and not joint with the obligations of any other Purchaser hereunder, and no Purchaser shall be responsible in any way for the performance of the obligations of any other Purchaser hereunder.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(including, without limitation, a “group” within the meaning of Section 13(d)(3) of the Exchange Act)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The Company acknowledges that each of the Purchasers has been provided with the same Registration Rights Agreement for the purpose of closing a transaction with multiple Purchasers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69" w:name="page470"/>
    <w:bookmarkEnd w:id="469"/>
    <w:p>
      <w:pPr>
        <w:ind w:left="-80" w:firstLine="1428"/>
        <w:spacing w:after="0" w:line="293" w:lineRule="auto"/>
        <w:tabs>
          <w:tab w:leader="none" w:pos="1742"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Current Public Information</w:t>
      </w:r>
      <w:r>
        <w:rPr>
          <w:rFonts w:ascii="Arial" w:cs="Arial" w:eastAsia="Arial" w:hAnsi="Arial"/>
          <w:sz w:val="16"/>
          <w:szCs w:val="16"/>
          <w:color w:val="auto"/>
        </w:rPr>
        <w:t>. With a view to making available to the Holders the benefits of Rule 144 (or its successor rule) and any other rule or regulation of the Commission that may at any time permit the Holders to sell shares of Common Stock to the public without registration, the Company covenants and agrees to use commercially reasonable efforts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520" w:top="274" w:right="519" w:bottom="1440" w:gutter="0" w:footer="0" w:header="0"/>
        </w:sectPr>
      </w:pPr>
    </w:p>
    <w:bookmarkStart w:id="470" w:name="page471"/>
    <w:bookmarkEnd w:id="4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Registration Rights Agreement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AEGLEA BIOTHERAPEUTICS,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-10160</wp:posOffset>
            </wp:positionV>
            <wp:extent cx="22561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2">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9039"/>
          </w:cols>
          <w:pgMar w:left="1420" w:top="274" w:right="1440" w:bottom="1440" w:gutter="0" w:footer="0" w:header="0"/>
        </w:sectPr>
      </w:pPr>
    </w:p>
    <w:bookmarkStart w:id="471" w:name="page472"/>
    <w:bookmarkEnd w:id="4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Registration Rights Agreement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INVESTING ENTITY]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39"/>
          </w:cols>
          <w:pgMar w:left="1420" w:top="274" w:right="1440" w:bottom="1440" w:gutter="0" w:footer="0" w:header="0"/>
        </w:sectPr>
      </w:pPr>
    </w:p>
    <w:bookmarkStart w:id="472" w:name="page473"/>
    <w:bookmarkEnd w:id="47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PLAN OF DISTRIBUTION</w:t>
      </w:r>
      <w:r>
        <w:rPr>
          <w:rFonts w:ascii="Arial" w:cs="Arial" w:eastAsia="Arial" w:hAnsi="Arial"/>
          <w:sz w:val="26"/>
          <w:szCs w:val="26"/>
          <w:color w:val="auto"/>
          <w:vertAlign w:val="superscript"/>
        </w:rPr>
        <w:t>1</w:t>
      </w:r>
    </w:p>
    <w:p>
      <w:pPr>
        <w:spacing w:after="0" w:line="133"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We are registering the shares of common stock of Aeglea BioTherapeutics, Inc., par value of $0.0001 per share, or the Common Stock, which we refer to herein as “Shares,” issued to the selling stockholders to permit the sale, transfer or other disposition of the Shares by the selling stockholders or their donees, pledgees, transferees or other successors-in-interest from time to time after the date of this prospectus. We will not receive any of the proceeds from the sale by the selling stockholders of the Shares. We will, or will procure to, bear all fees and expenses incident to our obligation to register the Shares.</w:t>
      </w:r>
    </w:p>
    <w:p>
      <w:pPr>
        <w:spacing w:after="0" w:line="188"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The selling stockholders may sell all or a portion of the Shares beneficially owned by them and offered hereby from time to time directly or through one or more underwriters, broker-dealers or agents. If the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w:t>
      </w:r>
    </w:p>
    <w:p>
      <w:pPr>
        <w:spacing w:after="0" w:line="84" w:lineRule="exact"/>
        <w:rPr>
          <w:sz w:val="20"/>
          <w:szCs w:val="20"/>
          <w:color w:val="auto"/>
        </w:rPr>
      </w:pPr>
    </w:p>
    <w:p>
      <w:pPr>
        <w:ind w:left="964" w:hanging="424"/>
        <w:spacing w:after="0"/>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964" w:right="680" w:hanging="424"/>
        <w:spacing w:after="0" w:line="277" w:lineRule="auto"/>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or through underwriters or purchases by a broker-dealer as principal and resale by the broker-dealer for its account;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37"/>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964" w:right="520" w:hanging="424"/>
        <w:spacing w:after="0" w:line="277" w:lineRule="auto"/>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such options are listed on an options exchange or otherwise;</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as amended, or the Securities Act, as permitted by that rule, or Section 4(a)(1) under the Securities Act, if available, rather than under this prospectus, provided that they meet the criteria and conform to the requirements of those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338"/>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Definitions to be conformed to resale S-3.</w:t>
      </w:r>
    </w:p>
    <w:p>
      <w:pPr>
        <w:sectPr>
          <w:pgSz w:w="11900" w:h="16838" w:orient="portrait"/>
          <w:cols w:equalWidth="0" w:num="1">
            <w:col w:w="11024"/>
          </w:cols>
          <w:pgMar w:left="436" w:top="274" w:right="439" w:bottom="1440" w:gutter="0" w:footer="0" w:header="0"/>
        </w:sectPr>
      </w:pPr>
    </w:p>
    <w:bookmarkStart w:id="473" w:name="page474"/>
    <w:bookmarkEnd w:id="473"/>
    <w:p>
      <w:pPr>
        <w:ind w:right="1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Broker-dealers engaged by the selling stockholders may arrange for other broker-dealers to participate in sales. If the selling stockholders effect such transactions by selling Shares to or through underwriters, broker-dealers or agents, such underwriters, broker-dealers or agents may receive commissions in the form of discounts, concessions or commissions from the selling stockholders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6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connection with sales of the Shares or otherwise, the selling stockholders may enter into hedging transactions with broker-dealers or other financial institutions, which may in turn engage in short sales of the Shares in the course of hedging in positions they assume. The selling stockholders may also sell Shares short and if such short sale takes place after the date that this Registration Statement is declared effective by the Commission, the selling stockholders may deliver Shares covered by this prospectus to close out short positions and to return borrowed Shares in connection with such short sales. The selling stockholders may also loan or pledge Shares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18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owned by them and, if they default in the performance of their secured obligations, the pledgees or secured parties may offer and sell the Shares from time to time pursuant to this prospectus or any amendment to this prospectus under Rule 424(b)(3) or other applicable provision of the Securities Act of 1933, amending, if necessary, the list of selling stockholders to include the pledgee, transferee or other successors in interest as selling stockholders under this prospectus. The selling stockholders also may transfer and donate the Shares in other circumstances in which case the transferees, donees, pledgees or other successors in interest will be the selling beneficial owners for purposes of this prospectus.</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selling stockholders and any broker-dealer or agents participating in the distribution of the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as amended, or the Exchange Act.</w:t>
      </w:r>
    </w:p>
    <w:p>
      <w:pPr>
        <w:sectPr>
          <w:pgSz w:w="11900" w:h="16838" w:orient="portrait"/>
          <w:cols w:equalWidth="0" w:num="1">
            <w:col w:w="10980"/>
          </w:cols>
          <w:pgMar w:left="440" w:top="274" w:right="479" w:bottom="1440" w:gutter="0" w:footer="0" w:header="0"/>
        </w:sectPr>
      </w:pPr>
    </w:p>
    <w:bookmarkStart w:id="474" w:name="page475"/>
    <w:bookmarkEnd w:id="474"/>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selling stockholder has informed the Company that it is not a registered broker-dealer and does not have any written or oral agreement or understanding, directly or indirectly, with any person to distribute the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w:t>
      </w:r>
    </w:p>
    <w:p>
      <w:pPr>
        <w:spacing w:after="0" w:line="18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Under the securities laws of some U.S. states, the Shares may be sold in such states only through registered or licensed brokers or dealers. In addition, in some U.S. states the Shares may not be sold unless such shares have been registered or qualified for sale in such state or an exemption from registration or qualification is available and is complied with.</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registered pursuant to the shelf registration statement, of which this prospectus forms a part.</w:t>
      </w:r>
    </w:p>
    <w:p>
      <w:pPr>
        <w:spacing w:after="0" w:line="170"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 and any other participating person. To the extent applicable,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92"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We will pay all expenses of the registration of the Shares pursuant to the registration rights agreement, including, without limitation, Securities and Exchange Commission filing fees and expenses of compliance with state securities or “blue sky”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certain civil liabilities set forth in the registration rights agreement,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ectPr>
          <w:pgSz w:w="11900" w:h="16838" w:orient="portrait"/>
          <w:cols w:equalWidth="0" w:num="1">
            <w:col w:w="11000"/>
          </w:cols>
          <w:pgMar w:left="440" w:top="274" w:right="45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SELLING STOCKHOLDER NOTICE AND QUESTIONNAIRE</w:t>
      </w:r>
    </w:p>
    <w:p>
      <w:pPr>
        <w:spacing w:after="0" w:line="225"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The undersigned holder of shares of the (i) common stock, par value $0.0001 per share, of Aeglea BioTherapeutics,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and/or (ii) Series A Non-Voting Convertible Preferred Shares, par value $0.0001 per share, of the Company issued pursuant to a certain Securities Purchase</w:t>
      </w:r>
    </w:p>
    <w:p>
      <w:pPr>
        <w:ind w:right="200"/>
        <w:spacing w:after="0" w:line="253" w:lineRule="auto"/>
        <w:rPr>
          <w:sz w:val="20"/>
          <w:szCs w:val="20"/>
          <w:color w:val="auto"/>
        </w:rPr>
      </w:pPr>
      <w:r>
        <w:rPr>
          <w:rFonts w:ascii="Arial" w:cs="Arial" w:eastAsia="Arial" w:hAnsi="Arial"/>
          <w:sz w:val="18"/>
          <w:szCs w:val="18"/>
          <w:color w:val="auto"/>
        </w:rPr>
        <w:t>Agreement by and among the Company and the Purchasers named therein, dated as of , 2023 (the “</w:t>
      </w:r>
      <w:r>
        <w:rPr>
          <w:rFonts w:ascii="Arial" w:cs="Arial" w:eastAsia="Arial" w:hAnsi="Arial"/>
          <w:sz w:val="18"/>
          <w:szCs w:val="18"/>
          <w:i w:val="1"/>
          <w:iCs w:val="1"/>
          <w:color w:val="auto"/>
        </w:rPr>
        <w:t>Agreement</w:t>
      </w:r>
      <w:r>
        <w:rPr>
          <w:rFonts w:ascii="Arial" w:cs="Arial" w:eastAsia="Arial" w:hAnsi="Arial"/>
          <w:sz w:val="18"/>
          <w:szCs w:val="18"/>
          <w:color w:val="auto"/>
        </w:rPr>
        <w:t>”), understands that the Company intends to file with the Securities and Exchange Commission a registration statement on Form S-3 (the “</w:t>
      </w:r>
      <w:r>
        <w:rPr>
          <w:rFonts w:ascii="Arial" w:cs="Arial" w:eastAsia="Arial" w:hAnsi="Arial"/>
          <w:sz w:val="18"/>
          <w:szCs w:val="18"/>
          <w:i w:val="1"/>
          <w:iCs w:val="1"/>
          <w:color w:val="auto"/>
        </w:rPr>
        <w:t>Resale Registration Statement</w:t>
      </w:r>
      <w:r>
        <w:rPr>
          <w:rFonts w:ascii="Arial" w:cs="Arial" w:eastAsia="Arial" w:hAnsi="Arial"/>
          <w:sz w:val="18"/>
          <w:szCs w:val="18"/>
          <w:color w:val="auto"/>
        </w:rPr>
        <w:t>”) for the registration and the resale under Rule 415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of the Registrable Securities in accordance with the terms of the Agreement. All capitalized terms not otherwise defined herein shall have the meanings ascribed thereto in the Agreement.</w:t>
      </w:r>
    </w:p>
    <w:p>
      <w:pPr>
        <w:spacing w:after="0" w:line="191"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6"/>
          <w:szCs w:val="16"/>
          <w:color w:val="auto"/>
        </w:rPr>
        <w:t>In order to sell or otherwise dispose of any Registrable Securities pursuant to the Resale Registration Statement, a holder of Registrable Securities generally will be required to be named as a selling stockholder in the related prospectus or a supplement thereto (as so supplemented, the “</w:t>
      </w:r>
      <w:r>
        <w:rPr>
          <w:rFonts w:ascii="Arial" w:cs="Arial" w:eastAsia="Arial" w:hAnsi="Arial"/>
          <w:sz w:val="16"/>
          <w:szCs w:val="16"/>
          <w:i w:val="1"/>
          <w:iCs w:val="1"/>
          <w:color w:val="auto"/>
        </w:rPr>
        <w:t>Prospectus</w:t>
      </w:r>
      <w:r>
        <w:rPr>
          <w:rFonts w:ascii="Arial" w:cs="Arial" w:eastAsia="Arial" w:hAnsi="Arial"/>
          <w:sz w:val="16"/>
          <w:szCs w:val="16"/>
          <w:color w:val="auto"/>
        </w:rPr>
        <w:t xml:space="preserve">”), deliver the Prospectus to purchasers of Registrable Securities (including pursuant to Rule 172 under the Securities Act) and be bound by the provisions of the Agreement (including certain indemnification provisions, as described below). </w:t>
      </w:r>
      <w:r>
        <w:rPr>
          <w:rFonts w:ascii="Arial" w:cs="Arial" w:eastAsia="Arial" w:hAnsi="Arial"/>
          <w:sz w:val="16"/>
          <w:szCs w:val="16"/>
          <w:b w:val="1"/>
          <w:bCs w:val="1"/>
          <w:color w:val="auto"/>
        </w:rPr>
        <w:t>Holders must complete and deliver this Notice and</w:t>
      </w:r>
    </w:p>
    <w:p>
      <w:pPr>
        <w:spacing w:after="0" w:line="1" w:lineRule="exact"/>
        <w:rPr>
          <w:sz w:val="20"/>
          <w:szCs w:val="20"/>
          <w:color w:val="auto"/>
        </w:rPr>
      </w:pPr>
    </w:p>
    <w:p>
      <w:pPr>
        <w:ind w:right="260"/>
        <w:spacing w:after="0" w:line="330" w:lineRule="auto"/>
        <w:rPr>
          <w:sz w:val="20"/>
          <w:szCs w:val="20"/>
          <w:color w:val="auto"/>
        </w:rPr>
      </w:pPr>
      <w:r>
        <w:rPr>
          <w:rFonts w:ascii="Arial" w:cs="Arial" w:eastAsia="Arial" w:hAnsi="Arial"/>
          <w:sz w:val="15"/>
          <w:szCs w:val="15"/>
          <w:b w:val="1"/>
          <w:bCs w:val="1"/>
          <w:color w:val="auto"/>
        </w:rPr>
        <w:t>Questionnaire in order to be named as selling stockholders in the Prospectus. Holders of Registrable Securities who do not complete, execute and return this Notice and Questionnaire within five (5) Trading Days following the date of the Agreement (1) will not be named as selling stockholders in the Resale Registration Statement or the Prospectus and (2) may not use the Prospectus for resales of Registrable Securities</w:t>
      </w:r>
      <w:r>
        <w:rPr>
          <w:rFonts w:ascii="Arial" w:cs="Arial" w:eastAsia="Arial" w:hAnsi="Arial"/>
          <w:sz w:val="15"/>
          <w:szCs w:val="15"/>
          <w:color w:val="auto"/>
        </w:rPr>
        <w:t>.</w:t>
      </w:r>
    </w:p>
    <w:p>
      <w:pPr>
        <w:spacing w:after="0" w:line="13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Certain legal consequences arise from being named as a selling stockholder in the Resale Registration Statement and the Prospectus. Holders of Registrable Securities are advised to consult their own securities law counsel regarding the consequences of being named or not named as a selling stockholder in the Resale Registration Statement and the Prospectus.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The undersigned holder (the “</w:t>
      </w:r>
      <w:r>
        <w:rPr>
          <w:rFonts w:ascii="Arial" w:cs="Arial" w:eastAsia="Arial" w:hAnsi="Arial"/>
          <w:sz w:val="18"/>
          <w:szCs w:val="18"/>
          <w:i w:val="1"/>
          <w:iCs w:val="1"/>
          <w:color w:val="auto"/>
        </w:rPr>
        <w:t>Selling Stockholder</w:t>
      </w:r>
      <w:r>
        <w:rPr>
          <w:rFonts w:ascii="Arial" w:cs="Arial" w:eastAsia="Arial" w:hAnsi="Arial"/>
          <w:sz w:val="18"/>
          <w:szCs w:val="18"/>
          <w:color w:val="auto"/>
        </w:rPr>
        <w:t>”) of Registrable Securities hereby gives notice to the Company of its intention to sell or otherwise dispose of Registrable Securities owned by it and listed below in Item (3), unless otherwise specified in Item (3), pursuant to the Resale Registration Statement. The undersigned, by signing and returning this Notice and Questionnaire, understands and agrees that it will be bound by the terms and conditions of this Notice and Questionnaire and the Agreement.</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undersigned hereby provides the following information to the Company and represents and warrants that such information is accurate and complete:</w:t>
      </w:r>
    </w:p>
    <w:p>
      <w:pPr>
        <w:sectPr>
          <w:pgSz w:w="11900" w:h="16838" w:orient="portrait"/>
          <w:cols w:equalWidth="0" w:num="1">
            <w:col w:w="11020"/>
          </w:cols>
          <w:pgMar w:left="440" w:top="274" w:right="439" w:bottom="1440" w:gutter="0" w:footer="0" w:header="0"/>
        </w:sectPr>
      </w:pPr>
    </w:p>
    <w:bookmarkStart w:id="476" w:name="page477"/>
    <w:bookmarkEnd w:id="476"/>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QUESTIONNAIRE</w:t>
      </w:r>
    </w:p>
    <w:p>
      <w:pPr>
        <w:spacing w:after="0" w:line="131" w:lineRule="exact"/>
        <w:rPr>
          <w:sz w:val="20"/>
          <w:szCs w:val="20"/>
          <w:color w:val="auto"/>
        </w:rPr>
      </w:pPr>
    </w:p>
    <w:p>
      <w:pPr>
        <w:ind w:left="424" w:hanging="424"/>
        <w:spacing w:after="0"/>
        <w:tabs>
          <w:tab w:leader="none" w:pos="424"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Full Legal Name of Selling Stockholder:</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964" w:hanging="532"/>
        <w:spacing w:after="0"/>
        <w:tabs>
          <w:tab w:leader="none" w:pos="964" w:val="left"/>
        </w:tabs>
        <w:numPr>
          <w:ilvl w:val="1"/>
          <w:numId w:val="339"/>
        </w:numPr>
        <w:rPr>
          <w:rFonts w:ascii="Arial" w:cs="Arial" w:eastAsia="Arial" w:hAnsi="Arial"/>
          <w:sz w:val="16"/>
          <w:szCs w:val="16"/>
          <w:color w:val="auto"/>
        </w:rPr>
      </w:pPr>
      <w:r>
        <w:rPr>
          <w:rFonts w:ascii="Arial" w:cs="Arial" w:eastAsia="Arial" w:hAnsi="Arial"/>
          <w:sz w:val="16"/>
          <w:szCs w:val="16"/>
          <w:color w:val="auto"/>
        </w:rPr>
        <w:t>Full Legal Name of Registered Holder (if not the same as (a) above) through which Registrable Securities Listed in Item 3 below are held:</w:t>
      </w: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339"/>
        </w:numPr>
        <w:rPr>
          <w:rFonts w:ascii="Arial" w:cs="Arial" w:eastAsia="Arial" w:hAnsi="Arial"/>
          <w:sz w:val="18"/>
          <w:szCs w:val="18"/>
          <w:color w:val="auto"/>
        </w:rPr>
      </w:pPr>
      <w:r>
        <w:rPr>
          <w:rFonts w:ascii="Arial" w:cs="Arial" w:eastAsia="Arial" w:hAnsi="Arial"/>
          <w:sz w:val="18"/>
          <w:szCs w:val="18"/>
          <w:color w:val="auto"/>
        </w:rPr>
        <w:t>Full Legal Name of Natural Control Person (which means a natural person who directly or indirectly alone or with others has power to vote or dispose of the securities covered by the questionnaire):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0" w:lineRule="exact"/>
        <w:rPr>
          <w:rFonts w:ascii="Arial" w:cs="Arial" w:eastAsia="Arial" w:hAnsi="Arial"/>
          <w:sz w:val="18"/>
          <w:szCs w:val="18"/>
          <w:color w:val="auto"/>
        </w:rPr>
      </w:pPr>
    </w:p>
    <w:p>
      <w:pPr>
        <w:ind w:left="424" w:hanging="424"/>
        <w:spacing w:after="0"/>
        <w:tabs>
          <w:tab w:leader="none" w:pos="424"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-1508125</wp:posOffset>
            </wp:positionV>
            <wp:extent cx="63125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1">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-1010920</wp:posOffset>
            </wp:positionV>
            <wp:extent cx="63125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2">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-376555</wp:posOffset>
            </wp:positionV>
            <wp:extent cx="63125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3">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69697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4">
                      <a:extLst>
                        <a:ext uri="{28A0092B-C50C-407E-A947-70E740481C1C}"/>
                      </a:extLst>
                    </a:blip>
                    <a:srcRect/>
                    <a:stretch>
                      <a:fillRect/>
                    </a:stretch>
                  </pic:blipFill>
                  <pic:spPr bwMode="auto">
                    <a:xfrm>
                      <a:off x="0" y="0"/>
                      <a:ext cx="6969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411480</wp:posOffset>
            </wp:positionV>
            <wp:extent cx="69697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5">
                      <a:extLst>
                        <a:ext uri="{28A0092B-C50C-407E-A947-70E740481C1C}"/>
                      </a:extLst>
                    </a:blip>
                    <a:srcRect/>
                    <a:stretch>
                      <a:fillRect/>
                    </a:stretch>
                  </pic:blipFill>
                  <pic:spPr bwMode="auto">
                    <a:xfrm>
                      <a:off x="0" y="0"/>
                      <a:ext cx="6969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548640</wp:posOffset>
            </wp:positionV>
            <wp:extent cx="69697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6">
                      <a:extLst>
                        <a:ext uri="{28A0092B-C50C-407E-A947-70E740481C1C}"/>
                      </a:extLst>
                    </a:blip>
                    <a:srcRect/>
                    <a:stretch>
                      <a:fillRect/>
                    </a:stretch>
                  </pic:blipFill>
                  <pic:spPr bwMode="auto">
                    <a:xfrm>
                      <a:off x="0" y="0"/>
                      <a:ext cx="696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-10160</wp:posOffset>
            </wp:positionV>
            <wp:extent cx="61982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7">
                      <a:extLst>
                        <a:ext uri="{28A0092B-C50C-407E-A947-70E740481C1C}"/>
                      </a:extLst>
                    </a:blip>
                    <a:srcRect/>
                    <a:stretch>
                      <a:fillRect/>
                    </a:stretch>
                  </pic:blipFill>
                  <pic:spPr bwMode="auto">
                    <a:xfrm>
                      <a:off x="0" y="0"/>
                      <a:ext cx="619823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-19050</wp:posOffset>
            </wp:positionV>
            <wp:extent cx="665543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8">
                      <a:extLst>
                        <a:ext uri="{28A0092B-C50C-407E-A947-70E740481C1C}"/>
                      </a:extLst>
                    </a:blip>
                    <a:srcRect/>
                    <a:stretch>
                      <a:fillRect/>
                    </a:stretch>
                  </pic:blipFill>
                  <pic:spPr bwMode="auto">
                    <a:xfrm>
                      <a:off x="0" y="0"/>
                      <a:ext cx="6655435" cy="889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-19050</wp:posOffset>
            </wp:positionV>
            <wp:extent cx="611251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9">
                      <a:extLst>
                        <a:ext uri="{28A0092B-C50C-407E-A947-70E740481C1C}"/>
                      </a:extLst>
                    </a:blip>
                    <a:srcRect/>
                    <a:stretch>
                      <a:fillRect/>
                    </a:stretch>
                  </pic:blipFill>
                  <pic:spPr bwMode="auto">
                    <a:xfrm>
                      <a:off x="0" y="0"/>
                      <a:ext cx="611251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E-mail address of 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-19050</wp:posOffset>
            </wp:positionV>
            <wp:extent cx="537019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0">
                      <a:extLst>
                        <a:ext uri="{28A0092B-C50C-407E-A947-70E740481C1C}"/>
                      </a:extLst>
                    </a:blip>
                    <a:srcRect/>
                    <a:stretch>
                      <a:fillRect/>
                    </a:stretch>
                  </pic:blipFill>
                  <pic:spPr bwMode="auto">
                    <a:xfrm>
                      <a:off x="0" y="0"/>
                      <a:ext cx="5370195" cy="8255"/>
                    </a:xfrm>
                    <a:prstGeom prst="rect">
                      <a:avLst/>
                    </a:prstGeom>
                    <a:noFill/>
                  </pic:spPr>
                </pic:pic>
              </a:graphicData>
            </a:graphic>
          </wp:anchor>
        </w:drawing>
      </w:r>
    </w:p>
    <w:p>
      <w:pPr>
        <w:spacing w:after="0" w:line="335" w:lineRule="exact"/>
        <w:rPr>
          <w:sz w:val="20"/>
          <w:szCs w:val="20"/>
          <w:color w:val="auto"/>
        </w:rPr>
      </w:pPr>
    </w:p>
    <w:p>
      <w:pPr>
        <w:ind w:left="424" w:hanging="424"/>
        <w:spacing w:after="0"/>
        <w:tabs>
          <w:tab w:leader="none" w:pos="42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Beneficial Ownership of Registrable Securities Issuable Pursuant to the Purchase Agreement: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Type and Number of Registrable Securities beneficially owned and issued pursuant to the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ind w:left="964" w:hanging="532"/>
        <w:spacing w:after="0"/>
        <w:tabs>
          <w:tab w:leader="none" w:pos="964" w:val="left"/>
        </w:tabs>
        <w:numPr>
          <w:ilvl w:val="1"/>
          <w:numId w:val="340"/>
        </w:numPr>
        <w:rPr>
          <w:rFonts w:ascii="Arial" w:cs="Arial" w:eastAsia="Arial" w:hAnsi="Arial"/>
          <w:sz w:val="18"/>
          <w:szCs w:val="18"/>
          <w:color w:val="auto"/>
        </w:rPr>
      </w:pPr>
      <w:r>
        <w:rPr>
          <w:rFonts w:ascii="Arial" w:cs="Arial" w:eastAsia="Arial" w:hAnsi="Arial"/>
          <w:sz w:val="18"/>
          <w:szCs w:val="18"/>
          <w:color w:val="auto"/>
        </w:rPr>
        <w:t>Number of Registrable Securities to be registered pursuant to this Notice for resale: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424" w:hanging="424"/>
        <w:spacing w:after="0"/>
        <w:tabs>
          <w:tab w:leader="none" w:pos="42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Broker-Dealer Status:</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Are you a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-1716405</wp:posOffset>
            </wp:positionV>
            <wp:extent cx="63125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1">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-1579245</wp:posOffset>
            </wp:positionV>
            <wp:extent cx="631253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2">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-1442085</wp:posOffset>
            </wp:positionV>
            <wp:extent cx="631253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3">
                      <a:extLst>
                        <a:ext uri="{28A0092B-C50C-407E-A947-70E740481C1C}"/>
                      </a:extLst>
                    </a:blip>
                    <a:srcRect/>
                    <a:stretch>
                      <a:fillRect/>
                    </a:stretch>
                  </pic:blipFill>
                  <pic:spPr bwMode="auto">
                    <a:xfrm>
                      <a:off x="0" y="0"/>
                      <a:ext cx="6312535"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-867410</wp:posOffset>
            </wp:positionV>
            <wp:extent cx="63125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4">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-730250</wp:posOffset>
            </wp:positionV>
            <wp:extent cx="63125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5">
                      <a:extLst>
                        <a:ext uri="{28A0092B-C50C-407E-A947-70E740481C1C}"/>
                      </a:extLst>
                    </a:blip>
                    <a:srcRect/>
                    <a:stretch>
                      <a:fillRect/>
                    </a:stretch>
                  </pic:blipFill>
                  <pic:spPr bwMode="auto">
                    <a:xfrm>
                      <a:off x="0" y="0"/>
                      <a:ext cx="6312535"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-593090</wp:posOffset>
            </wp:positionV>
            <wp:extent cx="63125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6">
                      <a:extLst>
                        <a:ext uri="{28A0092B-C50C-407E-A947-70E740481C1C}"/>
                      </a:extLst>
                    </a:blip>
                    <a:srcRect/>
                    <a:stretch>
                      <a:fillRect/>
                    </a:stretch>
                  </pic:blipFill>
                  <pic:spPr bwMode="auto">
                    <a:xfrm>
                      <a:off x="0" y="0"/>
                      <a:ext cx="6312535" cy="8255"/>
                    </a:xfrm>
                    <a:prstGeom prst="rect">
                      <a:avLst/>
                    </a:prstGeom>
                    <a:noFill/>
                  </pic:spPr>
                </pic:pic>
              </a:graphicData>
            </a:graphic>
          </wp:anchor>
        </w:drawing>
      </w:r>
    </w:p>
    <w:p>
      <w:pPr>
        <w:spacing w:after="0" w:line="160" w:lineRule="exact"/>
        <w:rPr>
          <w:sz w:val="20"/>
          <w:szCs w:val="20"/>
          <w:color w:val="auto"/>
        </w:rPr>
      </w:pPr>
    </w:p>
    <w:p>
      <w:pPr>
        <w:jc w:val="center"/>
        <w:ind w:right="-63"/>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0944"/>
          </w:cols>
          <w:pgMar w:left="436" w:top="269" w:right="519" w:bottom="1440" w:gutter="0" w:footer="0" w:header="0"/>
        </w:sectPr>
      </w:pPr>
    </w:p>
    <w:bookmarkStart w:id="477" w:name="page478"/>
    <w:bookmarkEnd w:id="477"/>
    <w:p>
      <w:pPr>
        <w:ind w:left="4924" w:right="280" w:hanging="4492"/>
        <w:spacing w:after="0" w:line="345" w:lineRule="exact"/>
        <w:tabs>
          <w:tab w:leader="none" w:pos="971" w:val="left"/>
        </w:tabs>
        <w:numPr>
          <w:ilvl w:val="0"/>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“yes” to Section 4(a), did you receive your Registrable Securities as compensation for investment banking services to the Company?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If no, the Commission’s staff has indicated that you should be identified as an underwriter in the Registration Statement.</w:t>
      </w:r>
    </w:p>
    <w:p>
      <w:pPr>
        <w:spacing w:after="0" w:line="252" w:lineRule="exact"/>
        <w:rPr>
          <w:sz w:val="20"/>
          <w:szCs w:val="20"/>
          <w:color w:val="auto"/>
        </w:rPr>
      </w:pPr>
    </w:p>
    <w:p>
      <w:pPr>
        <w:ind w:left="964" w:hanging="532"/>
        <w:spacing w:after="0"/>
        <w:tabs>
          <w:tab w:leader="none" w:pos="96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Are you an affiliate of a broker-dealer?</w:t>
      </w:r>
    </w:p>
    <w:p>
      <w:pPr>
        <w:spacing w:after="0" w:line="180" w:lineRule="exact"/>
        <w:rPr>
          <w:sz w:val="20"/>
          <w:szCs w:val="20"/>
          <w:color w:val="auto"/>
        </w:rPr>
      </w:pPr>
    </w:p>
    <w:p>
      <w:pPr>
        <w:jc w:val="center"/>
        <w:ind w:right="-43"/>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If yes, provide a narrative explanation below:</w:t>
      </w:r>
    </w:p>
    <w:p>
      <w:pPr>
        <w:spacing w:after="0" w:line="131" w:lineRule="exact"/>
        <w:rPr>
          <w:sz w:val="20"/>
          <w:szCs w:val="20"/>
          <w:color w:val="auto"/>
        </w:rPr>
      </w:pPr>
    </w:p>
    <w:p>
      <w:pPr>
        <w:ind w:left="964" w:hanging="532"/>
        <w:spacing w:after="0" w:line="263" w:lineRule="auto"/>
        <w:tabs>
          <w:tab w:leader="none" w:pos="96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9" w:lineRule="exact"/>
        <w:rPr>
          <w:sz w:val="20"/>
          <w:szCs w:val="20"/>
          <w:color w:val="auto"/>
        </w:rPr>
      </w:pPr>
    </w:p>
    <w:p>
      <w:pPr>
        <w:jc w:val="center"/>
        <w:ind w:right="-43"/>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 If no, the Commission’s staff has indicated that you should be identified as an underwriter in the Registration Statement.</w:t>
      </w:r>
    </w:p>
    <w:p>
      <w:pPr>
        <w:spacing w:after="0" w:line="370" w:lineRule="exact"/>
        <w:rPr>
          <w:sz w:val="20"/>
          <w:szCs w:val="20"/>
          <w:color w:val="auto"/>
        </w:rPr>
      </w:pPr>
    </w:p>
    <w:p>
      <w:pPr>
        <w:ind w:left="424" w:hanging="424"/>
        <w:spacing w:after="0"/>
        <w:tabs>
          <w:tab w:leader="none" w:pos="42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Beneficial Ownership of Other Securities of the Company Owned by the Selling Stockholder.</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Except as set forth below in this Item 5, the undersigned is not the beneficial or registered owner of any securities of the Company other than the Registrable Securities listed above in Item 3.</w:t>
      </w:r>
    </w:p>
    <w:p>
      <w:pPr>
        <w:spacing w:after="0" w:line="6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Type and amount of other securities beneficially owned: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0" w:lineRule="exact"/>
        <w:rPr>
          <w:rFonts w:ascii="Arial" w:cs="Arial" w:eastAsia="Arial" w:hAnsi="Arial"/>
          <w:sz w:val="18"/>
          <w:szCs w:val="18"/>
          <w:b w:val="1"/>
          <w:bCs w:val="1"/>
          <w:color w:val="auto"/>
        </w:rPr>
      </w:pPr>
    </w:p>
    <w:p>
      <w:pPr>
        <w:ind w:left="424" w:hanging="424"/>
        <w:spacing w:after="0"/>
        <w:tabs>
          <w:tab w:leader="none" w:pos="42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Relationships with the Company:</w:t>
      </w:r>
    </w:p>
    <w:p>
      <w:pPr>
        <w:spacing w:after="0" w:line="121" w:lineRule="exact"/>
        <w:rPr>
          <w:rFonts w:ascii="Arial" w:cs="Arial" w:eastAsia="Arial" w:hAnsi="Arial"/>
          <w:sz w:val="18"/>
          <w:szCs w:val="18"/>
          <w:b w:val="1"/>
          <w:bCs w:val="1"/>
          <w:color w:val="auto"/>
        </w:rPr>
      </w:pPr>
    </w:p>
    <w:p>
      <w:pPr>
        <w:ind w:left="444" w:right="40"/>
        <w:spacing w:after="0" w:line="263" w:lineRule="auto"/>
        <w:rPr>
          <w:rFonts w:ascii="Arial" w:cs="Arial" w:eastAsia="Arial" w:hAnsi="Arial"/>
          <w:sz w:val="18"/>
          <w:szCs w:val="18"/>
          <w:b w:val="1"/>
          <w:bCs w:val="1"/>
          <w:color w:val="auto"/>
        </w:rPr>
      </w:pPr>
      <w:r>
        <w:rPr>
          <w:rFonts w:ascii="Arial" w:cs="Arial" w:eastAsia="Arial" w:hAnsi="Arial"/>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-1347470</wp:posOffset>
            </wp:positionV>
            <wp:extent cx="66554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8">
                      <a:extLst>
                        <a:ext uri="{28A0092B-C50C-407E-A947-70E740481C1C}"/>
                      </a:extLst>
                    </a:blip>
                    <a:srcRect/>
                    <a:stretch>
                      <a:fillRect/>
                    </a:stretch>
                  </pic:blipFill>
                  <pic:spPr bwMode="auto">
                    <a:xfrm>
                      <a:off x="0" y="0"/>
                      <a:ext cx="665543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-1064895</wp:posOffset>
            </wp:positionV>
            <wp:extent cx="66554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9">
                      <a:extLst>
                        <a:ext uri="{28A0092B-C50C-407E-A947-70E740481C1C}"/>
                      </a:extLst>
                    </a:blip>
                    <a:srcRect/>
                    <a:stretch>
                      <a:fillRect/>
                    </a:stretch>
                  </pic:blipFill>
                  <pic:spPr bwMode="auto">
                    <a:xfrm>
                      <a:off x="0" y="0"/>
                      <a:ext cx="665543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271780</wp:posOffset>
            </wp:positionV>
            <wp:extent cx="66554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0">
                      <a:extLst>
                        <a:ext uri="{28A0092B-C50C-407E-A947-70E740481C1C}"/>
                      </a:extLst>
                    </a:blip>
                    <a:srcRect/>
                    <a:stretch>
                      <a:fillRect/>
                    </a:stretch>
                  </pic:blipFill>
                  <pic:spPr bwMode="auto">
                    <a:xfrm>
                      <a:off x="0" y="0"/>
                      <a:ext cx="665543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554990</wp:posOffset>
            </wp:positionV>
            <wp:extent cx="66554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1">
                      <a:extLst>
                        <a:ext uri="{28A0092B-C50C-407E-A947-70E740481C1C}"/>
                      </a:extLst>
                    </a:blip>
                    <a:srcRect/>
                    <a:stretch>
                      <a:fillRect/>
                    </a:stretch>
                  </pic:blipFill>
                  <pic:spPr bwMode="auto">
                    <a:xfrm>
                      <a:off x="0" y="0"/>
                      <a:ext cx="6655435" cy="8255"/>
                    </a:xfrm>
                    <a:prstGeom prst="rect">
                      <a:avLst/>
                    </a:prstGeom>
                    <a:noFill/>
                  </pic:spPr>
                </pic:pic>
              </a:graphicData>
            </a:graphic>
          </wp:anchor>
        </w:drawing>
      </w:r>
    </w:p>
    <w:p>
      <w:pPr>
        <w:sectPr>
          <w:pgSz w:w="11900" w:h="16838" w:orient="portrait"/>
          <w:cols w:equalWidth="0" w:num="1">
            <w:col w:w="10964"/>
          </w:cols>
          <w:pgMar w:left="436" w:top="273" w:right="499" w:bottom="1440" w:gutter="0" w:footer="0" w:header="0"/>
        </w:sectPr>
      </w:pPr>
    </w:p>
    <w:bookmarkStart w:id="478" w:name="page479"/>
    <w:bookmarkEnd w:id="478"/>
    <w:p>
      <w:pPr>
        <w:ind w:left="424" w:hanging="424"/>
        <w:spacing w:after="0"/>
        <w:tabs>
          <w:tab w:leader="none" w:pos="424"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of Distribution:</w:t>
      </w:r>
    </w:p>
    <w:p>
      <w:pPr>
        <w:spacing w:after="0" w:line="121" w:lineRule="exact"/>
        <w:rPr>
          <w:rFonts w:ascii="Arial" w:cs="Arial" w:eastAsia="Arial" w:hAnsi="Arial"/>
          <w:sz w:val="18"/>
          <w:szCs w:val="18"/>
          <w:b w:val="1"/>
          <w:bCs w:val="1"/>
          <w:color w:val="auto"/>
        </w:rPr>
      </w:pPr>
    </w:p>
    <w:p>
      <w:pPr>
        <w:jc w:val="both"/>
        <w:ind w:left="444" w:right="220"/>
        <w:spacing w:after="0" w:line="32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The undersigned has reviewed the form of Plan of Distribution attached as Annex A to the Registration Rights Agreement, and hereby confirms that, except as set forth below, the information contained therein regarding the undersigned and its plan of distribution is correct and complete. </w:t>
      </w:r>
      <w:r>
        <w:rPr>
          <w:rFonts w:ascii="Arial" w:cs="Arial" w:eastAsia="Arial" w:hAnsi="Arial"/>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210820</wp:posOffset>
            </wp:positionV>
            <wp:extent cx="66554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3">
                      <a:extLst>
                        <a:ext uri="{28A0092B-C50C-407E-A947-70E740481C1C}"/>
                      </a:extLst>
                    </a:blip>
                    <a:srcRect/>
                    <a:stretch>
                      <a:fillRect/>
                    </a:stretch>
                  </pic:blipFill>
                  <pic:spPr bwMode="auto">
                    <a:xfrm>
                      <a:off x="0" y="0"/>
                      <a:ext cx="665543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493395</wp:posOffset>
            </wp:positionV>
            <wp:extent cx="66554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4">
                      <a:extLst>
                        <a:ext uri="{28A0092B-C50C-407E-A947-70E740481C1C}"/>
                      </a:extLst>
                    </a:blip>
                    <a:srcRect/>
                    <a:stretch>
                      <a:fillRect/>
                    </a:stretch>
                  </pic:blipFill>
                  <pic:spPr bwMode="auto">
                    <a:xfrm>
                      <a:off x="0" y="0"/>
                      <a:ext cx="6655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undersigned agrees to promptly notify the Company of any inaccuracies or changes in the information provided herein that may occur subsequent to the date hereof and prior to the effective date of any applicable Resale Registration Statement. All notices hereunder and pursuant to the Agreement shall be made in writing, by hand delivery, confirmed or facsimile transmission, first-class mail or air courier guaranteeing overnight delivery at the address set forth below. In the absence of any such notification, the Company shall be entitled to continue to rely on the accuracy of the information in this Notice and Questionnaire.</w:t>
      </w:r>
    </w:p>
    <w:p>
      <w:pPr>
        <w:spacing w:after="0" w:line="188"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By signing below, the undersigned consents to the disclosure of the information contained herein in its answers to Items (1) through (7) above and the inclusion of such information in the Resale Registration Statement and the Prospectus. The undersigned understands that such information will be relied upon by the Company in connection with the preparation or amendment of any such Registration Statement and the Prospectus.</w:t>
      </w:r>
    </w:p>
    <w:p>
      <w:pPr>
        <w:spacing w:after="0" w:line="149" w:lineRule="exact"/>
        <w:rPr>
          <w:sz w:val="20"/>
          <w:szCs w:val="20"/>
          <w:color w:val="auto"/>
        </w:rPr>
      </w:pPr>
    </w:p>
    <w:p>
      <w:pPr>
        <w:jc w:val="both"/>
        <w:ind w:left="4" w:right="60"/>
        <w:spacing w:after="0" w:line="257" w:lineRule="auto"/>
        <w:rPr>
          <w:sz w:val="20"/>
          <w:szCs w:val="20"/>
          <w:color w:val="auto"/>
        </w:rPr>
      </w:pPr>
      <w:r>
        <w:rPr>
          <w:rFonts w:ascii="Arial" w:cs="Arial" w:eastAsia="Arial" w:hAnsi="Arial"/>
          <w:sz w:val="18"/>
          <w:szCs w:val="18"/>
          <w:color w:val="auto"/>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Resale Registration Statement. The undersigned also acknowledges that it understands that the answers to this Questionnaire are furnished for use in connection with Registration Statements filed pursuant to the Registration Rights Agreement and any amendments or supplements thereto filed with the Commission pursuant to the Securities Act.</w:t>
      </w:r>
    </w:p>
    <w:p>
      <w:pPr>
        <w:spacing w:after="0" w:line="188"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The undersigned hereby acknowledges and is advised of the following Question 239.10 of the Securities Act Rules Compliance and Disclosure Interpretations regarding short selling:</w:t>
      </w:r>
    </w:p>
    <w:p>
      <w:pPr>
        <w:spacing w:after="0" w:line="170" w:lineRule="exact"/>
        <w:rPr>
          <w:sz w:val="20"/>
          <w:szCs w:val="20"/>
          <w:color w:val="auto"/>
        </w:rPr>
      </w:pPr>
    </w:p>
    <w:p>
      <w:pPr>
        <w:ind w:left="4" w:right="2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 Issuer filed a Form S-3 registration statement for a secondary offering of common stock which is not yet effective. One of the selling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wanted to do a short sale of common stock “against the box” and cover the short sale with registered shares after the effective date. The issuer was advised that the short sale could not be made before the registration statement become effective, because the shares underlying the short sale are deemed to be sold at the time such sale is made. There would, therefore, be a violation of Section 5 if the shares were effectively sold prior to the effective date</w:t>
      </w:r>
      <w:r>
        <w:rPr>
          <w:rFonts w:ascii="Arial" w:cs="Arial" w:eastAsia="Arial" w:hAnsi="Arial"/>
          <w:sz w:val="18"/>
          <w:szCs w:val="18"/>
          <w:color w:val="auto"/>
        </w:rPr>
        <w:t>.”</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returning this Questionnaire, the undersigned will be deemed to be aware of the foregoing interpretation.</w:t>
      </w:r>
    </w:p>
    <w:p>
      <w:pPr>
        <w:spacing w:after="0" w:line="22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I confirm that, to the best of my knowledge and belief, the foregoing statements (including without limitation the answers to this Questionnaire) are correct.</w:t>
      </w:r>
    </w:p>
    <w:p>
      <w:pPr>
        <w:sectPr>
          <w:pgSz w:w="11900" w:h="16838" w:orient="portrait"/>
          <w:cols w:equalWidth="0" w:num="1">
            <w:col w:w="11004"/>
          </w:cols>
          <w:pgMar w:left="436" w:top="269" w:right="459" w:bottom="1440" w:gutter="0" w:footer="0" w:header="0"/>
        </w:sectPr>
      </w:pPr>
    </w:p>
    <w:bookmarkStart w:id="479" w:name="page480"/>
    <w:bookmarkEnd w:id="47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by authority duly given, has caused this Questionnaire to be executed and delivered either in person or by its duly authorized agent.</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02806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6">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-10160</wp:posOffset>
            </wp:positionV>
            <wp:extent cx="139954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7">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-1905</wp:posOffset>
            </wp:positionV>
            <wp:extent cx="300037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PLEASE FAX A COPY OF THE COMPLETED AND EXECUTED NOTICE AND QUESTIONNAIRE, AND RETURN THE ORIGINAL BY OVERNIGHT MAIL, TO:</w:t>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Courtney Tygesson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Cooley LLP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110 N. Upper Wacker Dr., Suite 4200, Chicago, IL 60606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No.: (312) 881-6500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Courtney Tygesson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CTygesson@cooley.com</w:t>
      </w:r>
    </w:p>
    <w:p>
      <w:pPr>
        <w:sectPr>
          <w:pgSz w:w="11900" w:h="16838" w:orient="portrait"/>
          <w:cols w:equalWidth="0" w:num="1">
            <w:col w:w="10980"/>
          </w:cols>
          <w:pgMar w:left="440" w:top="273" w:right="47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WARRANT TO PURCHASE COMMON STOCK</w:t>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Arial" w:cs="Arial" w:eastAsia="Arial" w:hAnsi="Arial"/>
          <w:sz w:val="16"/>
          <w:szCs w:val="16"/>
          <w:color w:val="auto"/>
        </w:rPr>
        <w:t>Warrant 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Number of Shares: [</w:t>
        <w:tab/>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w:t>
      </w:r>
    </w:p>
    <w:p>
      <w:pPr>
        <w:spacing w:after="0" w:line="9" w:lineRule="exact"/>
        <w:rPr>
          <w:sz w:val="20"/>
          <w:szCs w:val="20"/>
          <w:color w:val="auto"/>
        </w:rPr>
      </w:pPr>
    </w:p>
    <w:p>
      <w:pPr>
        <w:jc w:val="right"/>
        <w:spacing w:after="0"/>
        <w:tabs>
          <w:tab w:leader="none" w:pos="700" w:val="left"/>
          <w:tab w:leader="none" w:pos="40" w:val="left"/>
        </w:tabs>
        <w:rPr>
          <w:sz w:val="20"/>
          <w:szCs w:val="20"/>
          <w:color w:val="auto"/>
        </w:rPr>
      </w:pPr>
      <w:r>
        <w:rPr>
          <w:rFonts w:ascii="Arial" w:cs="Arial" w:eastAsia="Arial" w:hAnsi="Arial"/>
          <w:sz w:val="18"/>
          <w:szCs w:val="18"/>
          <w:color w:val="auto"/>
        </w:rPr>
        <w:t>Original Issue Date: [</w:t>
        <w:tab/>
        <w:t>], 202[</w:t>
        <w:tab/>
        <w:t>]</w:t>
      </w:r>
    </w:p>
    <w:p>
      <w:pPr>
        <w:spacing w:after="0" w:line="200" w:lineRule="exact"/>
        <w:rPr>
          <w:sz w:val="20"/>
          <w:szCs w:val="20"/>
          <w:color w:val="auto"/>
        </w:rPr>
      </w:pPr>
    </w:p>
    <w:p>
      <w:pPr>
        <w:sectPr>
          <w:pgSz w:w="11900" w:h="16838" w:orient="portrait"/>
          <w:cols w:equalWidth="0" w:num="3">
            <w:col w:w="984" w:space="180"/>
            <w:col w:w="6680" w:space="720"/>
            <w:col w:w="2460"/>
          </w:cols>
          <w:pgMar w:left="436" w:top="121" w:right="439" w:bottom="1440" w:gutter="0" w:footer="0" w:header="0"/>
          <w:type w:val="continuous"/>
        </w:sectPr>
      </w:pPr>
    </w:p>
    <w:p>
      <w:pPr>
        <w:spacing w:after="0" w:line="7"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Aeglea BioTherapeutics,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 ] or its registered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up to a total of [ ] shares of common stock, $0.0001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(each such share, a “</w:t>
      </w:r>
      <w:r>
        <w:rPr>
          <w:rFonts w:ascii="Arial" w:cs="Arial" w:eastAsia="Arial" w:hAnsi="Arial"/>
          <w:sz w:val="17"/>
          <w:szCs w:val="17"/>
          <w:b w:val="1"/>
          <w:bCs w:val="1"/>
          <w:color w:val="auto"/>
        </w:rPr>
        <w:t>Warrant Share</w:t>
      </w:r>
      <w:r>
        <w:rPr>
          <w:rFonts w:ascii="Arial" w:cs="Arial" w:eastAsia="Arial" w:hAnsi="Arial"/>
          <w:sz w:val="17"/>
          <w:szCs w:val="17"/>
          <w:color w:val="auto"/>
        </w:rPr>
        <w:t>” and all such shares, the “</w:t>
      </w:r>
      <w:r>
        <w:rPr>
          <w:rFonts w:ascii="Arial" w:cs="Arial" w:eastAsia="Arial" w:hAnsi="Arial"/>
          <w:sz w:val="17"/>
          <w:szCs w:val="17"/>
          <w:b w:val="1"/>
          <w:bCs w:val="1"/>
          <w:color w:val="auto"/>
        </w:rPr>
        <w:t>Warrant Shares</w:t>
      </w:r>
      <w:r>
        <w:rPr>
          <w:rFonts w:ascii="Arial" w:cs="Arial" w:eastAsia="Arial" w:hAnsi="Arial"/>
          <w:sz w:val="17"/>
          <w:szCs w:val="17"/>
          <w:color w:val="auto"/>
        </w:rPr>
        <w:t>”) at an exercise price per share equal to $0.0001 per share (as adjusted from time to time as provided in Section 9 herein, the “</w:t>
      </w:r>
      <w:r>
        <w:rPr>
          <w:rFonts w:ascii="Arial" w:cs="Arial" w:eastAsia="Arial" w:hAnsi="Arial"/>
          <w:sz w:val="17"/>
          <w:szCs w:val="17"/>
          <w:b w:val="1"/>
          <w:bCs w:val="1"/>
          <w:color w:val="auto"/>
        </w:rPr>
        <w:t>Exercise Price</w:t>
      </w:r>
      <w:r>
        <w:rPr>
          <w:rFonts w:ascii="Arial" w:cs="Arial" w:eastAsia="Arial" w:hAnsi="Arial"/>
          <w:sz w:val="17"/>
          <w:szCs w:val="17"/>
          <w:color w:val="auto"/>
        </w:rPr>
        <w:t>”) upon surrender of this Warrant to Purchase Common Stock (including any Warrants to Purchase Common Stock issued in exchange, transfer or replacement hereof, the “</w:t>
      </w:r>
      <w:r>
        <w:rPr>
          <w:rFonts w:ascii="Arial" w:cs="Arial" w:eastAsia="Arial" w:hAnsi="Arial"/>
          <w:sz w:val="17"/>
          <w:szCs w:val="17"/>
          <w:b w:val="1"/>
          <w:bCs w:val="1"/>
          <w:color w:val="auto"/>
        </w:rPr>
        <w:t>Warrant</w:t>
      </w:r>
      <w:r>
        <w:rPr>
          <w:rFonts w:ascii="Arial" w:cs="Arial" w:eastAsia="Arial" w:hAnsi="Arial"/>
          <w:sz w:val="17"/>
          <w:szCs w:val="17"/>
          <w:color w:val="auto"/>
        </w:rPr>
        <w:t>”) at any time and from time to time on or after the date hereof (the “</w:t>
      </w:r>
      <w:r>
        <w:rPr>
          <w:rFonts w:ascii="Arial" w:cs="Arial" w:eastAsia="Arial" w:hAnsi="Arial"/>
          <w:sz w:val="17"/>
          <w:szCs w:val="17"/>
          <w:b w:val="1"/>
          <w:bCs w:val="1"/>
          <w:color w:val="auto"/>
        </w:rPr>
        <w:t>Original Issue Date</w:t>
      </w:r>
      <w:r>
        <w:rPr>
          <w:rFonts w:ascii="Arial" w:cs="Arial" w:eastAsia="Arial" w:hAnsi="Arial"/>
          <w:sz w:val="17"/>
          <w:szCs w:val="17"/>
          <w:color w:val="auto"/>
        </w:rPr>
        <w:t>”), subject to the following terms and conditions: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Definitions</w:t>
      </w:r>
      <w:r>
        <w:rPr>
          <w:rFonts w:ascii="Arial" w:cs="Arial" w:eastAsia="Arial" w:hAnsi="Arial"/>
          <w:sz w:val="18"/>
          <w:szCs w:val="18"/>
          <w:color w:val="auto"/>
        </w:rPr>
        <w:t>. For purposes of this Warrant, the following terms shall have the following meanings:</w:t>
      </w:r>
    </w:p>
    <w:p>
      <w:pPr>
        <w:spacing w:after="0" w:line="113" w:lineRule="exact"/>
        <w:rPr>
          <w:sz w:val="20"/>
          <w:szCs w:val="20"/>
          <w:color w:val="auto"/>
        </w:rPr>
      </w:pPr>
    </w:p>
    <w:p>
      <w:pPr>
        <w:ind w:left="4" w:right="120" w:hanging="4"/>
        <w:spacing w:after="0" w:line="282" w:lineRule="auto"/>
        <w:tabs>
          <w:tab w:leader="none" w:pos="24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directly or indirectly controlled by, controlling or under common control with, a Holder, as such terms are used in and construed under Rule 405 under the Securities Act, but only for so long as such control shall continue.</w:t>
      </w:r>
    </w:p>
    <w:p>
      <w:pPr>
        <w:spacing w:after="0" w:line="161" w:lineRule="exact"/>
        <w:rPr>
          <w:rFonts w:ascii="Arial" w:cs="Arial" w:eastAsia="Arial" w:hAnsi="Arial"/>
          <w:sz w:val="18"/>
          <w:szCs w:val="18"/>
          <w:color w:val="auto"/>
        </w:rPr>
      </w:pPr>
    </w:p>
    <w:p>
      <w:pPr>
        <w:ind w:left="264" w:hanging="264"/>
        <w:spacing w:after="0"/>
        <w:tabs>
          <w:tab w:leader="none" w:pos="26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ind w:left="4" w:right="60" w:hanging="4"/>
        <w:spacing w:after="0" w:line="289" w:lineRule="auto"/>
        <w:tabs>
          <w:tab w:leader="none" w:pos="249"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60" w:lineRule="exact"/>
        <w:rPr>
          <w:rFonts w:ascii="Arial" w:cs="Arial" w:eastAsia="Arial" w:hAnsi="Arial"/>
          <w:sz w:val="16"/>
          <w:szCs w:val="16"/>
          <w:color w:val="auto"/>
        </w:rPr>
      </w:pPr>
    </w:p>
    <w:p>
      <w:pPr>
        <w:ind w:left="4" w:right="80" w:hanging="4"/>
        <w:spacing w:after="0" w:line="282" w:lineRule="auto"/>
        <w:tabs>
          <w:tab w:leader="none" w:pos="25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Trading Market</w:t>
      </w:r>
      <w:r>
        <w:rPr>
          <w:rFonts w:ascii="Arial" w:cs="Arial" w:eastAsia="Arial" w:hAnsi="Arial"/>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61" w:lineRule="exact"/>
        <w:rPr>
          <w:rFonts w:ascii="Arial" w:cs="Arial" w:eastAsia="Arial" w:hAnsi="Arial"/>
          <w:sz w:val="18"/>
          <w:szCs w:val="18"/>
          <w:color w:val="auto"/>
        </w:rPr>
      </w:pPr>
    </w:p>
    <w:p>
      <w:pPr>
        <w:ind w:left="244" w:hanging="244"/>
        <w:spacing w:after="0"/>
        <w:tabs>
          <w:tab w:leader="none" w:pos="244"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Company’s Registration Statement on Form S-3 (File No. 333-239706), declared effective on July 14, 2020.</w:t>
      </w:r>
    </w:p>
    <w:p>
      <w:pPr>
        <w:spacing w:after="0" w:line="248" w:lineRule="exact"/>
        <w:rPr>
          <w:rFonts w:ascii="Arial" w:cs="Arial" w:eastAsia="Arial" w:hAnsi="Arial"/>
          <w:sz w:val="16"/>
          <w:szCs w:val="16"/>
          <w:color w:val="auto"/>
        </w:rPr>
      </w:pPr>
    </w:p>
    <w:p>
      <w:pPr>
        <w:ind w:left="224" w:hanging="224"/>
        <w:spacing w:after="0"/>
        <w:tabs>
          <w:tab w:leader="none" w:pos="22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4" w:right="300" w:hanging="4"/>
        <w:spacing w:after="0" w:line="289" w:lineRule="auto"/>
        <w:tabs>
          <w:tab w:leader="none" w:pos="259" w:val="left"/>
        </w:tabs>
        <w:numPr>
          <w:ilvl w:val="0"/>
          <w:numId w:val="3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157" w:lineRule="exact"/>
        <w:rPr>
          <w:rFonts w:ascii="Arial" w:cs="Arial" w:eastAsia="Arial" w:hAnsi="Arial"/>
          <w:sz w:val="17"/>
          <w:szCs w:val="17"/>
          <w:color w:val="auto"/>
        </w:rPr>
      </w:pPr>
    </w:p>
    <w:p>
      <w:pPr>
        <w:ind w:left="4" w:right="300" w:hanging="4"/>
        <w:spacing w:after="0" w:line="282" w:lineRule="auto"/>
        <w:tabs>
          <w:tab w:leader="none" w:pos="259"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w:t>
      </w:r>
      <w:r>
        <w:rPr>
          <w:rFonts w:ascii="Arial" w:cs="Arial" w:eastAsia="Arial" w:hAnsi="Arial"/>
          <w:sz w:val="18"/>
          <w:szCs w:val="18"/>
          <w:color w:val="auto"/>
        </w:rPr>
        <w:t>” means American Stock Transfer and Trust Company, LLC, the Company’s transfer agent and registrar for the Common Stock, and any successor appointed in such capacity.</w:t>
      </w:r>
    </w:p>
    <w:p>
      <w:pPr>
        <w:sectPr>
          <w:pgSz w:w="11900" w:h="16838" w:orient="portrait"/>
          <w:cols w:equalWidth="0" w:num="1">
            <w:col w:w="11024"/>
          </w:cols>
          <w:pgMar w:left="436" w:top="121" w:right="439" w:bottom="1440" w:gutter="0" w:footer="0" w:header="0"/>
          <w:type w:val="continuous"/>
        </w:sectPr>
      </w:pPr>
    </w:p>
    <w:bookmarkStart w:id="481" w:name="page482"/>
    <w:bookmarkEnd w:id="481"/>
    <w:p>
      <w:pPr>
        <w:ind w:left="4" w:right="360" w:hanging="4"/>
        <w:spacing w:after="0" w:line="277" w:lineRule="auto"/>
        <w:tabs>
          <w:tab w:leader="none" w:pos="184"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Securities; Registration of Warrants</w:t>
      </w:r>
      <w:r>
        <w:rPr>
          <w:rFonts w:ascii="Arial" w:cs="Arial" w:eastAsia="Arial" w:hAnsi="Arial"/>
          <w:sz w:val="18"/>
          <w:szCs w:val="18"/>
          <w:color w:val="auto"/>
        </w:rPr>
        <w:t>. The Warrant, as initially issued by the Company, is offered and sold pursuant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As of the Original Issue Date, the Warrant Shares are issuable under the Registration Statement.</w:t>
      </w:r>
    </w:p>
    <w:p>
      <w:pPr>
        <w:spacing w:after="0" w:line="170" w:lineRule="exact"/>
        <w:rPr>
          <w:sz w:val="20"/>
          <w:szCs w:val="20"/>
          <w:color w:val="auto"/>
        </w:rPr>
      </w:pPr>
    </w:p>
    <w:p>
      <w:pPr>
        <w:ind w:left="4" w:right="120"/>
        <w:spacing w:after="0" w:line="293" w:lineRule="auto"/>
        <w:rPr>
          <w:sz w:val="20"/>
          <w:szCs w:val="20"/>
          <w:color w:val="auto"/>
        </w:rPr>
      </w:pPr>
      <w:r>
        <w:rPr>
          <w:rFonts w:ascii="Arial" w:cs="Arial" w:eastAsia="Arial" w:hAnsi="Arial"/>
          <w:sz w:val="16"/>
          <w:szCs w:val="16"/>
          <w:color w:val="auto"/>
        </w:rPr>
        <w:t>Accordingly, the Warrant and, assuming issuance pursuant to the Registration Statement or an exchange meeting the requirements of Section 3(a)(9) of the Exchange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color w:val="auto"/>
        </w:rPr>
        <w:t>Register</w:t>
      </w:r>
      <w:r>
        <w:rPr>
          <w:rFonts w:ascii="Arial" w:cs="Arial" w:eastAsia="Arial" w:hAnsi="Arial"/>
          <w:sz w:val="16"/>
          <w:szCs w:val="16"/>
          <w:color w:val="auto"/>
        </w:rPr>
        <w:t>”), in the name of the record Holder (which shall include the initial Holder or, as the case may be, any assignee to which this Warrant is</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4" w:lineRule="exact"/>
        <w:rPr>
          <w:sz w:val="20"/>
          <w:szCs w:val="20"/>
          <w:color w:val="auto"/>
        </w:rPr>
      </w:pPr>
    </w:p>
    <w:p>
      <w:pPr>
        <w:ind w:left="4" w:hanging="4"/>
        <w:spacing w:after="0" w:line="270" w:lineRule="auto"/>
        <w:tabs>
          <w:tab w:leader="none" w:pos="184" w:val="left"/>
        </w:tabs>
        <w:numPr>
          <w:ilvl w:val="0"/>
          <w:numId w:val="348"/>
        </w:numPr>
        <w:rPr>
          <w:rFonts w:ascii="Arial" w:cs="Arial" w:eastAsia="Arial" w:hAnsi="Arial"/>
          <w:sz w:val="17"/>
          <w:szCs w:val="17"/>
          <w:color w:val="auto"/>
        </w:rPr>
      </w:pPr>
      <w:r>
        <w:rPr>
          <w:rFonts w:ascii="Arial" w:cs="Arial" w:eastAsia="Arial" w:hAnsi="Arial"/>
          <w:sz w:val="17"/>
          <w:szCs w:val="17"/>
          <w:i w:val="1"/>
          <w:iCs w:val="1"/>
          <w:color w:val="auto"/>
        </w:rPr>
        <w:t>Registration of Transfers</w:t>
      </w:r>
      <w:r>
        <w:rPr>
          <w:rFonts w:ascii="Arial" w:cs="Arial" w:eastAsia="Arial" w:hAnsi="Arial"/>
          <w:sz w:val="17"/>
          <w:szCs w:val="17"/>
          <w:color w:val="auto"/>
        </w:rPr>
        <w:t>. Subject to compliance with all applicable securities laws, the Company shall, or will cause its Transfer Agent to, register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Arial" w:cs="Arial" w:eastAsia="Arial" w:hAnsi="Arial"/>
          <w:sz w:val="17"/>
          <w:szCs w:val="17"/>
          <w:b w:val="1"/>
          <w:bCs w:val="1"/>
          <w:color w:val="auto"/>
        </w:rPr>
        <w:t>New Warrant</w:t>
      </w:r>
      <w:r>
        <w:rPr>
          <w:rFonts w:ascii="Arial" w:cs="Arial" w:eastAsia="Arial" w:hAnsi="Arial"/>
          <w:sz w:val="17"/>
          <w:szCs w:val="17"/>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spacing w:after="0" w:line="180" w:lineRule="exact"/>
        <w:rPr>
          <w:rFonts w:ascii="Arial" w:cs="Arial" w:eastAsia="Arial" w:hAnsi="Arial"/>
          <w:sz w:val="17"/>
          <w:szCs w:val="17"/>
          <w:color w:val="auto"/>
        </w:rPr>
      </w:pPr>
    </w:p>
    <w:p>
      <w:pPr>
        <w:ind w:left="184" w:hanging="184"/>
        <w:spacing w:after="0"/>
        <w:tabs>
          <w:tab w:leader="none" w:pos="184"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Exercise and Duration of Warrants</w:t>
      </w:r>
      <w:r>
        <w:rPr>
          <w:rFonts w:ascii="Arial" w:cs="Arial" w:eastAsia="Arial" w:hAnsi="Arial"/>
          <w:sz w:val="18"/>
          <w:szCs w:val="18"/>
          <w:color w:val="auto"/>
        </w:rPr>
        <w:t>.</w:t>
      </w:r>
    </w:p>
    <w:p>
      <w:pPr>
        <w:spacing w:after="0" w:line="225" w:lineRule="exact"/>
        <w:rPr>
          <w:sz w:val="20"/>
          <w:szCs w:val="20"/>
          <w:color w:val="auto"/>
        </w:rPr>
      </w:pPr>
    </w:p>
    <w:p>
      <w:pPr>
        <w:ind w:left="4" w:right="300" w:hanging="4"/>
        <w:spacing w:after="0" w:line="277" w:lineRule="auto"/>
        <w:tabs>
          <w:tab w:leader="none" w:pos="24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All or any part of this Warrant shall be exercisable by the registered Holder in any manner permitted by this Warrant at any time and from time to time on or after the Original Issue Date.</w:t>
      </w:r>
    </w:p>
    <w:p>
      <w:pPr>
        <w:spacing w:after="0" w:line="166" w:lineRule="exact"/>
        <w:rPr>
          <w:rFonts w:ascii="Arial" w:cs="Arial" w:eastAsia="Arial" w:hAnsi="Arial"/>
          <w:sz w:val="18"/>
          <w:szCs w:val="18"/>
          <w:color w:val="auto"/>
        </w:rPr>
      </w:pPr>
    </w:p>
    <w:p>
      <w:pPr>
        <w:ind w:left="4" w:right="20" w:hanging="4"/>
        <w:spacing w:after="0" w:line="271" w:lineRule="auto"/>
        <w:tabs>
          <w:tab w:leader="none" w:pos="259"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Holder may exercise this Warrant by delivering to the Company (i) an exercise notice, in the form attached as Schedule 1 hereto (the “</w:t>
      </w:r>
      <w:r>
        <w:rPr>
          <w:rFonts w:ascii="Arial" w:cs="Arial" w:eastAsia="Arial" w:hAnsi="Arial"/>
          <w:sz w:val="17"/>
          <w:szCs w:val="17"/>
          <w:b w:val="1"/>
          <w:bCs w:val="1"/>
          <w:color w:val="auto"/>
        </w:rPr>
        <w:t>Exercise</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completed and duly signed, and (ii) payment of the Exercise Price for the number of Warrant Shares as to which this Warrant is being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exercised (which may take the form of a “cashless exercise” if so indicated in the Exercise Notice pursuant to Section 10 below). The date on which such exercise notice is delivered to the Company (as determined in accordance with the notice provisions hereof) is an </w:t>
      </w:r>
      <w:r>
        <w:rPr>
          <w:rFonts w:ascii="Arial" w:cs="Arial" w:eastAsia="Arial" w:hAnsi="Arial"/>
          <w:sz w:val="17"/>
          <w:szCs w:val="17"/>
          <w:b w:val="1"/>
          <w:bCs w:val="1"/>
          <w:color w:val="auto"/>
        </w:rPr>
        <w:t>“Exercise Date</w:t>
      </w:r>
      <w:r>
        <w:rPr>
          <w:rFonts w:ascii="Arial" w:cs="Arial" w:eastAsia="Arial" w:hAnsi="Arial"/>
          <w:sz w:val="17"/>
          <w:szCs w:val="17"/>
          <w:color w:val="auto"/>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Arial" w:cs="Arial" w:eastAsia="Arial" w:hAnsi="Arial"/>
          <w:sz w:val="17"/>
          <w:szCs w:val="17"/>
          <w:b w:val="1"/>
          <w:bCs w:val="1"/>
          <w:color w:val="auto"/>
        </w:rPr>
        <w:t>The Holder and any assignee, by acceptance of this Warrant, acknowledge and agree that, by reason of the provisions of this</w:t>
      </w:r>
      <w:r>
        <w:rPr>
          <w:rFonts w:ascii="Arial" w:cs="Arial" w:eastAsia="Arial" w:hAnsi="Arial"/>
          <w:sz w:val="17"/>
          <w:szCs w:val="17"/>
          <w:color w:val="auto"/>
        </w:rPr>
        <w:t xml:space="preserve"> </w:t>
      </w:r>
      <w:r>
        <w:rPr>
          <w:rFonts w:ascii="Arial" w:cs="Arial" w:eastAsia="Arial" w:hAnsi="Arial"/>
          <w:sz w:val="17"/>
          <w:szCs w:val="17"/>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178" w:lineRule="exact"/>
        <w:rPr>
          <w:sz w:val="20"/>
          <w:szCs w:val="20"/>
          <w:color w:val="auto"/>
        </w:rPr>
      </w:pPr>
    </w:p>
    <w:p>
      <w:pPr>
        <w:ind w:left="184" w:hanging="184"/>
        <w:spacing w:after="0"/>
        <w:tabs>
          <w:tab w:leader="none" w:pos="184"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t>Delivery of Warrant Shares</w:t>
      </w:r>
      <w:r>
        <w:rPr>
          <w:rFonts w:ascii="Arial" w:cs="Arial" w:eastAsia="Arial" w:hAnsi="Arial"/>
          <w:sz w:val="18"/>
          <w:szCs w:val="18"/>
          <w:color w:val="auto"/>
        </w:rPr>
        <w:t>.</w:t>
      </w:r>
    </w:p>
    <w:p>
      <w:pPr>
        <w:spacing w:after="0" w:line="225" w:lineRule="exact"/>
        <w:rPr>
          <w:sz w:val="20"/>
          <w:szCs w:val="20"/>
          <w:color w:val="auto"/>
        </w:rPr>
      </w:pPr>
    </w:p>
    <w:p>
      <w:pPr>
        <w:ind w:left="4" w:right="20" w:hanging="4"/>
        <w:spacing w:after="0" w:line="289" w:lineRule="auto"/>
        <w:tabs>
          <w:tab w:leader="none" w:pos="249" w:val="left"/>
        </w:tabs>
        <w:numPr>
          <w:ilvl w:val="0"/>
          <w:numId w:val="351"/>
        </w:numPr>
        <w:rPr>
          <w:rFonts w:ascii="Arial" w:cs="Arial" w:eastAsia="Arial" w:hAnsi="Arial"/>
          <w:sz w:val="16"/>
          <w:szCs w:val="16"/>
          <w:color w:val="auto"/>
        </w:rPr>
      </w:pPr>
      <w:r>
        <w:rPr>
          <w:rFonts w:ascii="Arial" w:cs="Arial" w:eastAsia="Arial" w:hAnsi="Arial"/>
          <w:sz w:val="16"/>
          <w:szCs w:val="16"/>
          <w:color w:val="auto"/>
        </w:rPr>
        <w:t>Upon exercise of this Warrant, the Company shall promptly (but in no event later than three (3)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through its Deposit Withdrawal Agent Commission system, or if the Transfer Agent is not participating in the Fast Automated Securities Transfer Program (the “</w:t>
      </w:r>
      <w:r>
        <w:rPr>
          <w:rFonts w:ascii="Arial" w:cs="Arial" w:eastAsia="Arial" w:hAnsi="Arial"/>
          <w:sz w:val="16"/>
          <w:szCs w:val="16"/>
          <w:b w:val="1"/>
          <w:bCs w:val="1"/>
          <w:color w:val="auto"/>
        </w:rPr>
        <w:t>FAST Program</w:t>
      </w:r>
      <w:r>
        <w:rPr>
          <w:rFonts w:ascii="Arial" w:cs="Arial" w:eastAsia="Arial" w:hAnsi="Arial"/>
          <w:sz w:val="16"/>
          <w:szCs w:val="16"/>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Arial" w:cs="Arial" w:eastAsia="Arial" w:hAnsi="Arial"/>
          <w:sz w:val="16"/>
          <w:szCs w:val="16"/>
          <w:b w:val="1"/>
          <w:bCs w:val="1"/>
          <w:color w:val="auto"/>
        </w:rPr>
        <w:t>Person</w:t>
      </w:r>
      <w:r>
        <w:rPr>
          <w:rFonts w:ascii="Arial" w:cs="Arial" w:eastAsia="Arial" w:hAnsi="Arial"/>
          <w:sz w:val="16"/>
          <w:szCs w:val="16"/>
          <w:color w:val="auto"/>
        </w:rPr>
        <w:t>”)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sectPr>
          <w:pgSz w:w="11900" w:h="16838" w:orient="portrait"/>
          <w:cols w:equalWidth="0" w:num="1">
            <w:col w:w="11004"/>
          </w:cols>
          <w:pgMar w:left="436" w:top="273" w:right="459" w:bottom="1440" w:gutter="0" w:footer="0" w:header="0"/>
        </w:sectPr>
      </w:pPr>
    </w:p>
    <w:bookmarkStart w:id="482" w:name="page483"/>
    <w:bookmarkEnd w:id="482"/>
    <w:p>
      <w:pPr>
        <w:ind w:left="4" w:hanging="4"/>
        <w:spacing w:after="0" w:line="270" w:lineRule="auto"/>
        <w:tabs>
          <w:tab w:leader="none" w:pos="259" w:val="left"/>
        </w:tabs>
        <w:numPr>
          <w:ilvl w:val="0"/>
          <w:numId w:val="3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permitted by law,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1" w:lineRule="exact"/>
        <w:rPr>
          <w:sz w:val="20"/>
          <w:szCs w:val="20"/>
          <w:color w:val="auto"/>
        </w:rPr>
      </w:pPr>
    </w:p>
    <w:p>
      <w:pPr>
        <w:ind w:left="4" w:right="60" w:hanging="4"/>
        <w:spacing w:after="0" w:line="273" w:lineRule="auto"/>
        <w:tabs>
          <w:tab w:leader="none" w:pos="184" w:val="left"/>
        </w:tabs>
        <w:numPr>
          <w:ilvl w:val="0"/>
          <w:numId w:val="353"/>
        </w:numPr>
        <w:rPr>
          <w:rFonts w:ascii="Arial" w:cs="Arial" w:eastAsia="Arial" w:hAnsi="Arial"/>
          <w:sz w:val="17"/>
          <w:szCs w:val="17"/>
          <w:color w:val="auto"/>
        </w:rPr>
      </w:pPr>
      <w:r>
        <w:rPr>
          <w:rFonts w:ascii="Arial" w:cs="Arial" w:eastAsia="Arial" w:hAnsi="Arial"/>
          <w:sz w:val="17"/>
          <w:szCs w:val="17"/>
          <w:i w:val="1"/>
          <w:iCs w:val="1"/>
          <w:color w:val="auto"/>
        </w:rPr>
        <w:t>Charges, Taxes and Expenses</w:t>
      </w:r>
      <w:r>
        <w:rPr>
          <w:rFonts w:ascii="Arial" w:cs="Arial" w:eastAsia="Arial" w:hAnsi="Arial"/>
          <w:sz w:val="17"/>
          <w:szCs w:val="17"/>
          <w:color w:val="auto"/>
        </w:rPr>
        <w:t>. Issuance and delivery of certificates for shares of Common Stock upon exercise of this Warrant shall be made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77" w:lineRule="exact"/>
        <w:rPr>
          <w:rFonts w:ascii="Arial" w:cs="Arial" w:eastAsia="Arial" w:hAnsi="Arial"/>
          <w:sz w:val="17"/>
          <w:szCs w:val="17"/>
          <w:color w:val="auto"/>
        </w:rPr>
      </w:pPr>
    </w:p>
    <w:p>
      <w:pPr>
        <w:ind w:left="4" w:hanging="4"/>
        <w:spacing w:after="0" w:line="254" w:lineRule="auto"/>
        <w:tabs>
          <w:tab w:leader="none" w:pos="184"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t>Replacement of Warrant</w:t>
      </w:r>
      <w:r>
        <w:rPr>
          <w:rFonts w:ascii="Arial" w:cs="Arial" w:eastAsia="Arial" w:hAnsi="Arial"/>
          <w:sz w:val="18"/>
          <w:szCs w:val="18"/>
          <w:color w:val="auto"/>
        </w:rPr>
        <w:t>. If this Warrant is mutilated, lost, stolen or destroyed, the Company shall issue or cause to be issued in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94" w:lineRule="exact"/>
        <w:rPr>
          <w:rFonts w:ascii="Arial" w:cs="Arial" w:eastAsia="Arial" w:hAnsi="Arial"/>
          <w:sz w:val="18"/>
          <w:szCs w:val="18"/>
          <w:color w:val="auto"/>
        </w:rPr>
      </w:pPr>
    </w:p>
    <w:p>
      <w:pPr>
        <w:ind w:left="4" w:hanging="4"/>
        <w:spacing w:after="0" w:line="269" w:lineRule="auto"/>
        <w:tabs>
          <w:tab w:leader="none" w:pos="184" w:val="left"/>
        </w:tabs>
        <w:numPr>
          <w:ilvl w:val="0"/>
          <w:numId w:val="353"/>
        </w:numPr>
        <w:rPr>
          <w:rFonts w:ascii="Arial" w:cs="Arial" w:eastAsia="Arial" w:hAnsi="Arial"/>
          <w:sz w:val="17"/>
          <w:szCs w:val="17"/>
          <w:color w:val="auto"/>
        </w:rPr>
      </w:pPr>
      <w:r>
        <w:rPr>
          <w:rFonts w:ascii="Arial" w:cs="Arial" w:eastAsia="Arial" w:hAnsi="Arial"/>
          <w:sz w:val="17"/>
          <w:szCs w:val="17"/>
          <w:i w:val="1"/>
          <w:iCs w:val="1"/>
          <w:color w:val="auto"/>
        </w:rPr>
        <w:t>Reservation of Warrant Shares</w:t>
      </w:r>
      <w:r>
        <w:rPr>
          <w:rFonts w:ascii="Arial" w:cs="Arial" w:eastAsia="Arial" w:hAnsi="Arial"/>
          <w:sz w:val="17"/>
          <w:szCs w:val="17"/>
          <w:color w:val="auto"/>
        </w:rPr>
        <w:t>. The Company covenants that it will, at all times while this Warrant is outstanding, reserve and keep available out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5" w:lineRule="exact"/>
        <w:rPr>
          <w:rFonts w:ascii="Arial" w:cs="Arial" w:eastAsia="Arial" w:hAnsi="Arial"/>
          <w:sz w:val="17"/>
          <w:szCs w:val="17"/>
          <w:color w:val="auto"/>
        </w:rPr>
      </w:pPr>
    </w:p>
    <w:p>
      <w:pPr>
        <w:ind w:left="4" w:right="80" w:hanging="4"/>
        <w:spacing w:after="0" w:line="277" w:lineRule="auto"/>
        <w:tabs>
          <w:tab w:leader="none" w:pos="184"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The Exercise Price and number of Warrant Shares issuable upon exercise of this Warrant are subject to adjustment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as set forth in this Section 9.</w:t>
      </w:r>
    </w:p>
    <w:p>
      <w:pPr>
        <w:spacing w:after="0" w:line="170" w:lineRule="exact"/>
        <w:rPr>
          <w:sz w:val="20"/>
          <w:szCs w:val="20"/>
          <w:color w:val="auto"/>
        </w:rPr>
      </w:pPr>
    </w:p>
    <w:p>
      <w:pPr>
        <w:ind w:left="4" w:right="100" w:hanging="4"/>
        <w:spacing w:after="0" w:line="311" w:lineRule="auto"/>
        <w:tabs>
          <w:tab w:leader="none" w:pos="249"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w:t>
      </w:r>
    </w:p>
    <w:p>
      <w:pPr>
        <w:sectPr>
          <w:pgSz w:w="11900" w:h="16838" w:orient="portrait"/>
          <w:cols w:equalWidth="0" w:num="1">
            <w:col w:w="10984"/>
          </w:cols>
          <w:pgMar w:left="436" w:top="273" w:right="479" w:bottom="1440" w:gutter="0" w:footer="0" w:header="0"/>
        </w:sectPr>
      </w:pPr>
    </w:p>
    <w:bookmarkStart w:id="483" w:name="page484"/>
    <w:bookmarkEnd w:id="483"/>
    <w:p>
      <w:pPr>
        <w:ind w:left="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66" w:lineRule="exact"/>
        <w:rPr>
          <w:sz w:val="20"/>
          <w:szCs w:val="20"/>
          <w:color w:val="auto"/>
        </w:rPr>
      </w:pPr>
    </w:p>
    <w:p>
      <w:pPr>
        <w:ind w:left="4" w:right="360" w:hanging="4"/>
        <w:spacing w:after="0" w:line="291" w:lineRule="auto"/>
        <w:tabs>
          <w:tab w:leader="none" w:pos="259" w:val="left"/>
        </w:tabs>
        <w:numPr>
          <w:ilvl w:val="0"/>
          <w:numId w:val="355"/>
        </w:numPr>
        <w:rPr>
          <w:rFonts w:ascii="Arial" w:cs="Arial" w:eastAsia="Arial" w:hAnsi="Arial"/>
          <w:sz w:val="16"/>
          <w:szCs w:val="16"/>
          <w:color w:val="auto"/>
        </w:rPr>
      </w:pPr>
      <w:r>
        <w:rPr>
          <w:rFonts w:ascii="Arial" w:cs="Arial" w:eastAsia="Arial" w:hAnsi="Arial"/>
          <w:sz w:val="16"/>
          <w:szCs w:val="16"/>
          <w:color w:val="auto"/>
        </w:rPr>
        <w:t>Pro Rata Distributions. If the Company, at any time while this Warrant is outstanding, distributes to all holders of Common Stock for no consideration (i) evidences of its indebtedness, (ii) any security (other than a distribution of Common Stock covered by the preceding paragraph) or</w:t>
      </w:r>
    </w:p>
    <w:p>
      <w:pPr>
        <w:ind w:left="4" w:right="20" w:hanging="4"/>
        <w:spacing w:after="0" w:line="267" w:lineRule="auto"/>
        <w:tabs>
          <w:tab w:leader="none" w:pos="319" w:val="left"/>
        </w:tabs>
        <w:numPr>
          <w:ilvl w:val="0"/>
          <w:numId w:val="356"/>
        </w:numPr>
        <w:rPr>
          <w:rFonts w:ascii="Arial" w:cs="Arial" w:eastAsia="Arial" w:hAnsi="Arial"/>
          <w:sz w:val="17"/>
          <w:szCs w:val="17"/>
          <w:color w:val="auto"/>
        </w:rPr>
      </w:pPr>
      <w:r>
        <w:rPr>
          <w:rFonts w:ascii="Arial" w:cs="Arial" w:eastAsia="Arial" w:hAnsi="Arial"/>
          <w:sz w:val="17"/>
          <w:szCs w:val="17"/>
          <w:color w:val="auto"/>
        </w:rPr>
        <w:t>rights or warrants to subscribe for or purchase any security, or (iv) cash or any other asset (in each case, a “</w:t>
      </w:r>
      <w:r>
        <w:rPr>
          <w:rFonts w:ascii="Arial" w:cs="Arial" w:eastAsia="Arial" w:hAnsi="Arial"/>
          <w:sz w:val="17"/>
          <w:szCs w:val="17"/>
          <w:b w:val="1"/>
          <w:bCs w:val="1"/>
          <w:color w:val="auto"/>
        </w:rPr>
        <w:t>Distribution</w:t>
      </w:r>
      <w:r>
        <w:rPr>
          <w:rFonts w:ascii="Arial" w:cs="Arial" w:eastAsia="Arial" w:hAnsi="Arial"/>
          <w:sz w:val="17"/>
          <w:szCs w:val="17"/>
          <w:color w:val="auto"/>
        </w:rPr>
        <w:t xml:space="preserve">”), other than a reclassification as to which Section 9(c) applies,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ownership limitation set forth in Section 11(a) hereof) immediately before the date of which a record is taken for such Distribution, or, if no such record is taken, the date as of which the record holders of Common Stock are to be determined for the participation in such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to the extent that the Holder’s right to participate in any such Distribution would result in the Holder exceeding the ownership limitation set forth in Section 11(a) hereof,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the earlier of (i) such time, if ever, as the delivery to such Holder of such portion would not result in the Holder exceeding the ownership limitation set forth in Section 11(a) hereof and (ii) such time as the Holder has exercised this Warrant.</w:t>
      </w:r>
    </w:p>
    <w:p>
      <w:pPr>
        <w:spacing w:after="0" w:line="185" w:lineRule="exact"/>
        <w:rPr>
          <w:rFonts w:ascii="Arial" w:cs="Arial" w:eastAsia="Arial" w:hAnsi="Arial"/>
          <w:sz w:val="17"/>
          <w:szCs w:val="17"/>
          <w:color w:val="auto"/>
        </w:rPr>
      </w:pPr>
    </w:p>
    <w:p>
      <w:pPr>
        <w:ind w:left="4" w:right="20" w:hanging="4"/>
        <w:spacing w:after="0" w:line="267" w:lineRule="auto"/>
        <w:tabs>
          <w:tab w:leader="none" w:pos="249"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Fundamental Transactions</w:t>
      </w:r>
      <w:r>
        <w:rPr>
          <w:rFonts w:ascii="Arial" w:cs="Arial" w:eastAsia="Arial" w:hAnsi="Arial"/>
          <w:sz w:val="17"/>
          <w:szCs w:val="17"/>
          <w:color w:val="auto"/>
        </w:rPr>
        <w:t>.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Arial" w:cs="Arial" w:eastAsia="Arial" w:hAnsi="Arial"/>
          <w:sz w:val="17"/>
          <w:szCs w:val="17"/>
          <w:b w:val="1"/>
          <w:bCs w:val="1"/>
          <w:color w:val="auto"/>
        </w:rPr>
        <w:t>Fundamental Transaction</w:t>
      </w:r>
      <w:r>
        <w:rPr>
          <w:rFonts w:ascii="Arial" w:cs="Arial" w:eastAsia="Arial" w:hAnsi="Arial"/>
          <w:sz w:val="17"/>
          <w:szCs w:val="17"/>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Arial" w:cs="Arial" w:eastAsia="Arial" w:hAnsi="Arial"/>
          <w:sz w:val="17"/>
          <w:szCs w:val="17"/>
          <w:b w:val="1"/>
          <w:bCs w:val="1"/>
          <w:color w:val="auto"/>
        </w:rPr>
        <w:t>Alternate</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Consideration</w:t>
      </w:r>
      <w:r>
        <w:rPr>
          <w:rFonts w:ascii="Arial" w:cs="Arial" w:eastAsia="Arial" w:hAnsi="Arial"/>
          <w:sz w:val="17"/>
          <w:szCs w:val="17"/>
          <w:color w:val="auto"/>
        </w:rPr>
        <w:t>”). The Company shall not effect any Fundamental Transaction in which the Company is not the surviving entity or the Alternate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includes securities of another Person unless (i) the Alternate Consideration is solely cash and the Company provides for the simultaneous “cashless exercise” of this Warrant pursuant to Section 10 below or (ii) prior to or simultaneously with the consummation thereof, any successor to the Company, surviving entity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-4560570</wp:posOffset>
            </wp:positionV>
            <wp:extent cx="10502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2">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ectPr>
          <w:pgSz w:w="11900" w:h="16838" w:orient="portrait"/>
          <w:cols w:equalWidth="0" w:num="1">
            <w:col w:w="10984"/>
          </w:cols>
          <w:pgMar w:left="436" w:top="273" w:right="479" w:bottom="1440" w:gutter="0" w:footer="0" w:header="0"/>
        </w:sectPr>
      </w:pPr>
    </w:p>
    <w:bookmarkStart w:id="484" w:name="page485"/>
    <w:bookmarkEnd w:id="484"/>
    <w:p>
      <w:pPr>
        <w:ind w:left="4"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w:t>
      </w:r>
    </w:p>
    <w:p>
      <w:pPr>
        <w:spacing w:after="0" w:line="165" w:lineRule="exact"/>
        <w:rPr>
          <w:sz w:val="20"/>
          <w:szCs w:val="20"/>
          <w:color w:val="auto"/>
        </w:rPr>
      </w:pPr>
    </w:p>
    <w:p>
      <w:pPr>
        <w:ind w:left="4" w:right="20" w:hanging="4"/>
        <w:spacing w:after="0" w:line="296" w:lineRule="auto"/>
        <w:tabs>
          <w:tab w:leader="none" w:pos="259"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Number of Warrant Shares</w:t>
      </w:r>
      <w:r>
        <w:rPr>
          <w:rFonts w:ascii="Arial" w:cs="Arial" w:eastAsia="Arial" w:hAnsi="Arial"/>
          <w:sz w:val="16"/>
          <w:szCs w:val="16"/>
          <w:color w:val="auto"/>
        </w:rPr>
        <w:t>. Simultaneously with any adjustment to the Exercise Price pursuant to Section 9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61" w:lineRule="exact"/>
        <w:rPr>
          <w:rFonts w:ascii="Arial" w:cs="Arial" w:eastAsia="Arial" w:hAnsi="Arial"/>
          <w:sz w:val="16"/>
          <w:szCs w:val="16"/>
          <w:color w:val="auto"/>
        </w:rPr>
      </w:pPr>
    </w:p>
    <w:p>
      <w:pPr>
        <w:ind w:left="244" w:hanging="244"/>
        <w:spacing w:after="0"/>
        <w:tabs>
          <w:tab w:leader="none" w:pos="244"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9 shall be made to the nearest one-hundredth of one cent or the nearest share, as applicable.</w:t>
      </w:r>
    </w:p>
    <w:p>
      <w:pPr>
        <w:spacing w:after="0" w:line="236" w:lineRule="exact"/>
        <w:rPr>
          <w:rFonts w:ascii="Arial" w:cs="Arial" w:eastAsia="Arial" w:hAnsi="Arial"/>
          <w:sz w:val="17"/>
          <w:szCs w:val="17"/>
          <w:color w:val="auto"/>
        </w:rPr>
      </w:pPr>
    </w:p>
    <w:p>
      <w:pPr>
        <w:ind w:left="4" w:right="100" w:hanging="4"/>
        <w:spacing w:after="0" w:line="255" w:lineRule="auto"/>
        <w:tabs>
          <w:tab w:leader="none" w:pos="229"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92" w:lineRule="exact"/>
        <w:rPr>
          <w:rFonts w:ascii="Arial" w:cs="Arial" w:eastAsia="Arial" w:hAnsi="Arial"/>
          <w:sz w:val="18"/>
          <w:szCs w:val="18"/>
          <w:color w:val="auto"/>
        </w:rPr>
      </w:pPr>
    </w:p>
    <w:p>
      <w:pPr>
        <w:ind w:left="4" w:hanging="4"/>
        <w:spacing w:after="0" w:line="268" w:lineRule="auto"/>
        <w:tabs>
          <w:tab w:leader="none" w:pos="259"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Notice of Corporate Events</w:t>
      </w:r>
      <w:r>
        <w:rPr>
          <w:rFonts w:ascii="Arial" w:cs="Arial" w:eastAsia="Arial" w:hAnsi="Arial"/>
          <w:sz w:val="17"/>
          <w:szCs w:val="17"/>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9(c), other than a Fundamental Transaction under clause (iii) of Section 9(c), the Company shall deliver to the Holder a notice of such Fundamental Transaction at least ten (10)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of any such information.</w:t>
      </w:r>
    </w:p>
    <w:p>
      <w:pPr>
        <w:spacing w:after="0" w:line="186" w:lineRule="exact"/>
        <w:rPr>
          <w:sz w:val="20"/>
          <w:szCs w:val="20"/>
          <w:color w:val="auto"/>
        </w:rPr>
      </w:pPr>
    </w:p>
    <w:p>
      <w:pPr>
        <w:ind w:left="4" w:right="140" w:hanging="4"/>
        <w:spacing w:after="0" w:line="286" w:lineRule="auto"/>
        <w:tabs>
          <w:tab w:leader="none" w:pos="274" w:val="left"/>
        </w:tabs>
        <w:numPr>
          <w:ilvl w:val="0"/>
          <w:numId w:val="359"/>
        </w:numPr>
        <w:rPr>
          <w:rFonts w:ascii="Arial" w:cs="Arial" w:eastAsia="Arial" w:hAnsi="Arial"/>
          <w:sz w:val="17"/>
          <w:szCs w:val="17"/>
          <w:color w:val="auto"/>
        </w:rPr>
      </w:pPr>
      <w:r>
        <w:rPr>
          <w:rFonts w:ascii="Arial" w:cs="Arial" w:eastAsia="Arial" w:hAnsi="Arial"/>
          <w:sz w:val="17"/>
          <w:szCs w:val="17"/>
          <w:i w:val="1"/>
          <w:iCs w:val="1"/>
          <w:color w:val="auto"/>
        </w:rPr>
        <w:t>Payment of Cashless Exercise Price</w:t>
      </w:r>
      <w:r>
        <w:rPr>
          <w:rFonts w:ascii="Arial" w:cs="Arial" w:eastAsia="Arial" w:hAnsi="Arial"/>
          <w:sz w:val="17"/>
          <w:szCs w:val="17"/>
          <w:color w:val="auto"/>
        </w:rPr>
        <w:t>. Notwithstanding anything contained herein to the contrary, the Holder may, in its sole discretion, satisfy its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“X” equals the number of Warrant Shares to be issued to the Holder;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“Y” equals the total number of Warrant Shares with respect to which this Warrant is then being exercised;</w:t>
      </w:r>
    </w:p>
    <w:p>
      <w:pPr>
        <w:sectPr>
          <w:pgSz w:w="11900" w:h="16838" w:orient="portrait"/>
          <w:cols w:equalWidth="0" w:num="1">
            <w:col w:w="11004"/>
          </w:cols>
          <w:pgMar w:left="436" w:top="273" w:right="459" w:bottom="1440" w:gutter="0" w:footer="0" w:header="0"/>
        </w:sectPr>
      </w:pPr>
    </w:p>
    <w:bookmarkStart w:id="485" w:name="page486"/>
    <w:bookmarkEnd w:id="48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equals the Closing Sale Price per share of Common Stock as of the Trading Day on the date immediately preceding the Exercise Date; and</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“B” equals the Exercise Price per Warrant Share then in effect on the Exercise Date.</w:t>
      </w:r>
    </w:p>
    <w:p>
      <w:pPr>
        <w:spacing w:after="0" w:line="225"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date this Warrant was originally issued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the Warrant may only be exercised through a cashless exercise, as set forth in this Section 10.</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no event will the exercise of this Warrant be settled in cash.</w:t>
      </w:r>
    </w:p>
    <w:p>
      <w:pPr>
        <w:spacing w:after="0" w:line="225" w:lineRule="exact"/>
        <w:rPr>
          <w:sz w:val="20"/>
          <w:szCs w:val="20"/>
          <w:color w:val="auto"/>
        </w:rPr>
      </w:pPr>
    </w:p>
    <w:p>
      <w:pPr>
        <w:ind w:left="264" w:hanging="264"/>
        <w:spacing w:after="0"/>
        <w:tabs>
          <w:tab w:leader="none" w:pos="264"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Limitations on Exercise</w:t>
      </w:r>
      <w:r>
        <w:rPr>
          <w:rFonts w:ascii="Arial" w:cs="Arial" w:eastAsia="Arial" w:hAnsi="Arial"/>
          <w:sz w:val="18"/>
          <w:szCs w:val="18"/>
          <w:color w:val="auto"/>
        </w:rPr>
        <w:t>.</w:t>
      </w:r>
    </w:p>
    <w:p>
      <w:pPr>
        <w:spacing w:after="0" w:line="225" w:lineRule="exact"/>
        <w:rPr>
          <w:sz w:val="20"/>
          <w:szCs w:val="20"/>
          <w:color w:val="auto"/>
        </w:rPr>
      </w:pPr>
    </w:p>
    <w:p>
      <w:pPr>
        <w:ind w:left="4" w:right="140" w:hanging="4"/>
        <w:spacing w:after="0" w:line="284" w:lineRule="auto"/>
        <w:tabs>
          <w:tab w:leader="none" w:pos="249" w:val="left"/>
        </w:tabs>
        <w:numPr>
          <w:ilvl w:val="0"/>
          <w:numId w:val="36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Common Stock would be aggregated with the Holder’s for purposes of Section 13(d) of the Exchange Act to exceed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w:t>
      </w:r>
    </w:p>
    <w:p>
      <w:pPr>
        <w:spacing w:after="0" w:line="2" w:lineRule="exact"/>
        <w:rPr>
          <w:rFonts w:ascii="Arial" w:cs="Arial" w:eastAsia="Arial" w:hAnsi="Arial"/>
          <w:sz w:val="16"/>
          <w:szCs w:val="16"/>
          <w:color w:val="auto"/>
        </w:rPr>
      </w:pPr>
    </w:p>
    <w:p>
      <w:pPr>
        <w:ind w:left="4"/>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4.99%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date hereof, (y) a more recent public announcement by the Company or (z) any other notice by the Company or its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in excess of 19.99%, specified in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increase will not be effective until the sixty-first (61st) day after such notice is delivered to the Company. For purposes of this Section 11(a),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w:t>
      </w:r>
    </w:p>
    <w:p>
      <w:pPr>
        <w:sectPr>
          <w:pgSz w:w="11900" w:h="16838" w:orient="portrait"/>
          <w:cols w:equalWidth="0" w:num="1">
            <w:col w:w="10984"/>
          </w:cols>
          <w:pgMar w:left="436" w:top="273" w:right="479" w:bottom="1440" w:gutter="0" w:footer="0" w:header="0"/>
        </w:sectPr>
      </w:pPr>
    </w:p>
    <w:bookmarkStart w:id="486" w:name="page487"/>
    <w:bookmarkEnd w:id="486"/>
    <w:p>
      <w:pPr>
        <w:jc w:val="both"/>
        <w:ind w:left="4" w:right="140" w:hanging="4"/>
        <w:spacing w:after="0" w:line="263" w:lineRule="auto"/>
        <w:tabs>
          <w:tab w:leader="none" w:pos="259" w:val="left"/>
        </w:tabs>
        <w:numPr>
          <w:ilvl w:val="0"/>
          <w:numId w:val="3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9(c) of this Warrant.</w:t>
      </w:r>
    </w:p>
    <w:p>
      <w:pPr>
        <w:spacing w:after="0" w:line="184" w:lineRule="exact"/>
        <w:rPr>
          <w:sz w:val="20"/>
          <w:szCs w:val="20"/>
          <w:color w:val="auto"/>
        </w:rPr>
      </w:pPr>
    </w:p>
    <w:p>
      <w:pPr>
        <w:ind w:left="4" w:right="220" w:hanging="4"/>
        <w:spacing w:after="0" w:line="308" w:lineRule="auto"/>
        <w:tabs>
          <w:tab w:leader="none" w:pos="274" w:val="left"/>
        </w:tabs>
        <w:numPr>
          <w:ilvl w:val="0"/>
          <w:numId w:val="363"/>
        </w:numPr>
        <w:rPr>
          <w:rFonts w:ascii="Arial" w:cs="Arial" w:eastAsia="Arial" w:hAnsi="Arial"/>
          <w:sz w:val="17"/>
          <w:szCs w:val="17"/>
          <w:color w:val="auto"/>
        </w:rPr>
      </w:pPr>
      <w:r>
        <w:rPr>
          <w:rFonts w:ascii="Arial" w:cs="Arial" w:eastAsia="Arial" w:hAnsi="Arial"/>
          <w:sz w:val="17"/>
          <w:szCs w:val="17"/>
          <w:i w:val="1"/>
          <w:iCs w:val="1"/>
          <w:color w:val="auto"/>
        </w:rPr>
        <w:t>No Fractional Shares</w:t>
      </w:r>
      <w:r>
        <w:rPr>
          <w:rFonts w:ascii="Arial" w:cs="Arial" w:eastAsia="Arial" w:hAnsi="Arial"/>
          <w:sz w:val="17"/>
          <w:szCs w:val="17"/>
          <w:color w:val="auto"/>
        </w:rPr>
        <w:t>. No fractional Warrant Shares will be issued in connection with any exercise of this Warrant. In lieu of any fractional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would otherwise be issuable, the number of Warrant Shares to be issued shall be rounded down to the next whole number.</w:t>
      </w:r>
    </w:p>
    <w:p>
      <w:pPr>
        <w:spacing w:after="0" w:line="146" w:lineRule="exact"/>
        <w:rPr>
          <w:rFonts w:ascii="Arial" w:cs="Arial" w:eastAsia="Arial" w:hAnsi="Arial"/>
          <w:sz w:val="17"/>
          <w:szCs w:val="17"/>
          <w:color w:val="auto"/>
        </w:rPr>
      </w:pPr>
    </w:p>
    <w:p>
      <w:pPr>
        <w:ind w:left="4" w:right="20" w:hanging="4"/>
        <w:spacing w:after="0" w:line="254" w:lineRule="auto"/>
        <w:tabs>
          <w:tab w:leader="none" w:pos="274"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and all notices or other communications or deliveries hereunder (including, without limitation, any Exercise Notice) shall be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deemed given and effective on the earliest of (i) the date of transmission, if such notice or communication is delivered via facsimile or confirmed e-mail prior to 5:30 P.M., New York City time, on a Trading Day, (ii) the next Trading Day after the date of transmission, if such notice or communication is delivered via facsimile or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221 Crescent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Building 23, Suite 105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Waltham, MA 02453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 (617) 651-5940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Holder, to its address, facsimile number or e-mail address set forth herein or on the books and records of the Company.</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Or, in each of the above instances, to such other address, facsimile number or e-mail address as the recipient party has specified by written notice given to each other party at least five (5) days prior to the effectiveness of such change.</w:t>
      </w:r>
    </w:p>
    <w:p>
      <w:pPr>
        <w:spacing w:after="0" w:line="170" w:lineRule="exact"/>
        <w:rPr>
          <w:sz w:val="20"/>
          <w:szCs w:val="20"/>
          <w:color w:val="auto"/>
        </w:rPr>
      </w:pPr>
    </w:p>
    <w:p>
      <w:pPr>
        <w:ind w:left="4" w:right="80" w:hanging="4"/>
        <w:spacing w:after="0" w:line="273" w:lineRule="auto"/>
        <w:tabs>
          <w:tab w:leader="none" w:pos="274" w:val="left"/>
        </w:tabs>
        <w:numPr>
          <w:ilvl w:val="0"/>
          <w:numId w:val="364"/>
        </w:numPr>
        <w:rPr>
          <w:rFonts w:ascii="Arial" w:cs="Arial" w:eastAsia="Arial" w:hAnsi="Arial"/>
          <w:sz w:val="17"/>
          <w:szCs w:val="17"/>
          <w:color w:val="auto"/>
        </w:rPr>
      </w:pPr>
      <w:r>
        <w:rPr>
          <w:rFonts w:ascii="Arial" w:cs="Arial" w:eastAsia="Arial" w:hAnsi="Arial"/>
          <w:sz w:val="17"/>
          <w:szCs w:val="17"/>
          <w:i w:val="1"/>
          <w:iCs w:val="1"/>
          <w:color w:val="auto"/>
        </w:rPr>
        <w:t>Warrant Agent</w:t>
      </w:r>
      <w:r>
        <w:rPr>
          <w:rFonts w:ascii="Arial" w:cs="Arial" w:eastAsia="Arial" w:hAnsi="Arial"/>
          <w:sz w:val="17"/>
          <w:szCs w:val="17"/>
          <w:color w:val="auto"/>
        </w:rPr>
        <w:t>. The Company shall initially serve as warrant agent under this Warrant. Upon ten (10) days’ notice to the Holder, the Company may</w:t>
      </w:r>
      <w:r>
        <w:rPr>
          <w:rFonts w:ascii="Arial" w:cs="Arial" w:eastAsia="Arial" w:hAnsi="Arial"/>
          <w:sz w:val="17"/>
          <w:szCs w:val="17"/>
          <w:i w:val="1"/>
          <w:iCs w:val="1"/>
          <w:color w:val="auto"/>
        </w:rPr>
        <w:t xml:space="preserve"> </w:t>
      </w:r>
      <w:r>
        <w:rPr>
          <w:rFonts w:ascii="Arial" w:cs="Arial" w:eastAsia="Arial" w:hAnsi="Arial"/>
          <w:sz w:val="17"/>
          <w:szCs w:val="17"/>
          <w:color w:val="auto"/>
        </w:rPr>
        <w:t>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77" w:lineRule="exact"/>
        <w:rPr>
          <w:rFonts w:ascii="Arial" w:cs="Arial" w:eastAsia="Arial" w:hAnsi="Arial"/>
          <w:sz w:val="17"/>
          <w:szCs w:val="17"/>
          <w:color w:val="auto"/>
        </w:rPr>
      </w:pPr>
    </w:p>
    <w:p>
      <w:pPr>
        <w:ind w:left="264" w:hanging="264"/>
        <w:spacing w:after="0"/>
        <w:tabs>
          <w:tab w:leader="none" w:pos="264"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 w:hanging="4"/>
        <w:spacing w:after="0" w:line="271" w:lineRule="auto"/>
        <w:tabs>
          <w:tab w:leader="none" w:pos="249" w:val="left"/>
        </w:tabs>
        <w:numPr>
          <w:ilvl w:val="0"/>
          <w:numId w:val="365"/>
        </w:numPr>
        <w:rPr>
          <w:rFonts w:ascii="Arial" w:cs="Arial" w:eastAsia="Arial" w:hAnsi="Arial"/>
          <w:sz w:val="17"/>
          <w:szCs w:val="17"/>
          <w:color w:val="auto"/>
        </w:rPr>
      </w:pPr>
      <w:r>
        <w:rPr>
          <w:rFonts w:ascii="Arial" w:cs="Arial" w:eastAsia="Arial" w:hAnsi="Arial"/>
          <w:sz w:val="17"/>
          <w:szCs w:val="17"/>
          <w:color w:val="auto"/>
        </w:rPr>
        <w:t>No Rights as a Stockholder.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-1000125</wp:posOffset>
            </wp:positionV>
            <wp:extent cx="127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6">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ectPr>
          <w:pgSz w:w="11900" w:h="16838" w:orient="portrait"/>
          <w:cols w:equalWidth="0" w:num="1">
            <w:col w:w="10984"/>
          </w:cols>
          <w:pgMar w:left="436" w:top="273" w:right="479" w:bottom="1440" w:gutter="0" w:footer="0" w:header="0"/>
        </w:sectPr>
      </w:pPr>
    </w:p>
    <w:bookmarkStart w:id="487" w:name="page488"/>
    <w:bookmarkEnd w:id="487"/>
    <w:p>
      <w:pPr>
        <w:ind w:left="4" w:right="40" w:hanging="4"/>
        <w:spacing w:after="0" w:line="289" w:lineRule="auto"/>
        <w:tabs>
          <w:tab w:leader="none" w:pos="259"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Shares</w:t>
      </w:r>
      <w:r>
        <w:rPr>
          <w:rFonts w:ascii="Arial" w:cs="Arial" w:eastAsia="Arial" w:hAnsi="Arial"/>
          <w:sz w:val="16"/>
          <w:szCs w:val="16"/>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6" w:lineRule="exact"/>
        <w:rPr>
          <w:rFonts w:ascii="Arial" w:cs="Arial" w:eastAsia="Arial" w:hAnsi="Arial"/>
          <w:sz w:val="16"/>
          <w:szCs w:val="16"/>
          <w:color w:val="auto"/>
        </w:rPr>
      </w:pPr>
    </w:p>
    <w:p>
      <w:pPr>
        <w:ind w:left="4" w:hanging="4"/>
        <w:spacing w:after="0" w:line="296" w:lineRule="auto"/>
        <w:tabs>
          <w:tab w:leader="none" w:pos="249"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61" w:lineRule="exact"/>
        <w:rPr>
          <w:rFonts w:ascii="Arial" w:cs="Arial" w:eastAsia="Arial" w:hAnsi="Arial"/>
          <w:sz w:val="16"/>
          <w:szCs w:val="16"/>
          <w:color w:val="auto"/>
        </w:rPr>
      </w:pPr>
    </w:p>
    <w:p>
      <w:pPr>
        <w:ind w:left="264" w:hanging="264"/>
        <w:spacing w:after="0"/>
        <w:tabs>
          <w:tab w:leader="none" w:pos="264"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the Warrants may be amended and the Company may take any</w:t>
      </w:r>
    </w:p>
    <w:p>
      <w:pPr>
        <w:spacing w:after="0" w:line="46"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action herein prohibited, or omit to perform any act herein required to be performed by it, only if the Company has obtained the written consent of the Holder.</w:t>
      </w:r>
    </w:p>
    <w:p>
      <w:pPr>
        <w:spacing w:after="0" w:line="185" w:lineRule="exact"/>
        <w:rPr>
          <w:rFonts w:ascii="Arial" w:cs="Arial" w:eastAsia="Arial" w:hAnsi="Arial"/>
          <w:sz w:val="16"/>
          <w:szCs w:val="16"/>
          <w:color w:val="auto"/>
        </w:rPr>
      </w:pPr>
    </w:p>
    <w:p>
      <w:pPr>
        <w:ind w:left="244" w:hanging="244"/>
        <w:spacing w:after="0"/>
        <w:tabs>
          <w:tab w:leader="none" w:pos="244"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Receipt of this Warrant by the Holder shall constitute acceptance of and agreement to all of the terms and conditions contained herein.</w:t>
      </w:r>
    </w:p>
    <w:p>
      <w:pPr>
        <w:spacing w:after="0" w:line="248" w:lineRule="exact"/>
        <w:rPr>
          <w:rFonts w:ascii="Arial" w:cs="Arial" w:eastAsia="Arial" w:hAnsi="Arial"/>
          <w:sz w:val="16"/>
          <w:szCs w:val="16"/>
          <w:color w:val="auto"/>
        </w:rPr>
      </w:pPr>
    </w:p>
    <w:p>
      <w:pPr>
        <w:ind w:left="4" w:right="60" w:hanging="4"/>
        <w:spacing w:after="0" w:line="268" w:lineRule="auto"/>
        <w:tabs>
          <w:tab w:leader="none" w:pos="229"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81" w:lineRule="exact"/>
        <w:rPr>
          <w:rFonts w:ascii="Arial" w:cs="Arial" w:eastAsia="Arial" w:hAnsi="Arial"/>
          <w:sz w:val="17"/>
          <w:szCs w:val="17"/>
          <w:color w:val="auto"/>
        </w:rPr>
      </w:pPr>
    </w:p>
    <w:p>
      <w:pPr>
        <w:ind w:left="4" w:right="60" w:hanging="4"/>
        <w:spacing w:after="0" w:line="277" w:lineRule="auto"/>
        <w:tabs>
          <w:tab w:leader="none" w:pos="259"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Warrant and shall not be deemed to limit or affect any of the provisions hereof.</w:t>
      </w:r>
    </w:p>
    <w:p>
      <w:pPr>
        <w:sectPr>
          <w:pgSz w:w="11900" w:h="16838" w:orient="portrait"/>
          <w:cols w:equalWidth="0" w:num="1">
            <w:col w:w="10984"/>
          </w:cols>
          <w:pgMar w:left="436" w:top="273" w:right="479" w:bottom="1440" w:gutter="0" w:footer="0" w:header="0"/>
        </w:sectPr>
      </w:pPr>
    </w:p>
    <w:bookmarkStart w:id="488" w:name="page489"/>
    <w:bookmarkEnd w:id="488"/>
    <w:p>
      <w:pPr>
        <w:ind w:left="4" w:hanging="4"/>
        <w:spacing w:after="0" w:line="259" w:lineRule="auto"/>
        <w:tabs>
          <w:tab w:leader="none" w:pos="259"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Arial" w:cs="Arial" w:eastAsia="Arial" w:hAnsi="Arial"/>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4"/>
          </w:cols>
          <w:pgMar w:left="436" w:top="273" w:right="459" w:bottom="1440" w:gutter="0" w:footer="0" w:header="0"/>
        </w:sectPr>
      </w:pPr>
    </w:p>
    <w:bookmarkStart w:id="489" w:name="page490"/>
    <w:bookmarkEnd w:id="4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AEGLEA BIOTHERAPEUTICS,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Scott Burrows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480"/>
          </w:cols>
          <w:pgMar w:left="440" w:top="273" w:right="979" w:bottom="1440" w:gutter="0" w:footer="0" w:header="0"/>
        </w:sectPr>
      </w:pPr>
    </w:p>
    <w:bookmarkStart w:id="490" w:name="page491"/>
    <w:bookmarkEnd w:id="49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FORM OF EXERCISE NOTICE</w:t>
      </w:r>
    </w:p>
    <w:p>
      <w:pPr>
        <w:spacing w:after="0" w:line="22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240" w:hanging="4"/>
        <w:spacing w:after="0" w:line="277" w:lineRule="auto"/>
        <w:tabs>
          <w:tab w:leader="none" w:pos="25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undersigned is the Holder of Warrant No. (the “Warrant”) issued by Aeglea BioTherapeutics, Inc., a Delaware corporation (the “Company”). Capitalized terms used herein and not otherwise defined herein have the respective meanings set forth in the Warrant.</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undersigned hereby exercises its right to purchase ___________Warrant Shares pursuant to the Warrant.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Holder intends that payment of the Exercise Price shall be made as (check one):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68"/>
        </w:numPr>
        <w:rPr>
          <w:rFonts w:ascii="MS PGothic" w:cs="MS PGothic" w:eastAsia="MS PGothic" w:hAnsi="MS PGothic"/>
          <w:sz w:val="18"/>
          <w:szCs w:val="18"/>
          <w:color w:val="auto"/>
        </w:rPr>
      </w:pPr>
      <w:r>
        <w:rPr>
          <w:rFonts w:ascii="Arial" w:cs="Arial" w:eastAsia="Arial" w:hAnsi="Arial"/>
          <w:sz w:val="18"/>
          <w:szCs w:val="18"/>
          <w:color w:val="auto"/>
        </w:rPr>
        <w:t>Cash Exercise</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368"/>
        </w:numPr>
        <w:rPr>
          <w:rFonts w:ascii="MS PGothic" w:cs="MS PGothic" w:eastAsia="MS PGothic" w:hAnsi="MS PGothic"/>
          <w:sz w:val="18"/>
          <w:szCs w:val="18"/>
          <w:color w:val="auto"/>
        </w:rPr>
      </w:pPr>
      <w:r>
        <w:rPr>
          <w:rFonts w:ascii="Arial" w:cs="Arial" w:eastAsia="Arial" w:hAnsi="Arial"/>
          <w:sz w:val="18"/>
          <w:szCs w:val="18"/>
          <w:color w:val="auto"/>
        </w:rPr>
        <w:t>“Cashless Exercise” under Section 10 of the Warrant</w:t>
      </w:r>
    </w:p>
    <w:p>
      <w:pPr>
        <w:spacing w:after="0" w:line="225" w:lineRule="exact"/>
        <w:rPr>
          <w:rFonts w:ascii="MS PGothic" w:cs="MS PGothic" w:eastAsia="MS PGothic" w:hAnsi="MS PGothic"/>
          <w:sz w:val="18"/>
          <w:szCs w:val="18"/>
          <w:color w:val="auto"/>
        </w:rPr>
      </w:pPr>
    </w:p>
    <w:p>
      <w:pPr>
        <w:ind w:left="4" w:right="520" w:hanging="4"/>
        <w:spacing w:after="0" w:line="277" w:lineRule="auto"/>
        <w:tabs>
          <w:tab w:leader="none" w:pos="25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the Holder has elected a Cash Exercise, the Holder shall pay the sum of $____________ in immediately available funds to the Company in accordance with the terms of the Warrant.</w:t>
      </w:r>
    </w:p>
    <w:p>
      <w:pPr>
        <w:spacing w:after="0" w:line="170" w:lineRule="exact"/>
        <w:rPr>
          <w:rFonts w:ascii="Arial" w:cs="Arial" w:eastAsia="Arial" w:hAnsi="Arial"/>
          <w:sz w:val="18"/>
          <w:szCs w:val="18"/>
          <w:color w:val="auto"/>
        </w:rPr>
      </w:pPr>
    </w:p>
    <w:p>
      <w:pPr>
        <w:ind w:left="4" w:right="160" w:hanging="4"/>
        <w:spacing w:after="0" w:line="277" w:lineRule="auto"/>
        <w:tabs>
          <w:tab w:leader="none" w:pos="25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Pursuant to this Exercise Notice, the Company shall deliver to the Holder Warrant Shares determined in accordance with the terms of the Warrant. The Warrant Shares shall be delivered to the following DWAC Account Number:___________________________</w:t>
      </w:r>
    </w:p>
    <w:p>
      <w:pPr>
        <w:spacing w:after="0" w:line="170" w:lineRule="exact"/>
        <w:rPr>
          <w:rFonts w:ascii="Arial" w:cs="Arial" w:eastAsia="Arial" w:hAnsi="Arial"/>
          <w:sz w:val="18"/>
          <w:szCs w:val="18"/>
          <w:color w:val="auto"/>
        </w:rPr>
      </w:pPr>
    </w:p>
    <w:p>
      <w:pPr>
        <w:ind w:left="4" w:hanging="4"/>
        <w:spacing w:after="0" w:line="286" w:lineRule="auto"/>
        <w:tabs>
          <w:tab w:leader="none" w:pos="259" w:val="left"/>
        </w:tabs>
        <w:numPr>
          <w:ilvl w:val="0"/>
          <w:numId w:val="368"/>
        </w:numPr>
        <w:rPr>
          <w:rFonts w:ascii="Arial" w:cs="Arial" w:eastAsia="Arial" w:hAnsi="Arial"/>
          <w:sz w:val="17"/>
          <w:szCs w:val="17"/>
          <w:color w:val="auto"/>
        </w:rPr>
      </w:pPr>
      <w:r>
        <w:rPr>
          <w:rFonts w:ascii="Arial" w:cs="Arial" w:eastAsia="Arial" w:hAnsi="Arial"/>
          <w:sz w:val="17"/>
          <w:szCs w:val="17"/>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-2534285</wp:posOffset>
            </wp:positionV>
            <wp:extent cx="2857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14605</wp:posOffset>
            </wp:positionV>
            <wp:extent cx="232283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5715</wp:posOffset>
            </wp:positionV>
            <wp:extent cx="232283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-121920</wp:posOffset>
            </wp:positionV>
            <wp:extent cx="232283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5">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22860</wp:posOffset>
            </wp:positionV>
            <wp:extent cx="232283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6">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-121920</wp:posOffset>
            </wp:positionV>
            <wp:extent cx="232283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3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ectPr>
          <w:pgSz w:w="11900" w:h="16838" w:orient="portrait"/>
          <w:cols w:equalWidth="0" w:num="1">
            <w:col w:w="10944"/>
          </w:cols>
          <w:pgMar w:left="436" w:top="269" w:right="519" w:bottom="1440" w:gutter="0" w:footer="0" w:header="0"/>
        </w:sectPr>
      </w:pPr>
    </w:p>
    <w:bookmarkStart w:id="491" w:name="page492"/>
    <w:bookmarkEnd w:id="491"/>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71600" cy="1974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8">
                      <a:extLst>
                        <a:ext uri="{28A0092B-C50C-407E-A947-70E740481C1C}"/>
                      </a:extLst>
                    </a:blip>
                    <a:srcRect/>
                    <a:stretch>
                      <a:fillRect/>
                    </a:stretch>
                  </pic:blipFill>
                  <pic:spPr bwMode="auto">
                    <a:xfrm>
                      <a:off x="0" y="0"/>
                      <a:ext cx="1371600" cy="197485"/>
                    </a:xfrm>
                    <a:prstGeom prst="rect">
                      <a:avLst/>
                    </a:prstGeom>
                    <a:noFill/>
                  </pic:spPr>
                </pic:pic>
              </a:graphicData>
            </a:graphic>
          </wp:anchor>
        </w:drawing>
      </w:r>
    </w:p>
    <w:p>
      <w:pPr>
        <w:spacing w:after="0" w:line="23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555 Mission Street</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San Francisco, CA 94105-0921</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Tel 415.393.8200</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www.gibsondunn.com</w:t>
      </w:r>
    </w:p>
    <w:p>
      <w:pPr>
        <w:spacing w:after="0" w:line="224" w:lineRule="exact"/>
        <w:rPr>
          <w:sz w:val="20"/>
          <w:szCs w:val="20"/>
          <w:color w:val="auto"/>
        </w:rPr>
      </w:pPr>
    </w:p>
    <w:p>
      <w:pPr>
        <w:ind w:left="9520"/>
        <w:spacing w:after="0"/>
        <w:rPr>
          <w:sz w:val="20"/>
          <w:szCs w:val="20"/>
          <w:color w:val="auto"/>
        </w:rPr>
      </w:pPr>
      <w:r>
        <w:rPr>
          <w:rFonts w:ascii="Arial" w:cs="Arial" w:eastAsia="Arial" w:hAnsi="Arial"/>
          <w:sz w:val="16"/>
          <w:szCs w:val="16"/>
          <w:color w:val="auto"/>
        </w:rPr>
        <w:t>Client: 06759-00001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23, Suite 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 02453</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tab/>
        <w:t>Aeglea BioTherapeutics,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Registration Statement on Form S-1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acted as counsel to Aeglea BioTherapeutics,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resale from time to time by the selling stockholders named therein of up to 18,809,064 shares of the Company’s common stock, par value $0.0001 per share (the “Shares”).</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arriving at the opinion expressed below, we have examined originals, or copies certified or otherwise identified to our satisfaction as being true and complete copies of the originals, of the specimen common stock certificates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w:t>
      </w:r>
    </w:p>
    <w:p>
      <w:pPr>
        <w:spacing w:after="0" w:line="17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Based on the foregoing, and subject to the assumptions, exceptions, qualifications and limitations set forth herein, we are of the opinion that the Shares, when issued against payment therefor as set forth in the Registration Statement, will be validly issued, fully paid and non-assessable.</w:t>
      </w:r>
    </w:p>
    <w:p>
      <w:pPr>
        <w:spacing w:after="0" w:line="14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Gibson, Dunn &amp; Crutcher LLP</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Abu Dhabi • Beijing • Brussels • Century City • Dallas • Denver • Dubai • Frankfurt • Hong Kong • Houston • London • Los Angeles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Munich • New York • Orange County • Palo Alto • Paris • San Francisco • Singapore • Washington, D.C.</w:t>
      </w:r>
    </w:p>
    <w:p>
      <w:pPr>
        <w:sectPr>
          <w:pgSz w:w="11900" w:h="16838" w:orient="portrait"/>
          <w:cols w:equalWidth="0" w:num="1">
            <w:col w:w="11020"/>
          </w:cols>
          <w:pgMar w:left="440" w:top="121" w:right="439" w:bottom="1440" w:gutter="0" w:footer="0" w:header="0"/>
        </w:sectPr>
      </w:pPr>
    </w:p>
    <w:bookmarkStart w:id="492" w:name="page493"/>
    <w:bookmarkEnd w:id="492"/>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805815" cy="29146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9">
                      <a:extLst>
                        <a:ext uri="{28A0092B-C50C-407E-A947-70E740481C1C}"/>
                      </a:extLst>
                    </a:blip>
                    <a:srcRect/>
                    <a:stretch>
                      <a:fillRect/>
                    </a:stretch>
                  </pic:blipFill>
                  <pic:spPr bwMode="auto">
                    <a:xfrm>
                      <a:off x="0" y="0"/>
                      <a:ext cx="8058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22,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Cameron Turtle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Offer of Employment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Cameron:</w:t>
      </w:r>
    </w:p>
    <w:p>
      <w:pPr>
        <w:spacing w:after="0" w:line="117" w:lineRule="exact"/>
        <w:rPr>
          <w:sz w:val="20"/>
          <w:szCs w:val="20"/>
          <w:color w:val="auto"/>
        </w:rPr>
      </w:pPr>
    </w:p>
    <w:p>
      <w:pPr>
        <w:ind w:left="4" w:right="180"/>
        <w:spacing w:after="0" w:line="308" w:lineRule="auto"/>
        <w:rPr>
          <w:sz w:val="20"/>
          <w:szCs w:val="20"/>
          <w:color w:val="auto"/>
        </w:rPr>
      </w:pPr>
      <w:r>
        <w:rPr>
          <w:rFonts w:ascii="Arial" w:cs="Arial" w:eastAsia="Arial" w:hAnsi="Arial"/>
          <w:sz w:val="17"/>
          <w:szCs w:val="17"/>
          <w:color w:val="auto"/>
        </w:rPr>
        <w:t>On behalf of Aeglea BioTherapeutics,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I am very pleased to offer you a position as Chief Operating Officer of the Company (the “</w:t>
      </w:r>
      <w:r>
        <w:rPr>
          <w:rFonts w:ascii="Arial" w:cs="Arial" w:eastAsia="Arial" w:hAnsi="Arial"/>
          <w:sz w:val="17"/>
          <w:szCs w:val="17"/>
          <w:u w:val="single" w:color="auto"/>
          <w:color w:val="auto"/>
        </w:rPr>
        <w:t>Role</w:t>
      </w:r>
      <w:r>
        <w:rPr>
          <w:rFonts w:ascii="Arial" w:cs="Arial" w:eastAsia="Arial" w:hAnsi="Arial"/>
          <w:sz w:val="17"/>
          <w:szCs w:val="17"/>
          <w:color w:val="auto"/>
        </w:rPr>
        <w:t>”) pursuant to this letter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provided you accept such offer as indicated by your signature below.</w:t>
      </w:r>
    </w:p>
    <w:p>
      <w:pPr>
        <w:spacing w:after="0" w:line="146"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Your employment with the Company in the Role will commence as of June 22,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Should you not commence services by the Effective Date or if this Agreement is otherwise terminated on or prior to the Effective Date, you hereby agree that this Agreement shall be void </w:t>
      </w:r>
      <w:r>
        <w:rPr>
          <w:rFonts w:ascii="Arial" w:cs="Arial" w:eastAsia="Arial" w:hAnsi="Arial"/>
          <w:sz w:val="18"/>
          <w:szCs w:val="18"/>
          <w:i w:val="1"/>
          <w:iCs w:val="1"/>
          <w:color w:val="auto"/>
        </w:rPr>
        <w:t>ab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initio </w:t>
      </w:r>
      <w:r>
        <w:rPr>
          <w:rFonts w:ascii="Arial" w:cs="Arial" w:eastAsia="Arial" w:hAnsi="Arial"/>
          <w:sz w:val="18"/>
          <w:szCs w:val="18"/>
          <w:color w:val="auto"/>
        </w:rPr>
        <w:t>and of no force or effect.</w:t>
      </w:r>
    </w:p>
    <w:p>
      <w:pPr>
        <w:spacing w:after="0" w:line="180" w:lineRule="exact"/>
        <w:rPr>
          <w:sz w:val="20"/>
          <w:szCs w:val="20"/>
          <w:color w:val="auto"/>
        </w:rPr>
      </w:pPr>
    </w:p>
    <w:p>
      <w:pPr>
        <w:ind w:left="4" w:right="280" w:hanging="4"/>
        <w:spacing w:after="0" w:line="298" w:lineRule="auto"/>
        <w:tabs>
          <w:tab w:leader="none" w:pos="184" w:val="left"/>
        </w:tabs>
        <w:numPr>
          <w:ilvl w:val="0"/>
          <w:numId w:val="369"/>
        </w:numPr>
        <w:rPr>
          <w:rFonts w:ascii="Arial" w:cs="Arial" w:eastAsia="Arial" w:hAnsi="Arial"/>
          <w:sz w:val="16"/>
          <w:szCs w:val="16"/>
          <w:b w:val="1"/>
          <w:bCs w:val="1"/>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While serving in the Role, you will initially report to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and have such duties,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authorities, and responsibilities as are customarily associated with the Role. This is a full-time employment position. It is understood and agreed that, commencing as of the Effective Date you will not engage in any other employment, consulting or other business activities (whether full-time or part-time), except as expressly authorized in writing by the Board. Notwithstanding the foregoing, you may engage in religious, charitable and other community activities so long as such activities do not unreasonably interfere or conflict with your obligations to the Company.</w:t>
      </w:r>
    </w:p>
    <w:p>
      <w:pPr>
        <w:spacing w:after="0" w:line="153" w:lineRule="exact"/>
        <w:rPr>
          <w:rFonts w:ascii="Arial" w:cs="Arial" w:eastAsia="Arial" w:hAnsi="Arial"/>
          <w:sz w:val="16"/>
          <w:szCs w:val="16"/>
          <w:b w:val="1"/>
          <w:bCs w:val="1"/>
          <w:color w:val="auto"/>
        </w:rPr>
      </w:pPr>
    </w:p>
    <w:p>
      <w:pPr>
        <w:ind w:left="4" w:right="180" w:hanging="4"/>
        <w:spacing w:after="0" w:line="261" w:lineRule="auto"/>
        <w:tabs>
          <w:tab w:leader="none" w:pos="184"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Upon and following the Effective Date, as cash compensation for your services, the Company will pay you an initial base salary of</w:t>
      </w:r>
      <w:r>
        <w:rPr>
          <w:rFonts w:ascii="Arial" w:cs="Arial" w:eastAsia="Arial" w:hAnsi="Arial"/>
          <w:sz w:val="18"/>
          <w:szCs w:val="18"/>
          <w:b w:val="1"/>
          <w:bCs w:val="1"/>
          <w:color w:val="auto"/>
        </w:rPr>
        <w:t xml:space="preserve"> </w:t>
      </w:r>
      <w:r>
        <w:rPr>
          <w:rFonts w:ascii="Arial" w:cs="Arial" w:eastAsia="Arial" w:hAnsi="Arial"/>
          <w:sz w:val="18"/>
          <w:szCs w:val="18"/>
          <w:color w:val="auto"/>
        </w:rPr>
        <w:t>$450,000 per year, payable in accordance with the Company’s standard payroll schedule and subject to applicable deductions and withholdings. Your base salary will be subject to periodic review and potential adjustment in the Board’s discretion. Your base salary in effect at any given time is referred to herein as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ind w:left="4" w:right="180" w:hanging="4"/>
        <w:spacing w:after="0" w:line="256" w:lineRule="auto"/>
        <w:tabs>
          <w:tab w:leader="none" w:pos="184"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Commencing as of the Effective Date, you will be eligible to receive an annual performance bonus targeted at 50% of your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The target annual bonus in effect at any given time is referred to herein as “</w:t>
      </w:r>
      <w:r>
        <w:rPr>
          <w:rFonts w:ascii="Arial" w:cs="Arial" w:eastAsia="Arial" w:hAnsi="Arial"/>
          <w:sz w:val="18"/>
          <w:szCs w:val="18"/>
          <w:u w:val="single" w:color="auto"/>
          <w:color w:val="auto"/>
        </w:rPr>
        <w:t>Target Bonus</w:t>
      </w:r>
      <w:r>
        <w:rPr>
          <w:rFonts w:ascii="Arial" w:cs="Arial" w:eastAsia="Arial" w:hAnsi="Arial"/>
          <w:sz w:val="18"/>
          <w:szCs w:val="18"/>
          <w:color w:val="auto"/>
        </w:rPr>
        <w:t>.” Your 2023 annual bonus will be prorated based on your period of employment following the Effective Date. The actual bonus amount is discretionary and may be subject to achievement of performance targets established by the Compensation Committee of the Board for such year. To earn an annual bonus, you must be (except as otherwise provided herein) employed by the Company as of the payment date of such bonus. Any annual bonus will be paid no later than March 15th of the calendar year following the calendar year to which such bonus relates.</w:t>
      </w:r>
    </w:p>
    <w:p>
      <w:pPr>
        <w:sectPr>
          <w:pgSz w:w="11900" w:h="16838" w:orient="portrait"/>
          <w:cols w:equalWidth="0" w:num="1">
            <w:col w:w="11024"/>
          </w:cols>
          <w:pgMar w:left="436" w:top="121" w:right="439" w:bottom="1440" w:gutter="0" w:footer="0" w:header="0"/>
        </w:sectPr>
      </w:pPr>
    </w:p>
    <w:bookmarkStart w:id="493" w:name="page494"/>
    <w:bookmarkEnd w:id="493"/>
    <w:p>
      <w:pPr>
        <w:ind w:left="4" w:hanging="4"/>
        <w:spacing w:after="0" w:line="271" w:lineRule="auto"/>
        <w:tabs>
          <w:tab w:leader="none" w:pos="184"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1">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Inducement Grant</w:t>
      </w:r>
      <w:r>
        <w:rPr>
          <w:rFonts w:ascii="Arial" w:cs="Arial" w:eastAsia="Arial" w:hAnsi="Arial"/>
          <w:sz w:val="17"/>
          <w:szCs w:val="17"/>
          <w:color w:val="auto"/>
        </w:rPr>
        <w:t>. Subject to approval by the Company’s Board and as a material inducement to you agreeing to become employed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Company will grant you nonqualified stock options to purchase 44,650,058 shares of the Company’s common stock as soon as practicable following the Effective Date and with an exercise price equal to the fair market value of the underlying shares on the date of grant as determined by the Board (the “</w:t>
      </w:r>
      <w:r>
        <w:rPr>
          <w:rFonts w:ascii="Arial" w:cs="Arial" w:eastAsia="Arial" w:hAnsi="Arial"/>
          <w:sz w:val="17"/>
          <w:szCs w:val="17"/>
          <w:u w:val="single" w:color="auto"/>
          <w:color w:val="auto"/>
        </w:rPr>
        <w:t>Inducement Options</w:t>
      </w:r>
      <w:r>
        <w:rPr>
          <w:rFonts w:ascii="Arial" w:cs="Arial" w:eastAsia="Arial" w:hAnsi="Arial"/>
          <w:sz w:val="17"/>
          <w:szCs w:val="17"/>
          <w:color w:val="auto"/>
        </w:rPr>
        <w:t>”). The Inducement Options will be governed by the terms of the related award agreement, the Company’s 2018 Equity Inducement Plan and the terms and conditions approved by the Board. The Inducement Options will be granted in compliance with NASDAQ Listing Rule 5635(c)(4) as a material inducement to you entering into employment with the Company. For the avoidance of doubt, the Inducement Options are in full satisfaction of those certain Replenishment Options referenced in that certain Consulting Agreement entered into between you and Spyre Therapeutics, Inc. as of May 8, 2023 (the “</w:t>
      </w:r>
      <w:r>
        <w:rPr>
          <w:rFonts w:ascii="Arial" w:cs="Arial" w:eastAsia="Arial" w:hAnsi="Arial"/>
          <w:sz w:val="17"/>
          <w:szCs w:val="17"/>
          <w:u w:val="single" w:color="auto"/>
          <w:color w:val="auto"/>
        </w:rPr>
        <w:t>Consulting Agreement</w:t>
      </w:r>
      <w:r>
        <w:rPr>
          <w:rFonts w:ascii="Arial" w:cs="Arial" w:eastAsia="Arial" w:hAnsi="Arial"/>
          <w:sz w:val="17"/>
          <w:szCs w:val="17"/>
          <w:color w:val="auto"/>
        </w:rPr>
        <w:t>”). You acknowledge and agree that you are not entitled to any other compensation pursuant to the Consulting Agreement.</w:t>
      </w:r>
    </w:p>
    <w:p>
      <w:pPr>
        <w:spacing w:after="0" w:line="173" w:lineRule="exact"/>
        <w:rPr>
          <w:rFonts w:ascii="Arial" w:cs="Arial" w:eastAsia="Arial" w:hAnsi="Arial"/>
          <w:sz w:val="17"/>
          <w:szCs w:val="17"/>
          <w:b w:val="1"/>
          <w:bCs w:val="1"/>
          <w:color w:val="auto"/>
        </w:rPr>
      </w:pPr>
    </w:p>
    <w:p>
      <w:pPr>
        <w:ind w:left="4" w:right="220" w:hanging="4"/>
        <w:spacing w:after="0" w:line="277" w:lineRule="auto"/>
        <w:tabs>
          <w:tab w:leader="none" w:pos="184"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Benefits/Paid Time Off. </w:t>
      </w:r>
      <w:r>
        <w:rPr>
          <w:rFonts w:ascii="Arial" w:cs="Arial" w:eastAsia="Arial" w:hAnsi="Arial"/>
          <w:sz w:val="17"/>
          <w:szCs w:val="17"/>
          <w:color w:val="auto"/>
        </w:rPr>
        <w:t>Commencing as of the Effective Date, you will be eligible, subject to the terms of the applicable plans and programs,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w:t>
      </w:r>
    </w:p>
    <w:p>
      <w:pPr>
        <w:spacing w:after="0" w:line="167" w:lineRule="exact"/>
        <w:rPr>
          <w:rFonts w:ascii="Arial" w:cs="Arial" w:eastAsia="Arial" w:hAnsi="Arial"/>
          <w:sz w:val="17"/>
          <w:szCs w:val="17"/>
          <w:b w:val="1"/>
          <w:bCs w:val="1"/>
          <w:color w:val="auto"/>
        </w:rPr>
      </w:pPr>
    </w:p>
    <w:p>
      <w:pPr>
        <w:ind w:left="4" w:right="20" w:hanging="4"/>
        <w:spacing w:after="0" w:line="266" w:lineRule="auto"/>
        <w:tabs>
          <w:tab w:leader="none" w:pos="184"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The Company will reimburse you for all reasonable and necessary expenses incurred by you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your duties as an employee of the Company and that are pre-approved by the Company, provided that you comply with any Company policy or practice on submitting, accounting for and documenting such expenses.</w:t>
      </w:r>
    </w:p>
    <w:p>
      <w:pPr>
        <w:spacing w:after="0" w:line="175" w:lineRule="exact"/>
        <w:rPr>
          <w:rFonts w:ascii="Arial" w:cs="Arial" w:eastAsia="Arial" w:hAnsi="Arial"/>
          <w:sz w:val="18"/>
          <w:szCs w:val="18"/>
          <w:b w:val="1"/>
          <w:bCs w:val="1"/>
          <w:color w:val="auto"/>
        </w:rPr>
      </w:pPr>
    </w:p>
    <w:p>
      <w:pPr>
        <w:ind w:left="4" w:right="40" w:hanging="4"/>
        <w:spacing w:after="0" w:line="347" w:lineRule="auto"/>
        <w:tabs>
          <w:tab w:leader="none" w:pos="184"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color w:val="auto"/>
        </w:rPr>
        <w:t>Location</w:t>
      </w:r>
      <w:r>
        <w:rPr>
          <w:rFonts w:ascii="Arial" w:cs="Arial" w:eastAsia="Arial" w:hAnsi="Arial"/>
          <w:sz w:val="16"/>
          <w:szCs w:val="16"/>
          <w:color w:val="auto"/>
        </w:rPr>
        <w:t>. Your primary work location will be remotely in California, provided that you may be required to engage in reasonable travel for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with the Company’s business needs. You may change your remote work location with prior written notice to and approval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103245" cy="15430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2">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77" w:right="459" w:bottom="1440" w:gutter="0" w:footer="0" w:header="0"/>
        </w:sectPr>
      </w:pPr>
    </w:p>
    <w:bookmarkStart w:id="494" w:name="page495"/>
    <w:bookmarkEnd w:id="494"/>
    <w:p>
      <w:pPr>
        <w:ind w:left="4" w:right="80" w:hanging="4"/>
        <w:spacing w:after="0" w:line="289" w:lineRule="auto"/>
        <w:tabs>
          <w:tab w:leader="none" w:pos="184" w:val="left"/>
        </w:tabs>
        <w:numPr>
          <w:ilvl w:val="0"/>
          <w:numId w:val="37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4">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At-Will Employment; Date of Termination</w:t>
      </w:r>
      <w:r>
        <w:rPr>
          <w:rFonts w:ascii="Arial" w:cs="Arial" w:eastAsia="Arial" w:hAnsi="Arial"/>
          <w:sz w:val="16"/>
          <w:szCs w:val="16"/>
          <w:color w:val="auto"/>
        </w:rPr>
        <w:t>. At all times, your employment with the Company is “at will,” meaning you or the Company may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authorized officer of the Company (subject to approval by the Board or the Compensation Committee of the Board). Your last day of employment for any reason is referred to herein as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In the event that you elect to end your employment other than for Good Reason, the Company requires you to provide at least 30 days’ advance written notice to the Company; and in the event that the Company terminates you without “Cause”, you shall be given at least 30 days advance written notice by the Company. Notwithstanding the foregoing, the Company may unilaterally accelerate the Date of Termination, and such acceleration shall not result in a termination by the Company for purposes of this Agreement.</w:t>
      </w:r>
    </w:p>
    <w:p>
      <w:pPr>
        <w:spacing w:after="0" w:line="170" w:lineRule="exact"/>
        <w:rPr>
          <w:sz w:val="20"/>
          <w:szCs w:val="20"/>
          <w:color w:val="auto"/>
        </w:rPr>
      </w:pPr>
    </w:p>
    <w:p>
      <w:pPr>
        <w:jc w:val="both"/>
        <w:ind w:left="4" w:right="200"/>
        <w:spacing w:after="0" w:line="263" w:lineRule="auto"/>
        <w:rPr>
          <w:sz w:val="20"/>
          <w:szCs w:val="20"/>
          <w:color w:val="auto"/>
        </w:rPr>
      </w:pPr>
      <w:r>
        <w:rPr>
          <w:rFonts w:ascii="Arial" w:cs="Arial" w:eastAsia="Arial" w:hAnsi="Arial"/>
          <w:sz w:val="18"/>
          <w:szCs w:val="18"/>
          <w:color w:val="auto"/>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80" w:lineRule="exact"/>
        <w:rPr>
          <w:sz w:val="20"/>
          <w:szCs w:val="20"/>
          <w:color w:val="auto"/>
        </w:rPr>
      </w:pPr>
    </w:p>
    <w:p>
      <w:pPr>
        <w:ind w:left="4" w:hanging="4"/>
        <w:spacing w:after="0" w:line="266" w:lineRule="auto"/>
        <w:tabs>
          <w:tab w:leader="none" w:pos="184"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Accrued Obligations</w:t>
      </w:r>
      <w:r>
        <w:rPr>
          <w:rFonts w:ascii="Arial" w:cs="Arial" w:eastAsia="Arial" w:hAnsi="Arial"/>
          <w:sz w:val="18"/>
          <w:szCs w:val="18"/>
          <w:color w:val="auto"/>
        </w:rPr>
        <w:t>. In the event of the ending of your employment for any reason, the Company shall pay you (i) your Base Salary and,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any accrued but unused vacation, through the Date of Termination, and (ii) the amount of any documented expenses properly incurred by you on behalf of the Company prior to any such termination and not yet reimbursed.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ind w:left="4" w:right="80" w:hanging="4"/>
        <w:spacing w:after="0" w:line="266" w:lineRule="auto"/>
        <w:tabs>
          <w:tab w:leader="none" w:pos="274"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Pay and Benefits Outside of the Change in Control Period</w:t>
      </w:r>
      <w:r>
        <w:rPr>
          <w:rFonts w:ascii="Arial" w:cs="Arial" w:eastAsia="Arial" w:hAnsi="Arial"/>
          <w:sz w:val="18"/>
          <w:szCs w:val="18"/>
          <w:color w:val="auto"/>
        </w:rPr>
        <w:t>. As explained below, under certain circumstances you 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equal to the Severance Amount (as defined below), accelerated vesting of a portion of your unvested equity awards, plus continued employee benefits pursuant to COBRA (as defined below):</w:t>
      </w:r>
    </w:p>
    <w:p>
      <w:pPr>
        <w:spacing w:after="0" w:line="180" w:lineRule="exact"/>
        <w:rPr>
          <w:sz w:val="20"/>
          <w:szCs w:val="20"/>
          <w:color w:val="auto"/>
        </w:rPr>
      </w:pPr>
    </w:p>
    <w:p>
      <w:pPr>
        <w:ind w:left="4" w:right="300"/>
        <w:spacing w:after="0" w:line="272" w:lineRule="auto"/>
        <w:rPr>
          <w:sz w:val="20"/>
          <w:szCs w:val="20"/>
          <w:color w:val="auto"/>
        </w:rPr>
      </w:pPr>
      <w:r>
        <w:rPr>
          <w:rFonts w:ascii="Arial" w:cs="Arial" w:eastAsia="Arial" w:hAnsi="Arial"/>
          <w:sz w:val="17"/>
          <w:szCs w:val="17"/>
          <w:color w:val="auto"/>
        </w:rPr>
        <w:t xml:space="preserve">In the event that the Company terminates your employment without Cause outside of the Change in Control Period (as such capitalized terms are defined in </w:t>
      </w:r>
      <w:r>
        <w:rPr>
          <w:rFonts w:ascii="Arial" w:cs="Arial" w:eastAsia="Arial" w:hAnsi="Arial"/>
          <w:sz w:val="17"/>
          <w:szCs w:val="17"/>
          <w:u w:val="single" w:color="auto"/>
          <w:color w:val="auto"/>
        </w:rPr>
        <w:t>Appendix A</w:t>
      </w:r>
      <w:r>
        <w:rPr>
          <w:rFonts w:ascii="Arial" w:cs="Arial" w:eastAsia="Arial" w:hAnsi="Arial"/>
          <w:sz w:val="17"/>
          <w:szCs w:val="17"/>
          <w:color w:val="auto"/>
        </w:rPr>
        <w:t>), then, in addition to the Accrued Obligations, and subject to (i) your execution and non-revocation of a separation agreement and release in a form acceptable to the Company, which shall include a general release of claims against the Company and all related persons and entities and a reaffirmation of the Continuing Obligations (as defined below) and shall provide that if you breach the Continuing Obligations, all payments of the Severance Amount (as defined below) shall immediately cease (the “</w:t>
      </w:r>
      <w:r>
        <w:rPr>
          <w:rFonts w:ascii="Arial" w:cs="Arial" w:eastAsia="Arial" w:hAnsi="Arial"/>
          <w:sz w:val="17"/>
          <w:szCs w:val="17"/>
          <w:u w:val="single" w:color="auto"/>
          <w:color w:val="auto"/>
        </w:rPr>
        <w:t>Separation Agreement and Release</w:t>
      </w:r>
      <w:r>
        <w:rPr>
          <w:rFonts w:ascii="Arial" w:cs="Arial" w:eastAsia="Arial" w:hAnsi="Arial"/>
          <w:sz w:val="17"/>
          <w:szCs w:val="17"/>
          <w:color w:val="auto"/>
        </w:rPr>
        <w:t>”), and (ii) the Separation Agreement and Release becoming irrevocable, all within 60 days after the Date of Termination (or such shorter period as set forth in the Separation Agreement and Release), which shall include a seven (7) day revocation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3103245" cy="15430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5">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24"/>
          </w:cols>
          <w:pgMar w:left="436" w:top="877" w:right="439" w:bottom="1440" w:gutter="0" w:footer="0" w:header="0"/>
        </w:sectPr>
      </w:pPr>
    </w:p>
    <w:bookmarkStart w:id="495" w:name="page496"/>
    <w:bookmarkEnd w:id="495"/>
    <w:p>
      <w:pPr>
        <w:ind w:left="532" w:right="40" w:hanging="532"/>
        <w:spacing w:after="0" w:line="277" w:lineRule="auto"/>
        <w:tabs>
          <w:tab w:leader="none" w:pos="532" w:val="left"/>
        </w:tabs>
        <w:numPr>
          <w:ilvl w:val="0"/>
          <w:numId w:val="3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7">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The Company shall pay you an amount equal to 12 months of your Base Salary plus any bonus earned but unpaid for the year immediately prior to the year of termination (such salary and bonus together, the “</w:t>
      </w:r>
      <w:r>
        <w:rPr>
          <w:rFonts w:ascii="Arial" w:cs="Arial" w:eastAsia="Arial" w:hAnsi="Arial"/>
          <w:sz w:val="18"/>
          <w:szCs w:val="18"/>
          <w:u w:val="single" w:color="auto"/>
          <w:color w:val="auto"/>
        </w:rPr>
        <w:t>Severance Amount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532" w:right="500" w:hanging="532"/>
        <w:spacing w:after="0" w:line="291" w:lineRule="auto"/>
        <w:tabs>
          <w:tab w:leader="none" w:pos="53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Notwithstanding anything to the contrary in any applicable equity-based award agreement or plan, the unvested portion of your then outstanding equity-based awards subject to time-based vesting (the “</w:t>
      </w:r>
      <w:r>
        <w:rPr>
          <w:rFonts w:ascii="Arial" w:cs="Arial" w:eastAsia="Arial" w:hAnsi="Arial"/>
          <w:sz w:val="16"/>
          <w:szCs w:val="16"/>
          <w:u w:val="single" w:color="auto"/>
          <w:color w:val="auto"/>
        </w:rPr>
        <w:t>Time-Based Equity Awards</w:t>
      </w:r>
      <w:r>
        <w:rPr>
          <w:rFonts w:ascii="Arial" w:cs="Arial" w:eastAsia="Arial" w:hAnsi="Arial"/>
          <w:sz w:val="16"/>
          <w:szCs w:val="16"/>
          <w:color w:val="auto"/>
        </w:rPr>
        <w:t>”) that would have vested within the</w:t>
      </w:r>
    </w:p>
    <w:p>
      <w:pPr>
        <w:ind w:left="532" w:right="60"/>
        <w:spacing w:after="0" w:line="251" w:lineRule="auto"/>
        <w:rPr>
          <w:rFonts w:ascii="Arial" w:cs="Arial" w:eastAsia="Arial" w:hAnsi="Arial"/>
          <w:sz w:val="16"/>
          <w:szCs w:val="16"/>
          <w:color w:val="auto"/>
        </w:rPr>
      </w:pPr>
      <w:r>
        <w:rPr>
          <w:rFonts w:ascii="Arial" w:cs="Arial" w:eastAsia="Arial" w:hAnsi="Arial"/>
          <w:sz w:val="18"/>
          <w:szCs w:val="18"/>
          <w:color w:val="auto"/>
        </w:rPr>
        <w:t>12-month period following the Termination Date shall immediately accelerate and become vested or nonforfeitable as of the later of (i) the Date of Termination or (ii) the effective date of the Separation Agreement and Release (such later date being the “</w:t>
      </w:r>
      <w:r>
        <w:rPr>
          <w:rFonts w:ascii="Arial" w:cs="Arial" w:eastAsia="Arial" w:hAnsi="Arial"/>
          <w:sz w:val="18"/>
          <w:szCs w:val="18"/>
          <w:u w:val="single" w:color="auto"/>
          <w:color w:val="auto"/>
        </w:rPr>
        <w:t>Accelerated 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provided that no such acceleration of vesting shall occur if the Date of Termination precedes the one-year anniversary of the Effective Date; and provided further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the Date of Termination and the Accelerated Vesting Date.</w:t>
      </w:r>
    </w:p>
    <w:p>
      <w:pPr>
        <w:spacing w:after="0" w:line="102" w:lineRule="exact"/>
        <w:rPr>
          <w:rFonts w:ascii="Arial" w:cs="Arial" w:eastAsia="Arial" w:hAnsi="Arial"/>
          <w:sz w:val="16"/>
          <w:szCs w:val="16"/>
          <w:color w:val="auto"/>
        </w:rPr>
      </w:pPr>
    </w:p>
    <w:p>
      <w:pPr>
        <w:ind w:left="532" w:hanging="532"/>
        <w:spacing w:after="0" w:line="269" w:lineRule="auto"/>
        <w:tabs>
          <w:tab w:leader="none" w:pos="532" w:val="left"/>
        </w:tabs>
        <w:numPr>
          <w:ilvl w:val="0"/>
          <w:numId w:val="373"/>
        </w:numPr>
        <w:rPr>
          <w:rFonts w:ascii="Arial" w:cs="Arial" w:eastAsia="Arial" w:hAnsi="Arial"/>
          <w:sz w:val="17"/>
          <w:szCs w:val="17"/>
          <w:color w:val="auto"/>
        </w:rPr>
      </w:pPr>
      <w:r>
        <w:rPr>
          <w:rFonts w:ascii="Arial" w:cs="Arial" w:eastAsia="Arial" w:hAnsi="Arial"/>
          <w:sz w:val="17"/>
          <w:szCs w:val="17"/>
          <w:color w:val="auto"/>
        </w:rPr>
        <w:t>Subject to your copayment of premium amounts at the applicable active employees’ rate and your proper election to receive benefits under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83820</wp:posOffset>
            </wp:positionV>
            <wp:extent cx="3103245" cy="1543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8">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572"/>
          </w:cols>
          <w:pgMar w:left="868" w:top="881" w:right="459" w:bottom="1440" w:gutter="0" w:footer="0" w:header="0"/>
        </w:sectPr>
      </w:pPr>
    </w:p>
    <w:bookmarkStart w:id="496" w:name="page497"/>
    <w:bookmarkEnd w:id="496"/>
    <w:p>
      <w:pPr>
        <w:ind w:left="4"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0">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 xml:space="preserve">The amounts payable under </w:t>
      </w:r>
      <w:r>
        <w:rPr>
          <w:rFonts w:ascii="Arial" w:cs="Arial" w:eastAsia="Arial" w:hAnsi="Arial"/>
          <w:sz w:val="17"/>
          <w:szCs w:val="17"/>
          <w:u w:val="single" w:color="auto"/>
          <w:color w:val="auto"/>
        </w:rPr>
        <w:t>Section 10(a)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to the extent taxable, shall be paid out in substantially equal installments in accordance with the Company’s payroll practice over 12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Notwithstanding anything to the contrary in this Agreement, for the avoidance of doubt:</w:t>
      </w:r>
    </w:p>
    <w:p>
      <w:pPr>
        <w:spacing w:after="0" w:line="131" w:lineRule="exact"/>
        <w:rPr>
          <w:sz w:val="20"/>
          <w:szCs w:val="20"/>
          <w:color w:val="auto"/>
        </w:rPr>
      </w:pPr>
    </w:p>
    <w:p>
      <w:pPr>
        <w:ind w:left="1424" w:right="40" w:hanging="439"/>
        <w:spacing w:after="0" w:line="277" w:lineRule="auto"/>
        <w:tabs>
          <w:tab w:leader="none" w:pos="142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your employment ends for any reason other than a termination by the Company without Cause, you will be entitled to the Accrued Obligations and will not be entitled to any further compensation from the Company; and</w:t>
      </w:r>
    </w:p>
    <w:p>
      <w:pPr>
        <w:spacing w:after="0" w:line="75" w:lineRule="exact"/>
        <w:rPr>
          <w:rFonts w:ascii="Arial" w:cs="Arial" w:eastAsia="Arial" w:hAnsi="Arial"/>
          <w:sz w:val="18"/>
          <w:szCs w:val="18"/>
          <w:color w:val="auto"/>
        </w:rPr>
      </w:pPr>
    </w:p>
    <w:p>
      <w:pPr>
        <w:ind w:left="1424" w:right="600" w:hanging="439"/>
        <w:spacing w:after="0" w:line="308" w:lineRule="auto"/>
        <w:tabs>
          <w:tab w:leader="none" w:pos="1424" w:val="left"/>
        </w:tabs>
        <w:numPr>
          <w:ilvl w:val="0"/>
          <w:numId w:val="374"/>
        </w:numPr>
        <w:rPr>
          <w:rFonts w:ascii="Arial" w:cs="Arial" w:eastAsia="Arial" w:hAnsi="Arial"/>
          <w:sz w:val="17"/>
          <w:szCs w:val="17"/>
          <w:color w:val="auto"/>
        </w:rPr>
      </w:pPr>
      <w:r>
        <w:rPr>
          <w:rFonts w:ascii="Arial" w:cs="Arial" w:eastAsia="Arial" w:hAnsi="Arial"/>
          <w:sz w:val="17"/>
          <w:szCs w:val="17"/>
          <w:color w:val="auto"/>
        </w:rPr>
        <w:t xml:space="preserve">if your employment ends due to your death or disability, you will receive the Accrued Obligations but will not be eligible for severance pay, accelerated vesting, or benefits, whether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otherwise.</w:t>
      </w:r>
    </w:p>
    <w:p>
      <w:pPr>
        <w:spacing w:after="0" w:line="142" w:lineRule="exact"/>
        <w:rPr>
          <w:sz w:val="20"/>
          <w:szCs w:val="20"/>
          <w:color w:val="auto"/>
        </w:rPr>
      </w:pPr>
    </w:p>
    <w:p>
      <w:pPr>
        <w:ind w:left="4" w:right="140" w:hanging="4"/>
        <w:spacing w:after="0" w:line="282" w:lineRule="auto"/>
        <w:tabs>
          <w:tab w:leader="none" w:pos="264"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Pay and Benefits Within the Change in Control Period</w:t>
      </w:r>
      <w:r>
        <w:rPr>
          <w:rFonts w:ascii="Arial" w:cs="Arial" w:eastAsia="Arial" w:hAnsi="Arial"/>
          <w:sz w:val="18"/>
          <w:szCs w:val="18"/>
          <w:color w:val="auto"/>
        </w:rPr>
        <w:t>. As explained below, under certain circumstances in the event of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you would be entitled to accelerated vesting of your unvested equity awards:</w:t>
      </w:r>
    </w:p>
    <w:p>
      <w:pPr>
        <w:spacing w:after="0" w:line="58"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 xml:space="preserve">In the event that the Company terminates your employment without Cause or you resign for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 the Company shall (i) provide you the severance pay and benefits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subject to the terms and conditions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and (ii) notwithstanding anything to the contrary in any applicable equity-based award agreement or plan, all of your Time-Based Equity Awards shall immediately accelerate and become 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3103245" cy="1543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1">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81" w:right="459" w:bottom="1440" w:gutter="0" w:footer="0" w:header="0"/>
        </w:sectPr>
      </w:pPr>
    </w:p>
    <w:bookmarkStart w:id="497" w:name="page498"/>
    <w:bookmarkEnd w:id="497"/>
    <w:p>
      <w:pPr>
        <w:ind w:left="4" w:right="2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3">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vested or nonforfeitable as of the Accelerated Vesting Date; provided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the Date of Termination and the Accelerated Vesting Date.</w:t>
      </w:r>
    </w:p>
    <w:p>
      <w:pPr>
        <w:spacing w:after="0" w:line="16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 xml:space="preserve">For the avoidance of doubt,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 are mutually exclusive and in no event shall you be entitled to payments or benefits pursuant to both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w:t>
      </w:r>
    </w:p>
    <w:p>
      <w:pPr>
        <w:spacing w:after="0" w:line="197" w:lineRule="exact"/>
        <w:rPr>
          <w:sz w:val="20"/>
          <w:szCs w:val="20"/>
          <w:color w:val="auto"/>
        </w:rPr>
      </w:pPr>
    </w:p>
    <w:p>
      <w:pPr>
        <w:ind w:left="424" w:hanging="424"/>
        <w:spacing w:after="0"/>
        <w:tabs>
          <w:tab w:leader="none" w:pos="424" w:val="left"/>
        </w:tabs>
        <w:numPr>
          <w:ilvl w:val="0"/>
          <w:numId w:val="376"/>
        </w:numPr>
        <w:rPr>
          <w:rFonts w:ascii="Arial" w:cs="Arial" w:eastAsia="Arial" w:hAnsi="Arial"/>
          <w:sz w:val="18"/>
          <w:szCs w:val="18"/>
          <w:b w:val="1"/>
          <w:bCs w:val="1"/>
          <w:color w:val="auto"/>
        </w:rPr>
      </w:pPr>
      <w:r>
        <w:rPr>
          <w:rFonts w:ascii="Arial" w:cs="Arial" w:eastAsia="Arial" w:hAnsi="Arial"/>
          <w:sz w:val="18"/>
          <w:szCs w:val="18"/>
          <w:color w:val="auto"/>
        </w:rPr>
        <w:t>Continuing Obligations.</w:t>
      </w:r>
    </w:p>
    <w:p>
      <w:pPr>
        <w:spacing w:after="0" w:line="126" w:lineRule="exact"/>
        <w:rPr>
          <w:rFonts w:ascii="Arial" w:cs="Arial" w:eastAsia="Arial" w:hAnsi="Arial"/>
          <w:sz w:val="18"/>
          <w:szCs w:val="18"/>
          <w:b w:val="1"/>
          <w:bCs w:val="1"/>
          <w:color w:val="auto"/>
        </w:rPr>
      </w:pPr>
    </w:p>
    <w:p>
      <w:pPr>
        <w:ind w:left="964" w:hanging="532"/>
        <w:spacing w:after="0" w:line="303" w:lineRule="auto"/>
        <w:tabs>
          <w:tab w:leader="none" w:pos="964" w:val="left"/>
        </w:tabs>
        <w:numPr>
          <w:ilvl w:val="1"/>
          <w:numId w:val="376"/>
        </w:numPr>
        <w:rPr>
          <w:rFonts w:ascii="Arial" w:cs="Arial" w:eastAsia="Arial" w:hAnsi="Arial"/>
          <w:sz w:val="16"/>
          <w:szCs w:val="16"/>
          <w:color w:val="auto"/>
        </w:rPr>
      </w:pPr>
      <w:r>
        <w:rPr>
          <w:rFonts w:ascii="Arial" w:cs="Arial" w:eastAsia="Arial" w:hAnsi="Arial"/>
          <w:sz w:val="16"/>
          <w:szCs w:val="16"/>
          <w:b w:val="1"/>
          <w:bCs w:val="1"/>
          <w:color w:val="auto"/>
        </w:rPr>
        <w:t>PIIA Agreement</w:t>
      </w:r>
      <w:r>
        <w:rPr>
          <w:rFonts w:ascii="Arial" w:cs="Arial" w:eastAsia="Arial" w:hAnsi="Arial"/>
          <w:sz w:val="16"/>
          <w:szCs w:val="16"/>
          <w:color w:val="auto"/>
        </w:rPr>
        <w:t>. As a condition of your employment, you are required to enter into a Proprietary Information and Inventions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which is enclosed with this Agreement (the “</w:t>
      </w:r>
      <w:r>
        <w:rPr>
          <w:rFonts w:ascii="Arial" w:cs="Arial" w:eastAsia="Arial" w:hAnsi="Arial"/>
          <w:sz w:val="16"/>
          <w:szCs w:val="16"/>
          <w:u w:val="single" w:color="auto"/>
          <w:color w:val="auto"/>
        </w:rPr>
        <w:t>PIIA Agreement</w:t>
      </w:r>
      <w:r>
        <w:rPr>
          <w:rFonts w:ascii="Arial" w:cs="Arial" w:eastAsia="Arial" w:hAnsi="Arial"/>
          <w:sz w:val="16"/>
          <w:szCs w:val="16"/>
          <w:color w:val="auto"/>
        </w:rPr>
        <w:t xml:space="preserve">”), which must be signed prior to the Effective Date. For purposes of this Agreement, the obligations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those that arise in the PIIA Agreement and any other agreement relating to confidentiality, assignment of inventions, or other restrictive covenants shall collectively be referred to as the “</w:t>
      </w:r>
      <w:r>
        <w:rPr>
          <w:rFonts w:ascii="Arial" w:cs="Arial" w:eastAsia="Arial" w:hAnsi="Arial"/>
          <w:sz w:val="16"/>
          <w:szCs w:val="16"/>
          <w:u w:val="single" w:color="auto"/>
          <w:color w:val="auto"/>
        </w:rPr>
        <w:t>Continuing Obligations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964" w:hanging="532"/>
        <w:spacing w:after="0" w:line="255" w:lineRule="auto"/>
        <w:tabs>
          <w:tab w:leader="none" w:pos="964" w:val="left"/>
        </w:tabs>
        <w:numPr>
          <w:ilvl w:val="1"/>
          <w:numId w:val="376"/>
        </w:numPr>
        <w:rPr>
          <w:rFonts w:ascii="Arial" w:cs="Arial" w:eastAsia="Arial" w:hAnsi="Arial"/>
          <w:sz w:val="18"/>
          <w:szCs w:val="18"/>
          <w:color w:val="auto"/>
        </w:rPr>
      </w:pPr>
      <w:r>
        <w:rPr>
          <w:rFonts w:ascii="Arial" w:cs="Arial" w:eastAsia="Arial" w:hAnsi="Arial"/>
          <w:sz w:val="18"/>
          <w:szCs w:val="18"/>
          <w:b w:val="1"/>
          <w:bCs w:val="1"/>
          <w:color w:val="auto"/>
        </w:rPr>
        <w:t>Third Party Agreements and Rights</w:t>
      </w:r>
      <w:r>
        <w:rPr>
          <w:rFonts w:ascii="Arial" w:cs="Arial" w:eastAsia="Arial" w:hAnsi="Arial"/>
          <w:sz w:val="18"/>
          <w:szCs w:val="18"/>
          <w:color w:val="auto"/>
        </w:rPr>
        <w:t>. You hereby confirm that you are not bound by the terms of any agreement with any previous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94" w:lineRule="exact"/>
        <w:rPr>
          <w:rFonts w:ascii="Arial" w:cs="Arial" w:eastAsia="Arial" w:hAnsi="Arial"/>
          <w:sz w:val="18"/>
          <w:szCs w:val="18"/>
          <w:color w:val="auto"/>
        </w:rPr>
      </w:pPr>
    </w:p>
    <w:p>
      <w:pPr>
        <w:ind w:left="964" w:right="80" w:hanging="532"/>
        <w:spacing w:after="0" w:line="289" w:lineRule="auto"/>
        <w:tabs>
          <w:tab w:leader="none" w:pos="964" w:val="left"/>
        </w:tabs>
        <w:numPr>
          <w:ilvl w:val="1"/>
          <w:numId w:val="376"/>
        </w:numPr>
        <w:rPr>
          <w:rFonts w:ascii="Arial" w:cs="Arial" w:eastAsia="Arial" w:hAnsi="Arial"/>
          <w:sz w:val="17"/>
          <w:szCs w:val="17"/>
          <w:color w:val="auto"/>
        </w:rPr>
      </w:pPr>
      <w:r>
        <w:rPr>
          <w:rFonts w:ascii="Arial" w:cs="Arial" w:eastAsia="Arial" w:hAnsi="Arial"/>
          <w:sz w:val="17"/>
          <w:szCs w:val="17"/>
          <w:b w:val="1"/>
          <w:bCs w:val="1"/>
          <w:color w:val="auto"/>
        </w:rPr>
        <w:t>Litigation and Regulatory Cooperation</w:t>
      </w:r>
      <w:r>
        <w:rPr>
          <w:rFonts w:ascii="Arial" w:cs="Arial" w:eastAsia="Arial" w:hAnsi="Arial"/>
          <w:sz w:val="17"/>
          <w:szCs w:val="17"/>
          <w:color w:val="auto"/>
        </w:rPr>
        <w:t>. You shall cooperate fully with the Company in (i) the defense or prosecution of any claims or</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now in existence or which may be brought in the future against or on behalf of the Company which relate to events or occurrences that transpired while you were engaged or employed by the Company, and (ii) the investigation,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3103245" cy="1543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4">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84"/>
          </w:cols>
          <w:pgMar w:left="436" w:top="881" w:right="479" w:bottom="1440" w:gutter="0" w:footer="0" w:header="0"/>
        </w:sectPr>
      </w:pPr>
    </w:p>
    <w:bookmarkStart w:id="498" w:name="page499"/>
    <w:bookmarkEnd w:id="498"/>
    <w:p>
      <w:pPr>
        <w:jc w:val="both"/>
        <w:ind w:left="98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6">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w:t>
      </w:r>
    </w:p>
    <w:p>
      <w:pPr>
        <w:spacing w:after="0" w:line="2" w:lineRule="exact"/>
        <w:rPr>
          <w:sz w:val="20"/>
          <w:szCs w:val="20"/>
          <w:color w:val="auto"/>
        </w:rPr>
      </w:pPr>
    </w:p>
    <w:p>
      <w:pPr>
        <w:ind w:left="984"/>
        <w:spacing w:after="0" w:line="273" w:lineRule="auto"/>
        <w:rPr>
          <w:sz w:val="20"/>
          <w:szCs w:val="20"/>
          <w:color w:val="auto"/>
        </w:rPr>
      </w:pPr>
      <w:r>
        <w:rPr>
          <w:rFonts w:ascii="Arial" w:cs="Arial" w:eastAsia="Arial" w:hAnsi="Arial"/>
          <w:sz w:val="17"/>
          <w:szCs w:val="17"/>
          <w:color w:val="auto"/>
        </w:rPr>
        <w:t xml:space="preserve">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rFonts w:ascii="Arial" w:cs="Arial" w:eastAsia="Arial" w:hAnsi="Arial"/>
          <w:sz w:val="17"/>
          <w:szCs w:val="17"/>
          <w:u w:val="single" w:color="auto"/>
          <w:color w:val="auto"/>
        </w:rPr>
        <w:t>Section 12(c).</w:t>
      </w:r>
    </w:p>
    <w:p>
      <w:pPr>
        <w:spacing w:after="0" w:line="78" w:lineRule="exact"/>
        <w:rPr>
          <w:sz w:val="20"/>
          <w:szCs w:val="20"/>
          <w:color w:val="auto"/>
        </w:rPr>
      </w:pPr>
    </w:p>
    <w:p>
      <w:pPr>
        <w:ind w:left="964" w:right="20" w:hanging="532"/>
        <w:spacing w:after="0" w:line="258" w:lineRule="auto"/>
        <w:tabs>
          <w:tab w:leader="none" w:pos="964" w:val="left"/>
        </w:tabs>
        <w:numPr>
          <w:ilvl w:val="1"/>
          <w:numId w:val="377"/>
        </w:numPr>
        <w:rPr>
          <w:rFonts w:ascii="Arial" w:cs="Arial" w:eastAsia="Arial" w:hAnsi="Arial"/>
          <w:sz w:val="18"/>
          <w:szCs w:val="18"/>
          <w:color w:val="auto"/>
        </w:rPr>
      </w:pPr>
      <w:r>
        <w:rPr>
          <w:rFonts w:ascii="Arial" w:cs="Arial" w:eastAsia="Arial" w:hAnsi="Arial"/>
          <w:sz w:val="18"/>
          <w:szCs w:val="18"/>
          <w:b w:val="1"/>
          <w:bCs w:val="1"/>
          <w:color w:val="auto"/>
        </w:rPr>
        <w:t>Relief</w:t>
      </w:r>
      <w:r>
        <w:rPr>
          <w:rFonts w:ascii="Arial" w:cs="Arial" w:eastAsia="Arial" w:hAnsi="Arial"/>
          <w:sz w:val="18"/>
          <w:szCs w:val="18"/>
          <w:color w:val="auto"/>
        </w:rPr>
        <w:t>. You agree that it would be difficult to measure any damages caused to the Company which might result from your breach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378"/>
        </w:numPr>
        <w:rPr>
          <w:rFonts w:ascii="Arial" w:cs="Arial" w:eastAsia="Arial" w:hAnsi="Arial"/>
          <w:sz w:val="18"/>
          <w:szCs w:val="18"/>
          <w:b w:val="1"/>
          <w:bCs w:val="1"/>
          <w:color w:val="auto"/>
        </w:rPr>
      </w:pPr>
      <w:r>
        <w:rPr>
          <w:rFonts w:ascii="Arial" w:cs="Arial" w:eastAsia="Arial" w:hAnsi="Arial"/>
          <w:sz w:val="18"/>
          <w:szCs w:val="18"/>
          <w:color w:val="auto"/>
        </w:rPr>
        <w:t>Golden Parachute Taxes.</w:t>
      </w:r>
    </w:p>
    <w:p>
      <w:pPr>
        <w:spacing w:after="0" w:line="126" w:lineRule="exact"/>
        <w:rPr>
          <w:rFonts w:ascii="Arial" w:cs="Arial" w:eastAsia="Arial" w:hAnsi="Arial"/>
          <w:sz w:val="18"/>
          <w:szCs w:val="18"/>
          <w:b w:val="1"/>
          <w:bCs w:val="1"/>
          <w:color w:val="auto"/>
        </w:rPr>
      </w:pPr>
    </w:p>
    <w:p>
      <w:pPr>
        <w:ind w:left="964" w:hanging="532"/>
        <w:spacing w:after="0" w:line="270" w:lineRule="auto"/>
        <w:tabs>
          <w:tab w:leader="none" w:pos="964" w:val="left"/>
        </w:tabs>
        <w:numPr>
          <w:ilvl w:val="1"/>
          <w:numId w:val="378"/>
        </w:numPr>
        <w:rPr>
          <w:rFonts w:ascii="Arial" w:cs="Arial" w:eastAsia="Arial" w:hAnsi="Arial"/>
          <w:sz w:val="17"/>
          <w:szCs w:val="17"/>
          <w:color w:val="auto"/>
        </w:rPr>
      </w:pPr>
      <w:r>
        <w:rPr>
          <w:rFonts w:ascii="Arial" w:cs="Arial" w:eastAsia="Arial" w:hAnsi="Arial"/>
          <w:sz w:val="17"/>
          <w:szCs w:val="17"/>
          <w:b w:val="1"/>
          <w:bCs w:val="1"/>
          <w:color w:val="auto"/>
        </w:rPr>
        <w:t>Best After-Tax Result</w:t>
      </w:r>
      <w:r>
        <w:rPr>
          <w:rFonts w:ascii="Arial" w:cs="Arial" w:eastAsia="Arial" w:hAnsi="Arial"/>
          <w:sz w:val="17"/>
          <w:szCs w:val="17"/>
          <w:color w:val="auto"/>
        </w:rPr>
        <w:t>. In the event that any payment or benefit received or to be received by you pursuant to this Agreement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Payments</w:t>
      </w:r>
      <w:r>
        <w:rPr>
          <w:rFonts w:ascii="Arial" w:cs="Arial" w:eastAsia="Arial" w:hAnsi="Arial"/>
          <w:sz w:val="17"/>
          <w:szCs w:val="17"/>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7"/>
          <w:szCs w:val="17"/>
          <w:u w:val="single" w:color="auto"/>
          <w:color w:val="auto"/>
        </w:rPr>
        <w:t>Excise Tax</w:t>
      </w:r>
      <w:r>
        <w:rPr>
          <w:rFonts w:ascii="Arial" w:cs="Arial" w:eastAsia="Arial" w:hAnsi="Arial"/>
          <w:sz w:val="17"/>
          <w:szCs w:val="17"/>
          <w:color w:val="auto"/>
        </w:rPr>
        <w:t>”),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3103245" cy="15430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7">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64"/>
          </w:cols>
          <w:pgMar w:left="436" w:top="881" w:right="499" w:bottom="1440" w:gutter="0" w:footer="0" w:header="0"/>
        </w:sectPr>
      </w:pPr>
    </w:p>
    <w:bookmarkStart w:id="499" w:name="page500"/>
    <w:bookmarkEnd w:id="499"/>
    <w:p>
      <w:pPr>
        <w:ind w:left="552"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9">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and you otherwise agree in writing, any determination required under this Section shall be made by independent tax counsel designated by the Company and reasonably acceptable to you (“</w:t>
      </w:r>
      <w:r>
        <w:rPr>
          <w:rFonts w:ascii="Arial" w:cs="Arial" w:eastAsia="Arial" w:hAnsi="Arial"/>
          <w:sz w:val="16"/>
          <w:szCs w:val="16"/>
          <w:u w:val="single" w:color="auto"/>
          <w:color w:val="auto"/>
        </w:rPr>
        <w:t>Independent Tax Counsel</w:t>
      </w:r>
      <w:r>
        <w:rPr>
          <w:rFonts w:ascii="Arial" w:cs="Arial" w:eastAsia="Arial" w:hAnsi="Arial"/>
          <w:sz w:val="16"/>
          <w:szCs w:val="16"/>
          <w:color w:val="auto"/>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Arial" w:cs="Arial" w:eastAsia="Arial" w:hAnsi="Arial"/>
          <w:sz w:val="16"/>
          <w:szCs w:val="16"/>
          <w:u w:val="single" w:color="auto"/>
          <w:color w:val="auto"/>
        </w:rPr>
        <w:t>Section 13(a)(ii)(B)</w:t>
      </w:r>
      <w:r>
        <w:rPr>
          <w:rFonts w:ascii="Arial" w:cs="Arial" w:eastAsia="Arial" w:hAnsi="Arial"/>
          <w:sz w:val="16"/>
          <w:szCs w:val="16"/>
          <w:color w:val="auto"/>
        </w:rPr>
        <w:t xml:space="preserve">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Arial" w:cs="Arial" w:eastAsia="Arial" w:hAnsi="Arial"/>
          <w:sz w:val="16"/>
          <w:szCs w:val="16"/>
          <w:u w:val="single" w:color="auto"/>
          <w:color w:val="auto"/>
        </w:rPr>
        <w:t>IRS</w:t>
      </w:r>
      <w:r>
        <w:rPr>
          <w:rFonts w:ascii="Arial" w:cs="Arial" w:eastAsia="Arial" w:hAnsi="Arial"/>
          <w:sz w:val="16"/>
          <w:szCs w:val="16"/>
          <w:color w:val="auto"/>
        </w:rPr>
        <w:t xml:space="preserve">”) determines that any Payment is subject to the Excise Tax, then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hereof shall apply, and the enforcement of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shall be the exclusive remedy to the Company.</w:t>
      </w:r>
    </w:p>
    <w:p>
      <w:pPr>
        <w:spacing w:after="0" w:line="75" w:lineRule="exact"/>
        <w:rPr>
          <w:sz w:val="20"/>
          <w:szCs w:val="20"/>
          <w:color w:val="auto"/>
        </w:rPr>
      </w:pPr>
    </w:p>
    <w:p>
      <w:pPr>
        <w:ind w:left="532" w:hanging="532"/>
        <w:spacing w:after="0" w:line="271" w:lineRule="auto"/>
        <w:tabs>
          <w:tab w:leader="none" w:pos="532" w:val="left"/>
        </w:tabs>
        <w:numPr>
          <w:ilvl w:val="0"/>
          <w:numId w:val="379"/>
        </w:numPr>
        <w:rPr>
          <w:rFonts w:ascii="Arial" w:cs="Arial" w:eastAsia="Arial" w:hAnsi="Arial"/>
          <w:sz w:val="17"/>
          <w:szCs w:val="17"/>
          <w:color w:val="auto"/>
        </w:rPr>
      </w:pPr>
      <w:r>
        <w:rPr>
          <w:rFonts w:ascii="Arial" w:cs="Arial" w:eastAsia="Arial" w:hAnsi="Arial"/>
          <w:sz w:val="17"/>
          <w:szCs w:val="17"/>
          <w:b w:val="1"/>
          <w:bCs w:val="1"/>
          <w:color w:val="auto"/>
        </w:rPr>
        <w:t>Adjustments</w:t>
      </w:r>
      <w:r>
        <w:rPr>
          <w:rFonts w:ascii="Arial" w:cs="Arial" w:eastAsia="Arial" w:hAnsi="Arial"/>
          <w:sz w:val="17"/>
          <w:szCs w:val="17"/>
          <w:color w:val="auto"/>
        </w:rPr>
        <w:t>. If, notwithstanding any reduction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13(a)</w:t>
      </w:r>
      <w:r>
        <w:rPr>
          <w:rFonts w:ascii="Arial" w:cs="Arial" w:eastAsia="Arial" w:hAnsi="Arial"/>
          <w:sz w:val="17"/>
          <w:szCs w:val="17"/>
          <w:b w:val="1"/>
          <w:bCs w:val="1"/>
          <w:color w:val="auto"/>
        </w:rPr>
        <w:t xml:space="preserve"> </w:t>
      </w:r>
      <w:r>
        <w:rPr>
          <w:rFonts w:ascii="Arial" w:cs="Arial" w:eastAsia="Arial" w:hAnsi="Arial"/>
          <w:sz w:val="17"/>
          <w:szCs w:val="17"/>
          <w:color w:val="auto"/>
        </w:rPr>
        <w:t>hereof (or in the absence of any such reduction), the IRS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determines that you are liable for the Excise Tax as a result of the receipt of one or more Payments, then you shall be obligated to surrender or pay back to the Company within one-hundred 120 days after a final IRS determination, an amount of such payments or benefits equal to the “</w:t>
      </w:r>
      <w:r>
        <w:rPr>
          <w:rFonts w:ascii="Arial" w:cs="Arial" w:eastAsia="Arial" w:hAnsi="Arial"/>
          <w:sz w:val="17"/>
          <w:szCs w:val="17"/>
          <w:u w:val="single" w:color="auto"/>
          <w:color w:val="auto"/>
        </w:rPr>
        <w:t>Repayment Amount</w:t>
      </w:r>
      <w:r>
        <w:rPr>
          <w:rFonts w:ascii="Arial" w:cs="Arial" w:eastAsia="Arial" w:hAnsi="Arial"/>
          <w:sz w:val="17"/>
          <w:szCs w:val="17"/>
          <w:color w:val="auto"/>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Arial" w:cs="Arial" w:eastAsia="Arial" w:hAnsi="Arial"/>
          <w:sz w:val="17"/>
          <w:szCs w:val="17"/>
          <w:u w:val="single" w:color="auto"/>
          <w:color w:val="auto"/>
        </w:rPr>
        <w:t>Section 13(b)</w:t>
      </w:r>
      <w:r>
        <w:rPr>
          <w:rFonts w:ascii="Arial" w:cs="Arial" w:eastAsia="Arial" w:hAnsi="Arial"/>
          <w:sz w:val="17"/>
          <w:szCs w:val="17"/>
          <w:color w:val="auto"/>
        </w:rPr>
        <w:t>, you shall pay the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78740</wp:posOffset>
            </wp:positionV>
            <wp:extent cx="3103245" cy="1543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0">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572"/>
          </w:cols>
          <w:pgMar w:left="868" w:top="881" w:right="459" w:bottom="1440" w:gutter="0" w:footer="0" w:header="0"/>
        </w:sectPr>
      </w:pPr>
    </w:p>
    <w:bookmarkStart w:id="500" w:name="page501"/>
    <w:bookmarkEnd w:id="500"/>
    <w:p>
      <w:pPr>
        <w:ind w:left="424" w:hanging="424"/>
        <w:spacing w:after="0"/>
        <w:tabs>
          <w:tab w:leader="none" w:pos="424" w:val="left"/>
        </w:tabs>
        <w:numPr>
          <w:ilvl w:val="0"/>
          <w:numId w:val="3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2">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Section 409A.</w:t>
      </w:r>
    </w:p>
    <w:p>
      <w:pPr>
        <w:spacing w:after="0" w:line="130" w:lineRule="exact"/>
        <w:rPr>
          <w:rFonts w:ascii="Arial" w:cs="Arial" w:eastAsia="Arial" w:hAnsi="Arial"/>
          <w:sz w:val="18"/>
          <w:szCs w:val="18"/>
          <w:b w:val="1"/>
          <w:bCs w:val="1"/>
          <w:color w:val="auto"/>
        </w:rPr>
      </w:pPr>
    </w:p>
    <w:p>
      <w:pPr>
        <w:ind w:left="964" w:right="80" w:hanging="532"/>
        <w:spacing w:after="0" w:line="284" w:lineRule="auto"/>
        <w:tabs>
          <w:tab w:leader="none" w:pos="96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w:t>
      </w:r>
    </w:p>
    <w:p>
      <w:pPr>
        <w:spacing w:after="0" w:line="4" w:lineRule="exact"/>
        <w:rPr>
          <w:rFonts w:ascii="Arial" w:cs="Arial" w:eastAsia="Arial" w:hAnsi="Arial"/>
          <w:sz w:val="16"/>
          <w:szCs w:val="16"/>
          <w:color w:val="auto"/>
        </w:rPr>
      </w:pPr>
    </w:p>
    <w:p>
      <w:pPr>
        <w:ind w:left="964" w:right="180"/>
        <w:spacing w:after="0" w:line="277" w:lineRule="auto"/>
        <w:rPr>
          <w:rFonts w:ascii="Arial" w:cs="Arial" w:eastAsia="Arial" w:hAnsi="Arial"/>
          <w:sz w:val="16"/>
          <w:szCs w:val="16"/>
          <w:color w:val="auto"/>
        </w:rPr>
      </w:pPr>
      <w:r>
        <w:rPr>
          <w:rFonts w:ascii="Arial" w:cs="Arial" w:eastAsia="Arial" w:hAnsi="Arial"/>
          <w:sz w:val="17"/>
          <w:szCs w:val="17"/>
          <w:color w:val="auto"/>
        </w:rPr>
        <w:t>(B) your death. If any such delayed cash payment is otherwise payable on an installment basis, the first payment shall include a catch-up payment covering amounts that would otherwise have been paid during the six-month period but for the application of this provision (without interest), and the balance of the installments shall be payable in accordance with their original schedule.</w:t>
      </w:r>
    </w:p>
    <w:p>
      <w:pPr>
        <w:spacing w:after="0" w:line="78" w:lineRule="exact"/>
        <w:rPr>
          <w:rFonts w:ascii="Arial" w:cs="Arial" w:eastAsia="Arial" w:hAnsi="Arial"/>
          <w:sz w:val="16"/>
          <w:szCs w:val="16"/>
          <w:color w:val="auto"/>
        </w:rPr>
      </w:pPr>
    </w:p>
    <w:p>
      <w:pPr>
        <w:ind w:left="964" w:hanging="532"/>
        <w:spacing w:after="0" w:line="254" w:lineRule="auto"/>
        <w:tabs>
          <w:tab w:leader="none" w:pos="96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00" w:lineRule="exact"/>
        <w:rPr>
          <w:rFonts w:ascii="Arial" w:cs="Arial" w:eastAsia="Arial" w:hAnsi="Arial"/>
          <w:sz w:val="18"/>
          <w:szCs w:val="18"/>
          <w:color w:val="auto"/>
        </w:rPr>
      </w:pPr>
    </w:p>
    <w:p>
      <w:pPr>
        <w:ind w:left="964" w:hanging="532"/>
        <w:spacing w:after="0"/>
        <w:tabs>
          <w:tab w:leader="none" w:pos="964" w:val="left"/>
        </w:tabs>
        <w:numPr>
          <w:ilvl w:val="1"/>
          <w:numId w:val="380"/>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w:t>
      </w:r>
    </w:p>
    <w:p>
      <w:pPr>
        <w:spacing w:after="0" w:line="34" w:lineRule="exact"/>
        <w:rPr>
          <w:rFonts w:ascii="Arial" w:cs="Arial" w:eastAsia="Arial" w:hAnsi="Arial"/>
          <w:sz w:val="17"/>
          <w:szCs w:val="17"/>
          <w:color w:val="auto"/>
        </w:rPr>
      </w:pPr>
    </w:p>
    <w:p>
      <w:pPr>
        <w:ind w:left="964"/>
        <w:spacing w:after="0" w:line="302" w:lineRule="auto"/>
        <w:rPr>
          <w:rFonts w:ascii="Arial" w:cs="Arial" w:eastAsia="Arial" w:hAnsi="Arial"/>
          <w:sz w:val="17"/>
          <w:szCs w:val="17"/>
          <w:color w:val="auto"/>
        </w:rPr>
      </w:pPr>
      <w:r>
        <w:rPr>
          <w:rFonts w:ascii="Arial" w:cs="Arial" w:eastAsia="Arial" w:hAnsi="Arial"/>
          <w:sz w:val="16"/>
          <w:szCs w:val="16"/>
          <w:color w:val="auto"/>
        </w:rPr>
        <w:t>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3103245" cy="1543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3">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84"/>
          </w:cols>
          <w:pgMar w:left="436" w:top="881" w:right="479" w:bottom="1440" w:gutter="0" w:footer="0" w:header="0"/>
        </w:sectPr>
      </w:pPr>
    </w:p>
    <w:bookmarkStart w:id="501" w:name="page502"/>
    <w:bookmarkEnd w:id="501"/>
    <w:p>
      <w:pPr>
        <w:ind w:left="964" w:hanging="532"/>
        <w:spacing w:after="0" w:line="293" w:lineRule="auto"/>
        <w:tabs>
          <w:tab w:leader="none" w:pos="964" w:val="left"/>
        </w:tabs>
        <w:numPr>
          <w:ilvl w:val="1"/>
          <w:numId w:val="3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5">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69" w:lineRule="exact"/>
        <w:rPr>
          <w:rFonts w:ascii="Arial" w:cs="Arial" w:eastAsia="Arial" w:hAnsi="Arial"/>
          <w:sz w:val="16"/>
          <w:szCs w:val="16"/>
          <w:color w:val="auto"/>
        </w:rPr>
      </w:pPr>
    </w:p>
    <w:p>
      <w:pPr>
        <w:ind w:left="964" w:right="40" w:hanging="532"/>
        <w:spacing w:after="0" w:line="263" w:lineRule="auto"/>
        <w:tabs>
          <w:tab w:leader="none" w:pos="964"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9" w:lineRule="exact"/>
        <w:rPr>
          <w:rFonts w:ascii="Arial" w:cs="Arial" w:eastAsia="Arial" w:hAnsi="Arial"/>
          <w:sz w:val="18"/>
          <w:szCs w:val="18"/>
          <w:color w:val="auto"/>
        </w:rPr>
      </w:pPr>
    </w:p>
    <w:p>
      <w:pPr>
        <w:ind w:left="4" w:hanging="4"/>
        <w:spacing w:after="0" w:line="261" w:lineRule="auto"/>
        <w:tabs>
          <w:tab w:leader="none" w:pos="27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 Effect</w:t>
      </w:r>
      <w:r>
        <w:rPr>
          <w:rFonts w:ascii="Arial" w:cs="Arial" w:eastAsia="Arial" w:hAnsi="Arial"/>
          <w:sz w:val="18"/>
          <w:szCs w:val="18"/>
          <w:color w:val="auto"/>
        </w:rPr>
        <w:t>. All forms of compensation referred to in this Agreement are subject to reduction to reflect applicable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79" w:lineRule="exact"/>
        <w:rPr>
          <w:rFonts w:ascii="Arial" w:cs="Arial" w:eastAsia="Arial" w:hAnsi="Arial"/>
          <w:sz w:val="18"/>
          <w:szCs w:val="18"/>
          <w:b w:val="1"/>
          <w:bCs w:val="1"/>
          <w:color w:val="auto"/>
        </w:rPr>
      </w:pPr>
    </w:p>
    <w:p>
      <w:pPr>
        <w:ind w:left="4" w:right="100" w:hanging="4"/>
        <w:spacing w:after="0" w:line="261" w:lineRule="auto"/>
        <w:tabs>
          <w:tab w:leader="none" w:pos="27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Amounts paid or payable under this Agreement shall be subject to the provisions of any applicable clawback or recoupment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or procedures adopted by the Company, which clawback or recoupment policies may provide for forfeiture and/or recoupment of amounts paid or payable under this Agreement. No forfeiture or recoupment under such policies or procedures will give rise to a right to resign for Good Reason under this Agreement or any other agreement between you and the Company.</w:t>
      </w:r>
    </w:p>
    <w:p>
      <w:pPr>
        <w:spacing w:after="0" w:line="179" w:lineRule="exact"/>
        <w:rPr>
          <w:rFonts w:ascii="Arial" w:cs="Arial" w:eastAsia="Arial" w:hAnsi="Arial"/>
          <w:sz w:val="18"/>
          <w:szCs w:val="18"/>
          <w:b w:val="1"/>
          <w:bCs w:val="1"/>
          <w:color w:val="auto"/>
        </w:rPr>
      </w:pPr>
    </w:p>
    <w:p>
      <w:pPr>
        <w:ind w:left="4" w:right="80" w:hanging="4"/>
        <w:spacing w:after="0" w:line="273" w:lineRule="auto"/>
        <w:tabs>
          <w:tab w:leader="none" w:pos="274"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 and Enforcement</w:t>
      </w:r>
      <w:r>
        <w:rPr>
          <w:rFonts w:ascii="Arial" w:cs="Arial" w:eastAsia="Arial" w:hAnsi="Arial"/>
          <w:sz w:val="17"/>
          <w:szCs w:val="17"/>
          <w:color w:val="auto"/>
        </w:rPr>
        <w:t>. This Agreement, together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Appendix A</w:t>
      </w:r>
      <w:r>
        <w:rPr>
          <w:rFonts w:ascii="Arial" w:cs="Arial" w:eastAsia="Arial" w:hAnsi="Arial"/>
          <w:sz w:val="17"/>
          <w:szCs w:val="17"/>
          <w:color w:val="auto"/>
        </w:rPr>
        <w:t>, the PIIA Agreement and the other agreements referenced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the complete agreement between you and the Company, contains all of the terms of your employment with the Company and supersedes any prior agreements, representations or understandings (whether written, oral or implied) between you and the Company, and, for the avoidance of doubt, the Consulting Agreement.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Arial" w:cs="Arial" w:eastAsia="Arial" w:hAnsi="Arial"/>
          <w:sz w:val="17"/>
          <w:szCs w:val="17"/>
          <w:u w:val="single" w:color="auto"/>
          <w:color w:val="auto"/>
        </w:rPr>
        <w:t>Disputes</w:t>
      </w:r>
      <w:r>
        <w:rPr>
          <w:rFonts w:ascii="Arial" w:cs="Arial" w:eastAsia="Arial" w:hAnsi="Arial"/>
          <w:sz w:val="17"/>
          <w:szCs w:val="17"/>
          <w:color w:val="auto"/>
        </w:rPr>
        <w:t>”) will be governed by California law, excluding laws relating to conflicts or choice of law and Disputes arising in connection with any equity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3103245" cy="1543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6">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44"/>
          </w:cols>
          <w:pgMar w:left="436" w:top="881" w:right="519" w:bottom="1440" w:gutter="0" w:footer="0" w:header="0"/>
        </w:sectPr>
      </w:pPr>
    </w:p>
    <w:bookmarkStart w:id="502" w:name="page503"/>
    <w:bookmarkEnd w:id="502"/>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8">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plan, which shall be governed by the terms of the applicable equity incentive plan. You and the Company submit to the exclusive personal jurisdiction of the federal and state courts located in the State of California in connection with any Dispute or any claim related to any Dispute, except for Disputes arising under any equity incentive plan.</w:t>
      </w:r>
    </w:p>
    <w:p>
      <w:pPr>
        <w:spacing w:after="0" w:line="180" w:lineRule="exact"/>
        <w:rPr>
          <w:sz w:val="20"/>
          <w:szCs w:val="20"/>
          <w:color w:val="auto"/>
        </w:rPr>
      </w:pPr>
    </w:p>
    <w:p>
      <w:pPr>
        <w:ind w:left="4" w:hanging="4"/>
        <w:spacing w:after="0" w:line="254" w:lineRule="auto"/>
        <w:tabs>
          <w:tab w:leader="none" w:pos="274"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Neither you nor the Company may make any assignment of this Agreement or any interest in it, by operation of law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 solely as a result of such transaction. This Agreement shall inure to the benefit of and be binding upon you and the Company, and each of your and its respective successors, executors, administrators, heirs and permitted assigns.</w:t>
      </w:r>
    </w:p>
    <w:p>
      <w:pPr>
        <w:spacing w:after="0" w:line="191" w:lineRule="exact"/>
        <w:rPr>
          <w:rFonts w:ascii="Arial" w:cs="Arial" w:eastAsia="Arial" w:hAnsi="Arial"/>
          <w:sz w:val="18"/>
          <w:szCs w:val="18"/>
          <w:b w:val="1"/>
          <w:bCs w:val="1"/>
          <w:color w:val="auto"/>
        </w:rPr>
      </w:pPr>
    </w:p>
    <w:p>
      <w:pPr>
        <w:jc w:val="both"/>
        <w:ind w:left="4" w:right="120" w:hanging="4"/>
        <w:spacing w:after="0" w:line="281" w:lineRule="auto"/>
        <w:tabs>
          <w:tab w:leader="none" w:pos="274"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color w:val="auto"/>
        </w:rPr>
        <w:t>Waiver; Amendment</w:t>
      </w:r>
      <w:r>
        <w:rPr>
          <w:rFonts w:ascii="Arial" w:cs="Arial" w:eastAsia="Arial" w:hAnsi="Arial"/>
          <w:sz w:val="17"/>
          <w:szCs w:val="17"/>
          <w:color w:val="auto"/>
        </w:rPr>
        <w:t>. No waiver of any provision hereof shall be effective unless made in writing and signed by the waiving party. The failure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w:t>
      </w:r>
    </w:p>
    <w:p>
      <w:pPr>
        <w:spacing w:after="0" w:line="164" w:lineRule="exact"/>
        <w:rPr>
          <w:rFonts w:ascii="Arial" w:cs="Arial" w:eastAsia="Arial" w:hAnsi="Arial"/>
          <w:sz w:val="17"/>
          <w:szCs w:val="17"/>
          <w:b w:val="1"/>
          <w:bCs w:val="1"/>
          <w:color w:val="auto"/>
        </w:rPr>
      </w:pPr>
    </w:p>
    <w:p>
      <w:pPr>
        <w:ind w:left="4" w:right="260" w:hanging="4"/>
        <w:spacing w:after="0" w:line="281" w:lineRule="auto"/>
        <w:tabs>
          <w:tab w:leader="none" w:pos="274" w:val="left"/>
        </w:tabs>
        <w:numPr>
          <w:ilvl w:val="0"/>
          <w:numId w:val="383"/>
        </w:numPr>
        <w:rPr>
          <w:rFonts w:ascii="Arial" w:cs="Arial" w:eastAsia="Arial" w:hAnsi="Arial"/>
          <w:sz w:val="17"/>
          <w:szCs w:val="17"/>
          <w:b w:val="1"/>
          <w:bCs w:val="1"/>
          <w:color w:val="auto"/>
        </w:rPr>
      </w:pPr>
      <w:r>
        <w:rPr>
          <w:rFonts w:ascii="Arial" w:cs="Arial" w:eastAsia="Arial" w:hAnsi="Arial"/>
          <w:sz w:val="17"/>
          <w:szCs w:val="17"/>
          <w:b w:val="1"/>
          <w:bCs w:val="1"/>
          <w:color w:val="auto"/>
        </w:rPr>
        <w:t>Enforceability</w:t>
      </w:r>
      <w:r>
        <w:rPr>
          <w:rFonts w:ascii="Arial" w:cs="Arial" w:eastAsia="Arial" w:hAnsi="Arial"/>
          <w:sz w:val="17"/>
          <w:szCs w:val="17"/>
          <w:color w:val="auto"/>
        </w:rPr>
        <w:t>. If any portion or provision of this Agreement (including, without limitation, any portion or provision of any section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4" w:lineRule="exact"/>
        <w:rPr>
          <w:rFonts w:ascii="Arial" w:cs="Arial" w:eastAsia="Arial" w:hAnsi="Arial"/>
          <w:sz w:val="17"/>
          <w:szCs w:val="17"/>
          <w:b w:val="1"/>
          <w:bCs w:val="1"/>
          <w:color w:val="auto"/>
        </w:rPr>
      </w:pPr>
    </w:p>
    <w:p>
      <w:pPr>
        <w:ind w:left="4" w:right="80" w:hanging="4"/>
        <w:spacing w:after="0" w:line="282" w:lineRule="auto"/>
        <w:tabs>
          <w:tab w:leader="none" w:pos="274"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As with any employee, you must submit satisfactory proof of your identity and your legal authorization to work in the United States on</w:t>
      </w:r>
      <w:r>
        <w:rPr>
          <w:rFonts w:ascii="Arial" w:cs="Arial" w:eastAsia="Arial" w:hAnsi="Arial"/>
          <w:sz w:val="18"/>
          <w:szCs w:val="18"/>
          <w:b w:val="1"/>
          <w:bCs w:val="1"/>
          <w:color w:val="auto"/>
        </w:rPr>
        <w:t xml:space="preserve"> </w:t>
      </w:r>
      <w:r>
        <w:rPr>
          <w:rFonts w:ascii="Arial" w:cs="Arial" w:eastAsia="Arial" w:hAnsi="Arial"/>
          <w:sz w:val="18"/>
          <w:szCs w:val="18"/>
          <w:color w:val="auto"/>
        </w:rPr>
        <w:t>or prior to the Effective Date.</w:t>
      </w:r>
    </w:p>
    <w:p>
      <w:pPr>
        <w:spacing w:after="0" w:line="161" w:lineRule="exact"/>
        <w:rPr>
          <w:rFonts w:ascii="Arial" w:cs="Arial" w:eastAsia="Arial" w:hAnsi="Arial"/>
          <w:sz w:val="18"/>
          <w:szCs w:val="18"/>
          <w:b w:val="1"/>
          <w:bCs w:val="1"/>
          <w:color w:val="auto"/>
        </w:rPr>
      </w:pPr>
    </w:p>
    <w:p>
      <w:pPr>
        <w:ind w:left="4" w:right="40" w:hanging="4"/>
        <w:spacing w:after="0" w:line="258" w:lineRule="auto"/>
        <w:tabs>
          <w:tab w:leader="none" w:pos="274"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w:t>
      </w:r>
      <w:r>
        <w:rPr>
          <w:rFonts w:ascii="Arial" w:cs="Arial" w:eastAsia="Arial" w:hAnsi="Arial"/>
          <w:sz w:val="18"/>
          <w:szCs w:val="18"/>
          <w:color w:val="auto"/>
        </w:rPr>
        <w:t>. The provisions of this Agreement shall survive the termination of this Agreement and/or the termination of your employment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3103245" cy="1543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9">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81" w:right="459" w:bottom="1440" w:gutter="0" w:footer="0" w:header="0"/>
        </w:sectPr>
      </w:pPr>
    </w:p>
    <w:bookmarkStart w:id="503" w:name="page504"/>
    <w:bookmarkEnd w:id="5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1">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I look forward to working with you to make the Company a great success.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Alspaugh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Alspaugh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acknowledged: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Cameron Turtle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Cameron Turtle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3103245" cy="15430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4">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019"/>
          </w:cols>
          <w:pgMar w:left="440" w:top="881" w:right="1440" w:bottom="1440" w:gutter="0" w:footer="0" w:header="0"/>
        </w:sectPr>
      </w:pPr>
    </w:p>
    <w:bookmarkStart w:id="504" w:name="page505"/>
    <w:bookmarkEnd w:id="504"/>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05815" cy="2914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6">
                      <a:clrChange>
                        <a:clrFrom>
                          <a:srgbClr val="FFFFFF"/>
                        </a:clrFrom>
                        <a:clrTo>
                          <a:srgbClr val="FFFFFF">
                            <a:alpha val="0"/>
                          </a:srgbClr>
                        </a:clrTo>
                      </a:clrChange>
                      <a:extLst>
                        <a:ext uri="{28A0092B-C50C-407E-A947-70E740481C1C}"/>
                      </a:extLst>
                    </a:blip>
                    <a:srcRect/>
                    <a:stretch>
                      <a:fillRect/>
                    </a:stretch>
                  </pic:blipFill>
                  <pic:spPr bwMode="auto">
                    <a:xfrm>
                      <a:off x="0" y="0"/>
                      <a:ext cx="805815" cy="291465"/>
                    </a:xfrm>
                    <a:prstGeom prst="rect">
                      <a:avLst/>
                    </a:prstGeom>
                    <a:noFill/>
                  </pic:spPr>
                </pic:pic>
              </a:graphicData>
            </a:graphic>
          </wp:anchor>
        </w:drawing>
        <w:t>Appendix A</w:t>
      </w:r>
    </w:p>
    <w:p>
      <w:pPr>
        <w:spacing w:after="0" w:line="229" w:lineRule="exact"/>
        <w:rPr>
          <w:sz w:val="20"/>
          <w:szCs w:val="20"/>
          <w:color w:val="auto"/>
        </w:rPr>
      </w:pPr>
    </w:p>
    <w:p>
      <w:pPr>
        <w:ind w:left="4" w:hanging="4"/>
        <w:spacing w:after="0" w:line="290" w:lineRule="auto"/>
        <w:tabs>
          <w:tab w:leader="none" w:pos="18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please of no contest to: (A) a felony or (B) any misdemeanor involving moral turpitude, deceit, dishonesty or fraud; (iii) your failure to perform in all material respects your assigned duties and responsibilities to the reasonable satisfaction of the Board, which failure continues, in the reasonable judgment of the Board, for 30 days after written notice given to you describing such failure; (iv) your gross negligence, willful misconduct that results in or is reasonably anticipated to result in material harm to the Company; or (v) your violation of any material provision of any agreement(s) between you and the Company or any written Company policies including, without limitation, agreements relating to non-solicitation, non-disclosure and/or assignment of inventions or policies related to ethics or workplace conduct.</w:t>
      </w:r>
    </w:p>
    <w:p>
      <w:pPr>
        <w:spacing w:after="0" w:line="165" w:lineRule="exact"/>
        <w:rPr>
          <w:rFonts w:ascii="Arial" w:cs="Arial" w:eastAsia="Arial" w:hAnsi="Arial"/>
          <w:sz w:val="16"/>
          <w:szCs w:val="16"/>
          <w:color w:val="auto"/>
        </w:rPr>
      </w:pPr>
    </w:p>
    <w:p>
      <w:pPr>
        <w:ind w:left="4" w:right="140" w:hanging="4"/>
        <w:spacing w:after="0" w:line="277" w:lineRule="auto"/>
        <w:tabs>
          <w:tab w:leader="none" w:pos="18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provided for the term “Corporate Transaction” under the Company’s 2016 Equity Incentive Plan (or the meaning provided to any word of similar import under any successor plan).</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shall mean the 12-month period that immediately follows the first event constituting a Change in Control.</w:t>
      </w:r>
    </w:p>
    <w:p>
      <w:pPr>
        <w:spacing w:after="0" w:line="225" w:lineRule="exact"/>
        <w:rPr>
          <w:rFonts w:ascii="Arial" w:cs="Arial" w:eastAsia="Arial" w:hAnsi="Arial"/>
          <w:sz w:val="18"/>
          <w:szCs w:val="18"/>
          <w:color w:val="auto"/>
        </w:rPr>
      </w:pPr>
    </w:p>
    <w:p>
      <w:pPr>
        <w:ind w:left="4" w:right="40" w:hanging="4"/>
        <w:spacing w:after="0" w:line="254" w:lineRule="auto"/>
        <w:tabs>
          <w:tab w:leader="none" w:pos="18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to a location outside the state of California; (iii) a material reduction in your duties, authority or responsibilities; (iv) the failure of the Company to obtain the assumption of this Agreement by a successor; or (v) the material breach of this Agreement (or any other agreements with you) by the Company.</w:t>
      </w:r>
    </w:p>
    <w:p>
      <w:pPr>
        <w:spacing w:after="0" w:line="194" w:lineRule="exact"/>
        <w:rPr>
          <w:rFonts w:ascii="Arial" w:cs="Arial" w:eastAsia="Arial" w:hAnsi="Arial"/>
          <w:sz w:val="18"/>
          <w:szCs w:val="18"/>
          <w:color w:val="auto"/>
        </w:rPr>
      </w:pPr>
    </w:p>
    <w:p>
      <w:pPr>
        <w:ind w:left="4" w:right="80" w:hanging="4"/>
        <w:spacing w:after="0" w:line="287" w:lineRule="auto"/>
        <w:tabs>
          <w:tab w:leader="none" w:pos="18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 Process</w:t>
      </w:r>
      <w:r>
        <w:rPr>
          <w:rFonts w:ascii="Arial" w:cs="Arial" w:eastAsia="Arial" w:hAnsi="Arial"/>
          <w:sz w:val="16"/>
          <w:szCs w:val="16"/>
          <w:color w:val="auto"/>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Arial" w:cs="Arial" w:eastAsia="Arial" w:hAnsi="Arial"/>
          <w:sz w:val="16"/>
          <w:szCs w:val="16"/>
          <w:u w:val="single" w:color="auto"/>
          <w:color w:val="auto"/>
        </w:rPr>
        <w:t>Cure Period</w:t>
      </w:r>
      <w:r>
        <w:rPr>
          <w:rFonts w:ascii="Arial" w:cs="Arial" w:eastAsia="Arial" w:hAnsi="Arial"/>
          <w:sz w:val="16"/>
          <w:szCs w:val="16"/>
          <w:color w:val="auto"/>
        </w:rPr>
        <w:t>”), to remedy the condition;</w:t>
      </w:r>
    </w:p>
    <w:p>
      <w:pPr>
        <w:spacing w:after="0" w:line="2" w:lineRule="exact"/>
        <w:rPr>
          <w:rFonts w:ascii="Arial" w:cs="Arial" w:eastAsia="Arial" w:hAnsi="Arial"/>
          <w:sz w:val="16"/>
          <w:szCs w:val="16"/>
          <w:color w:val="auto"/>
        </w:rPr>
      </w:pPr>
    </w:p>
    <w:p>
      <w:pPr>
        <w:ind w:left="4" w:right="80"/>
        <w:spacing w:after="0" w:line="323" w:lineRule="auto"/>
        <w:rPr>
          <w:rFonts w:ascii="Arial" w:cs="Arial" w:eastAsia="Arial" w:hAnsi="Arial"/>
          <w:sz w:val="16"/>
          <w:szCs w:val="16"/>
          <w:color w:val="auto"/>
        </w:rPr>
      </w:pPr>
      <w:r>
        <w:rPr>
          <w:rFonts w:ascii="Arial" w:cs="Arial" w:eastAsia="Arial" w:hAnsi="Arial"/>
          <w:sz w:val="16"/>
          <w:szCs w:val="16"/>
          <w:color w:val="auto"/>
        </w:rPr>
        <w:t>(iv) notwithstanding such efforts, the Good Reason condition continues to exist; and (v) you terminate your employment within 60 days after the end of the Cure Period. If the Company cures the Good Reason condition during the Cure Period, Good Reason shall be deemed not to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3103245" cy="1543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7">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77" w:right="459" w:bottom="1440" w:gutter="0" w:footer="0" w:header="0"/>
        </w:sectPr>
      </w:pPr>
    </w:p>
    <w:bookmarkStart w:id="505" w:name="page506"/>
    <w:bookmarkEnd w:id="505"/>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This Indemnity Agreement, dated as of [•], 2018 is made by and between Aeglea BioTherapeutics, Inc., a Delaware corporation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and [•], a director, officer or key employee of the Company or one of the Company’s subsidiaries or other service provider who satisfies the definition of Indemnifiable Person set forth below (“</w:t>
      </w:r>
      <w:r>
        <w:rPr>
          <w:rFonts w:ascii="Arial" w:cs="Arial" w:eastAsia="Arial" w:hAnsi="Arial"/>
          <w:sz w:val="18"/>
          <w:szCs w:val="18"/>
          <w:b w:val="1"/>
          <w:bCs w:val="1"/>
          <w:i w:val="1"/>
          <w:iCs w:val="1"/>
          <w:u w:val="single" w:color="auto"/>
          <w:color w:val="auto"/>
        </w:rPr>
        <w:t>Indemnitee</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A. 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4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B. The members of the Board of Directors of the Company (the “Board”)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in connection with claims against such representatives in connection with their service to the Company and its Subsidiaries and Affiliates;</w:t>
      </w:r>
    </w:p>
    <w:p>
      <w:pPr>
        <w:spacing w:after="0" w:line="161"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C. Section 145 of the Delaware General Corporation Law (“Section 145”), empowers the Company to indemnify by agreement its officers, directors, employees and agents, and persons who serve, at the request of the Company, as directors, officers, employees or agents of other corporations, partnerships, joint ventures, trusts or other enterprises, and expressly provides that the indemnification provided thereby is not exclusive; and</w:t>
      </w:r>
    </w:p>
    <w:p>
      <w:pPr>
        <w:spacing w:after="0" w:line="14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D. 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17" w:lineRule="exact"/>
        <w:rPr>
          <w:sz w:val="20"/>
          <w:szCs w:val="20"/>
          <w:color w:val="auto"/>
        </w:rPr>
      </w:pPr>
    </w:p>
    <w:p>
      <w:pPr>
        <w:ind w:left="1160" w:hanging="173"/>
        <w:spacing w:after="0"/>
        <w:tabs>
          <w:tab w:leader="none" w:pos="116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rFonts w:ascii="Arial" w:cs="Arial" w:eastAsia="Arial" w:hAnsi="Arial"/>
          <w:sz w:val="18"/>
          <w:szCs w:val="18"/>
          <w:color w:val="auto"/>
        </w:rPr>
      </w:pPr>
    </w:p>
    <w:p>
      <w:pPr>
        <w:ind w:left="440" w:right="80" w:firstLine="948"/>
        <w:spacing w:after="0" w:line="275" w:lineRule="auto"/>
        <w:tabs>
          <w:tab w:leader="none" w:pos="1636" w:val="left"/>
        </w:tabs>
        <w:numPr>
          <w:ilvl w:val="1"/>
          <w:numId w:val="385"/>
        </w:numPr>
        <w:rPr>
          <w:rFonts w:ascii="Arial" w:cs="Arial" w:eastAsia="Arial" w:hAnsi="Arial"/>
          <w:sz w:val="17"/>
          <w:szCs w:val="17"/>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For purposes of this Agreement, “Affiliate” of the Company means any corporation, partnership, limited liability company, joint venture, trust or other enterprise in respect of which Indemnitee is or was or will be serving as a director, officer, 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ectPr>
          <w:pgSz w:w="11900" w:h="16838" w:orient="portrait"/>
          <w:cols w:equalWidth="0" w:num="1">
            <w:col w:w="11020"/>
          </w:cols>
          <w:pgMar w:left="440" w:top="121" w:right="439" w:bottom="1440" w:gutter="0" w:footer="0" w:header="0"/>
        </w:sectPr>
      </w:pPr>
    </w:p>
    <w:bookmarkStart w:id="506" w:name="page507"/>
    <w:bookmarkEnd w:id="506"/>
    <w:p>
      <w:pPr>
        <w:ind w:left="-560" w:right="20" w:firstLine="948"/>
        <w:spacing w:after="0" w:line="268" w:lineRule="auto"/>
        <w:tabs>
          <w:tab w:leader="none" w:pos="646"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Control</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(i) any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(as such term is used in Sections 13(d) and 14(d) of the Securities Exchange Act of 1934, as amended), other than a Subsidiary or a trustee or other fiduciary holding securities under an employee benefit plan of the Company or Subsidiary, is or becomes the “</w:t>
      </w:r>
      <w:r>
        <w:rPr>
          <w:rFonts w:ascii="Arial" w:cs="Arial" w:eastAsia="Arial" w:hAnsi="Arial"/>
          <w:sz w:val="17"/>
          <w:szCs w:val="17"/>
          <w:b w:val="1"/>
          <w:bCs w:val="1"/>
          <w:i w:val="1"/>
          <w:iCs w:val="1"/>
          <w:color w:val="auto"/>
        </w:rPr>
        <w:t>Beneficial Owner</w:t>
      </w:r>
      <w:r>
        <w:rPr>
          <w:rFonts w:ascii="Arial" w:cs="Arial" w:eastAsia="Arial" w:hAnsi="Arial"/>
          <w:sz w:val="17"/>
          <w:szCs w:val="17"/>
          <w:color w:val="auto"/>
        </w:rPr>
        <w:t>” (as defined in Rule 13d-3 under said Act), directly or indirectly, of securities of the Company representing 50% or more of the total voting power represented by the Company’s then outstanding capital stock or (ii) 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80% of the total voting power represented by the capital stock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76" w:lineRule="exact"/>
        <w:rPr>
          <w:rFonts w:ascii="Arial" w:cs="Arial" w:eastAsia="Arial" w:hAnsi="Arial"/>
          <w:sz w:val="17"/>
          <w:szCs w:val="17"/>
          <w:color w:val="auto"/>
        </w:rPr>
      </w:pPr>
    </w:p>
    <w:p>
      <w:pPr>
        <w:ind w:left="-560" w:right="100" w:firstLine="948"/>
        <w:spacing w:after="0" w:line="275" w:lineRule="auto"/>
        <w:tabs>
          <w:tab w:leader="none" w:pos="636"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means all direct and indirect costs of any type or nature whatsoever (including, without limitation, all attorneys’ fees and related disbursements, and other out-of-pocket costs), paid or incurred by Indemnitee in connection with either the investigation, defense or appeal of, or being a witness in, a Proceeding (as defined below), or establishing or enforcing a right to indemnification under this Agreement, Section 145 or otherwise; provided, however, that Expenses shall not include any judgments, fines, ERISA excise taxes or penalties or amounts paid in settlement of a Proceeding.</w:t>
      </w:r>
    </w:p>
    <w:p>
      <w:pPr>
        <w:spacing w:after="0" w:line="68" w:lineRule="exact"/>
        <w:rPr>
          <w:rFonts w:ascii="Arial" w:cs="Arial" w:eastAsia="Arial" w:hAnsi="Arial"/>
          <w:sz w:val="17"/>
          <w:szCs w:val="17"/>
          <w:color w:val="auto"/>
        </w:rPr>
      </w:pPr>
    </w:p>
    <w:p>
      <w:pPr>
        <w:ind w:left="-560" w:firstLine="948"/>
        <w:spacing w:after="0" w:line="263" w:lineRule="auto"/>
        <w:tabs>
          <w:tab w:leader="none" w:pos="646"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Indemnifiable Event</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Indemnifiable Event</w:t>
      </w:r>
      <w:r>
        <w:rPr>
          <w:rFonts w:ascii="Arial" w:cs="Arial" w:eastAsia="Arial" w:hAnsi="Arial"/>
          <w:sz w:val="18"/>
          <w:szCs w:val="18"/>
          <w:color w:val="auto"/>
        </w:rPr>
        <w: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75" w:lineRule="exact"/>
        <w:rPr>
          <w:rFonts w:ascii="Arial" w:cs="Arial" w:eastAsia="Arial" w:hAnsi="Arial"/>
          <w:sz w:val="18"/>
          <w:szCs w:val="18"/>
          <w:color w:val="auto"/>
        </w:rPr>
      </w:pPr>
    </w:p>
    <w:p>
      <w:pPr>
        <w:jc w:val="both"/>
        <w:ind w:left="-560" w:right="120" w:firstLine="948"/>
        <w:spacing w:after="0" w:line="259" w:lineRule="auto"/>
        <w:tabs>
          <w:tab w:leader="none" w:pos="636"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Indemnifiable Person</w:t>
      </w:r>
      <w:r>
        <w:rPr>
          <w:rFonts w:ascii="Arial" w:cs="Arial" w:eastAsia="Arial" w:hAnsi="Arial"/>
          <w:sz w:val="18"/>
          <w:szCs w:val="18"/>
          <w:color w:val="auto"/>
        </w:rPr>
        <w:t>. For the purposes of this Agreement, “</w:t>
      </w:r>
      <w:r>
        <w:rPr>
          <w:rFonts w:ascii="Arial" w:cs="Arial" w:eastAsia="Arial" w:hAnsi="Arial"/>
          <w:sz w:val="18"/>
          <w:szCs w:val="18"/>
          <w:b w:val="1"/>
          <w:bCs w:val="1"/>
          <w:i w:val="1"/>
          <w:iCs w:val="1"/>
          <w:color w:val="auto"/>
        </w:rPr>
        <w:t>Indemnifiable Person</w:t>
      </w:r>
      <w:r>
        <w:rPr>
          <w:rFonts w:ascii="Arial" w:cs="Arial" w:eastAsia="Arial" w:hAnsi="Arial"/>
          <w:sz w:val="18"/>
          <w:szCs w:val="18"/>
          <w:color w:val="auto"/>
        </w:rPr>
        <w:t>” 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sectPr>
          <w:pgSz w:w="11900" w:h="16838" w:orient="portrait"/>
          <w:cols w:equalWidth="0" w:num="1">
            <w:col w:w="9980"/>
          </w:cols>
          <w:pgMar w:left="1440" w:top="273" w:right="479" w:bottom="1440" w:gutter="0" w:footer="0" w:header="0"/>
        </w:sectPr>
      </w:pPr>
    </w:p>
    <w:bookmarkStart w:id="507" w:name="page508"/>
    <w:bookmarkEnd w:id="507"/>
    <w:p>
      <w:pPr>
        <w:ind w:left="-547" w:right="460" w:firstLine="948"/>
        <w:spacing w:after="0" w:line="286" w:lineRule="auto"/>
        <w:tabs>
          <w:tab w:leader="none" w:pos="629"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Counsel</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Independent Counsel</w:t>
      </w:r>
      <w:r>
        <w:rPr>
          <w:rFonts w:ascii="Arial" w:cs="Arial" w:eastAsia="Arial" w:hAnsi="Arial"/>
          <w:sz w:val="17"/>
          <w:szCs w:val="17"/>
          <w:color w:val="auto"/>
        </w:rPr>
        <w:t>” means legal counsel that has not performed services for the Company or Indemnitee in the five years preceding the time in question and that would not, under applicable standards of professional conduct, have a conflict of interest in representing either the Company or Indemnitee.</w:t>
      </w:r>
    </w:p>
    <w:p>
      <w:pPr>
        <w:spacing w:after="0" w:line="57" w:lineRule="exact"/>
        <w:rPr>
          <w:rFonts w:ascii="Arial" w:cs="Arial" w:eastAsia="Arial" w:hAnsi="Arial"/>
          <w:sz w:val="17"/>
          <w:szCs w:val="17"/>
          <w:color w:val="auto"/>
        </w:rPr>
      </w:pPr>
    </w:p>
    <w:p>
      <w:pPr>
        <w:ind w:left="-547" w:right="20" w:firstLine="948"/>
        <w:spacing w:after="0" w:line="277" w:lineRule="auto"/>
        <w:tabs>
          <w:tab w:leader="none" w:pos="659"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Independent Director</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means a member of the Board who is not a party to the Proceeding for which a claim is made under this Agreement.</w:t>
      </w:r>
    </w:p>
    <w:p>
      <w:pPr>
        <w:spacing w:after="0" w:line="62" w:lineRule="exact"/>
        <w:rPr>
          <w:rFonts w:ascii="Arial" w:cs="Arial" w:eastAsia="Arial" w:hAnsi="Arial"/>
          <w:sz w:val="18"/>
          <w:szCs w:val="18"/>
          <w:color w:val="auto"/>
        </w:rPr>
      </w:pPr>
    </w:p>
    <w:p>
      <w:pPr>
        <w:ind w:left="-547" w:right="320" w:firstLine="948"/>
        <w:spacing w:after="0" w:line="279" w:lineRule="auto"/>
        <w:tabs>
          <w:tab w:leader="none" w:pos="659"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Other Liabilities</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Other Liabilities</w:t>
      </w:r>
      <w:r>
        <w:rPr>
          <w:rFonts w:ascii="Arial" w:cs="Arial" w:eastAsia="Arial" w:hAnsi="Arial"/>
          <w:sz w:val="17"/>
          <w:szCs w:val="17"/>
          <w:color w:val="auto"/>
        </w:rPr>
        <w:t>” means any and all liabilities of any type whatsoever (including, but not limited to, judgments, fines, penalties, ERISA (or other benefit plan related) excise taxes or penalties, and amounts paid in settlement and all interest, taxes, assessments and other charges paid or payable in connection with or in respect of any such judgments, fines, ERISA (or other benefit plan related) excise taxes or penalties, or amounts paid in settlement).</w:t>
      </w:r>
    </w:p>
    <w:p>
      <w:pPr>
        <w:spacing w:after="0" w:line="63" w:lineRule="exact"/>
        <w:rPr>
          <w:rFonts w:ascii="Arial" w:cs="Arial" w:eastAsia="Arial" w:hAnsi="Arial"/>
          <w:sz w:val="17"/>
          <w:szCs w:val="17"/>
          <w:color w:val="auto"/>
        </w:rPr>
      </w:pPr>
    </w:p>
    <w:p>
      <w:pPr>
        <w:ind w:left="-547" w:right="80" w:firstLine="948"/>
        <w:spacing w:after="0" w:line="286" w:lineRule="auto"/>
        <w:tabs>
          <w:tab w:leader="none" w:pos="619"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Proceeding</w:t>
      </w:r>
      <w:r>
        <w:rPr>
          <w:rFonts w:ascii="Arial" w:cs="Arial" w:eastAsia="Arial" w:hAnsi="Arial"/>
          <w:sz w:val="17"/>
          <w:szCs w:val="17"/>
          <w:color w:val="auto"/>
        </w:rPr>
        <w:t>. For the purposes of this Agreement,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means any threatened, pending, or completed action, suit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57" w:lineRule="exact"/>
        <w:rPr>
          <w:rFonts w:ascii="Arial" w:cs="Arial" w:eastAsia="Arial" w:hAnsi="Arial"/>
          <w:sz w:val="17"/>
          <w:szCs w:val="17"/>
          <w:color w:val="auto"/>
        </w:rPr>
      </w:pPr>
    </w:p>
    <w:p>
      <w:pPr>
        <w:ind w:left="-547" w:right="240" w:firstLine="948"/>
        <w:spacing w:after="0" w:line="277" w:lineRule="auto"/>
        <w:tabs>
          <w:tab w:leader="none" w:pos="619"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of which more than 50% of the outstanding voting securities is owned directly or indirectly by the Company.</w:t>
      </w:r>
    </w:p>
    <w:p>
      <w:pPr>
        <w:spacing w:after="0" w:line="170" w:lineRule="exact"/>
        <w:rPr>
          <w:rFonts w:ascii="Arial" w:cs="Arial" w:eastAsia="Arial" w:hAnsi="Arial"/>
          <w:sz w:val="18"/>
          <w:szCs w:val="18"/>
          <w:color w:val="auto"/>
        </w:rPr>
      </w:pPr>
    </w:p>
    <w:p>
      <w:pPr>
        <w:jc w:val="both"/>
        <w:ind w:left="-987" w:right="20" w:firstLine="987"/>
        <w:spacing w:after="0" w:line="275" w:lineRule="auto"/>
        <w:tabs>
          <w:tab w:leader="none" w:pos="184"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Agreement to Serve</w:t>
      </w:r>
      <w:r>
        <w:rPr>
          <w:rFonts w:ascii="Arial" w:cs="Arial" w:eastAsia="Arial" w:hAnsi="Arial"/>
          <w:sz w:val="17"/>
          <w:szCs w:val="17"/>
          <w:color w:val="auto"/>
        </w:rPr>
        <w:t>. The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Nothing contained in this Agreement is intended to create any right to continued employment or other form of service for the Company or a Subsidiary or Affiliate of the Company by Indemnitee.</w:t>
      </w:r>
    </w:p>
    <w:p>
      <w:pPr>
        <w:spacing w:after="0" w:line="176" w:lineRule="exact"/>
        <w:rPr>
          <w:rFonts w:ascii="Arial" w:cs="Arial" w:eastAsia="Arial" w:hAnsi="Arial"/>
          <w:sz w:val="17"/>
          <w:szCs w:val="17"/>
          <w:color w:val="auto"/>
        </w:rPr>
      </w:pPr>
    </w:p>
    <w:p>
      <w:pPr>
        <w:ind w:left="173" w:hanging="173"/>
        <w:spacing w:after="0"/>
        <w:tabs>
          <w:tab w:leader="none" w:pos="173"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7" w:firstLine="948"/>
        <w:spacing w:after="0" w:line="273" w:lineRule="auto"/>
        <w:tabs>
          <w:tab w:leader="none" w:pos="649" w:val="left"/>
        </w:tabs>
        <w:numPr>
          <w:ilvl w:val="1"/>
          <w:numId w:val="388"/>
        </w:numPr>
        <w:rPr>
          <w:rFonts w:ascii="Arial" w:cs="Arial" w:eastAsia="Arial" w:hAnsi="Arial"/>
          <w:sz w:val="17"/>
          <w:szCs w:val="17"/>
          <w:color w:val="auto"/>
        </w:rPr>
      </w:pPr>
      <w:r>
        <w:rPr>
          <w:rFonts w:ascii="Arial" w:cs="Arial" w:eastAsia="Arial" w:hAnsi="Arial"/>
          <w:sz w:val="17"/>
          <w:szCs w:val="17"/>
          <w:u w:val="single" w:color="auto"/>
          <w:color w:val="auto"/>
        </w:rPr>
        <w:t>Agreement to Indemnify</w:t>
      </w:r>
      <w:r>
        <w:rPr>
          <w:rFonts w:ascii="Arial" w:cs="Arial" w:eastAsia="Arial" w:hAnsi="Arial"/>
          <w:sz w:val="17"/>
          <w:szCs w:val="17"/>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not prohibited by the provisions of the Company’s Bylaws and the Delaware General Corporation Law (“</w:t>
      </w:r>
      <w:r>
        <w:rPr>
          <w:rFonts w:ascii="Arial" w:cs="Arial" w:eastAsia="Arial" w:hAnsi="Arial"/>
          <w:sz w:val="17"/>
          <w:szCs w:val="17"/>
          <w:b w:val="1"/>
          <w:bCs w:val="1"/>
          <w:i w:val="1"/>
          <w:iCs w:val="1"/>
          <w:u w:val="single" w:color="auto"/>
          <w:color w:val="auto"/>
        </w:rPr>
        <w:t>DGCL</w:t>
      </w:r>
      <w:r>
        <w:rPr>
          <w:rFonts w:ascii="Arial" w:cs="Arial" w:eastAsia="Arial" w:hAnsi="Arial"/>
          <w:sz w:val="17"/>
          <w:szCs w:val="17"/>
          <w:color w:val="auto"/>
        </w:rPr>
        <w:t>”), as the same may be amended from time to time (but only to the extent that such amendment permits the Company to provide broader indemnification rights than the Bylaws or the DGCL permitted prior to the adoption of such amendment).</w:t>
      </w:r>
    </w:p>
    <w:p>
      <w:pPr>
        <w:sectPr>
          <w:pgSz w:w="11900" w:h="16838" w:orient="portrait"/>
          <w:cols w:equalWidth="0" w:num="1">
            <w:col w:w="9973"/>
          </w:cols>
          <w:pgMar w:left="1427" w:top="273" w:right="499" w:bottom="1440" w:gutter="0" w:footer="0" w:header="0"/>
        </w:sectPr>
      </w:pPr>
    </w:p>
    <w:bookmarkStart w:id="508" w:name="page509"/>
    <w:bookmarkEnd w:id="508"/>
    <w:p>
      <w:pPr>
        <w:ind w:left="444" w:right="120" w:firstLine="948"/>
        <w:spacing w:after="0" w:line="272" w:lineRule="auto"/>
        <w:tabs>
          <w:tab w:leader="none" w:pos="1650" w:val="left"/>
        </w:tabs>
        <w:numPr>
          <w:ilvl w:val="2"/>
          <w:numId w:val="3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 for Amounts Covered by Insurance and Other Sources</w:t>
      </w:r>
      <w:r>
        <w:rPr>
          <w:rFonts w:ascii="Arial" w:cs="Arial" w:eastAsia="Arial" w:hAnsi="Arial"/>
          <w:sz w:val="17"/>
          <w:szCs w:val="17"/>
          <w:color w:val="auto"/>
        </w:rPr>
        <w:t xml:space="preserve">. Notwithstanding the foregoing, the Company shall not be obligated to indemnify Indemnitee for Expenses or Other Liabilities of any type whatsoever (including, but not limited to judgments, fines, penalties, ERISA excise taxes or penalties and amounts paid in settlement) to the extent such have been paid directly to Indemnitee (or paid directly to a third party on Indemnitee’s behalf) by any directors and officers, or other type, of insurance maintained by the Company or pursuant to other indemnity arrangements with third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177" w:lineRule="exact"/>
        <w:rPr>
          <w:rFonts w:ascii="Arial" w:cs="Arial" w:eastAsia="Arial" w:hAnsi="Arial"/>
          <w:sz w:val="17"/>
          <w:szCs w:val="17"/>
          <w:color w:val="auto"/>
        </w:rPr>
      </w:pPr>
    </w:p>
    <w:p>
      <w:pPr>
        <w:ind w:left="4" w:right="40" w:firstLine="987"/>
        <w:spacing w:after="0" w:line="273" w:lineRule="auto"/>
        <w:tabs>
          <w:tab w:leader="none" w:pos="1175" w:val="left"/>
        </w:tabs>
        <w:numPr>
          <w:ilvl w:val="1"/>
          <w:numId w:val="390"/>
        </w:numPr>
        <w:rPr>
          <w:rFonts w:ascii="Arial" w:cs="Arial" w:eastAsia="Arial" w:hAnsi="Arial"/>
          <w:sz w:val="17"/>
          <w:szCs w:val="17"/>
          <w:color w:val="auto"/>
        </w:rPr>
      </w:pPr>
      <w:r>
        <w:rPr>
          <w:rFonts w:ascii="Arial" w:cs="Arial" w:eastAsia="Arial" w:hAnsi="Arial"/>
          <w:sz w:val="17"/>
          <w:szCs w:val="17"/>
          <w:u w:val="single" w:color="auto"/>
          <w:color w:val="auto"/>
        </w:rPr>
        <w:t>Partial Indemnification</w:t>
      </w:r>
      <w:r>
        <w:rPr>
          <w:rFonts w:ascii="Arial" w:cs="Arial" w:eastAsia="Arial" w:hAnsi="Arial"/>
          <w:sz w:val="17"/>
          <w:szCs w:val="17"/>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the provisions of the Company’s Bylaws or the DGCL.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177" w:lineRule="exact"/>
        <w:rPr>
          <w:rFonts w:ascii="Arial" w:cs="Arial" w:eastAsia="Arial" w:hAnsi="Arial"/>
          <w:sz w:val="17"/>
          <w:szCs w:val="17"/>
          <w:color w:val="auto"/>
        </w:rPr>
      </w:pPr>
    </w:p>
    <w:p>
      <w:pPr>
        <w:ind w:left="4" w:right="20" w:firstLine="987"/>
        <w:spacing w:after="0" w:line="287" w:lineRule="auto"/>
        <w:tabs>
          <w:tab w:leader="none" w:pos="1175" w:val="left"/>
        </w:tabs>
        <w:numPr>
          <w:ilvl w:val="1"/>
          <w:numId w:val="390"/>
        </w:numPr>
        <w:rPr>
          <w:rFonts w:ascii="Arial" w:cs="Arial" w:eastAsia="Arial" w:hAnsi="Arial"/>
          <w:sz w:val="16"/>
          <w:szCs w:val="16"/>
          <w:color w:val="auto"/>
        </w:rPr>
      </w:pPr>
      <w:r>
        <w:rPr>
          <w:rFonts w:ascii="Arial" w:cs="Arial" w:eastAsia="Arial" w:hAnsi="Arial"/>
          <w:sz w:val="16"/>
          <w:szCs w:val="16"/>
          <w:u w:val="single" w:color="auto"/>
          <w:color w:val="auto"/>
        </w:rPr>
        <w:t>Liability Insurance</w:t>
      </w:r>
      <w:r>
        <w:rPr>
          <w:rFonts w:ascii="Arial" w:cs="Arial" w:eastAsia="Arial" w:hAnsi="Arial"/>
          <w:sz w:val="16"/>
          <w:szCs w:val="16"/>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w:t>
      </w:r>
    </w:p>
    <w:p>
      <w:pPr>
        <w:spacing w:after="0" w:line="2" w:lineRule="exact"/>
        <w:rPr>
          <w:rFonts w:ascii="Arial" w:cs="Arial" w:eastAsia="Arial" w:hAnsi="Arial"/>
          <w:sz w:val="16"/>
          <w:szCs w:val="16"/>
          <w:color w:val="auto"/>
        </w:rPr>
      </w:pPr>
    </w:p>
    <w:p>
      <w:pPr>
        <w:ind w:left="4" w:hanging="4"/>
        <w:spacing w:after="0" w:line="285" w:lineRule="auto"/>
        <w:tabs>
          <w:tab w:leader="none" w:pos="21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replacement or substitute policies issued by one or more reputable insurers providing in all respects coverage at least comparable to and in the same amount as that being 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 In the event of a Change in Control subsequent to the date of this Agreement, or the Company’s becoming insolvent, including being placed into receivership or entering the federal bankruptcy process, the Company shall maintain in force any and all insurance policies then maintained by the Company in providing insurance—directors’ and officers’ liability, fiduciary, employment practices or otherwise--in respect of the individual directors and officers of the Company, for a fixed period of six years thereafter. Such coverage shall be non-cancelable and shall be placed and serviced by the Company’s incumbent insurance broker or a broker selected by a majority of the Independent Directors.</w:t>
      </w:r>
    </w:p>
    <w:p>
      <w:pPr>
        <w:sectPr>
          <w:pgSz w:w="11900" w:h="16838" w:orient="portrait"/>
          <w:cols w:equalWidth="0" w:num="1">
            <w:col w:w="11004"/>
          </w:cols>
          <w:pgMar w:left="436" w:top="273" w:right="459" w:bottom="1440" w:gutter="0" w:footer="0" w:header="0"/>
        </w:sectPr>
      </w:pPr>
    </w:p>
    <w:bookmarkStart w:id="509" w:name="page510"/>
    <w:bookmarkEnd w:id="509"/>
    <w:p>
      <w:pPr>
        <w:ind w:firstLine="987"/>
        <w:spacing w:after="0" w:line="271" w:lineRule="auto"/>
        <w:tabs>
          <w:tab w:leader="none" w:pos="1171"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Advancement of Expenses</w:t>
      </w:r>
      <w:r>
        <w:rPr>
          <w:rFonts w:ascii="Arial" w:cs="Arial" w:eastAsia="Arial" w:hAnsi="Arial"/>
          <w:sz w:val="17"/>
          <w:szCs w:val="17"/>
          <w:color w:val="auto"/>
        </w:rPr>
        <w:t>. If requested by Indemnitee, the Company shall advance prior to the final disposition of the Proceeding all Expenses reasonably incurred by Indemnitee in connection with (including in preparation for) a Proceeding related to an Indemnifiable Event within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right to advances under this section shall in all events continue until final disposition of any Proceeding, including any appeal therein. Indemnitee hereby undertakes to repay such amounts advanced if, and only if and to the extent that, it shall ultimately be determined that Indemnitee is not entitled to be indemnified by the Company under the provisions of this Agreement, the Company’s Bylaws or the DGCL, and no additional form of undertaking with respect to such obligation to repay shall be required.</w:t>
      </w:r>
    </w:p>
    <w:p>
      <w:pPr>
        <w:spacing w:after="0" w:line="178"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Indemnitee’s undertaking to repay any Expenses advanced to Indemnitee hereunder shall be unsecured and shall not be subject to the accrual or payment of any interest thereon. In the event that Indemnitee’s request for the advancement of expenses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w:t>
      </w:r>
    </w:p>
    <w:p>
      <w:pPr>
        <w:spacing w:after="0" w:line="171" w:lineRule="exact"/>
        <w:rPr>
          <w:sz w:val="20"/>
          <w:szCs w:val="20"/>
          <w:color w:val="auto"/>
        </w:rPr>
      </w:pPr>
    </w:p>
    <w:p>
      <w:pPr>
        <w:ind w:left="1160" w:hanging="173"/>
        <w:spacing w:after="0"/>
        <w:tabs>
          <w:tab w:leader="none" w:pos="116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Notice and Other Indemnification 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948"/>
        <w:spacing w:after="0" w:line="255" w:lineRule="auto"/>
        <w:tabs>
          <w:tab w:leader="none" w:pos="1636"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Promptly after receipt by Indemnitee of notice of the commencement of or the threat of commencement of any Proceeding, unless the Company is a named co-defendant with Indemnitee, Indemnitee shall, if Indemnitee believes that indemnification or advancement of Expenses with respect thereto may be sought from the Company under this Agreement, notify the Company of the commencement or threat of commencement thereof. However, a failure so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w:t>
      </w:r>
    </w:p>
    <w:p>
      <w:pPr>
        <w:spacing w:after="0" w:line="84" w:lineRule="exact"/>
        <w:rPr>
          <w:rFonts w:ascii="Arial" w:cs="Arial" w:eastAsia="Arial" w:hAnsi="Arial"/>
          <w:sz w:val="18"/>
          <w:szCs w:val="18"/>
          <w:color w:val="auto"/>
        </w:rPr>
      </w:pPr>
    </w:p>
    <w:p>
      <w:pPr>
        <w:ind w:left="1640" w:hanging="252"/>
        <w:spacing w:after="0"/>
        <w:tabs>
          <w:tab w:leader="none" w:pos="1640" w:val="left"/>
        </w:tabs>
        <w:numPr>
          <w:ilvl w:val="1"/>
          <w:numId w:val="393"/>
        </w:numPr>
        <w:rPr>
          <w:rFonts w:ascii="Arial" w:cs="Arial" w:eastAsia="Arial" w:hAnsi="Arial"/>
          <w:sz w:val="17"/>
          <w:szCs w:val="17"/>
          <w:color w:val="auto"/>
        </w:rPr>
      </w:pPr>
      <w:r>
        <w:rPr>
          <w:rFonts w:ascii="Arial" w:cs="Arial" w:eastAsia="Arial" w:hAnsi="Arial"/>
          <w:sz w:val="17"/>
          <w:szCs w:val="17"/>
          <w:u w:val="single" w:color="auto"/>
          <w:color w:val="auto"/>
        </w:rPr>
        <w:t>Insurance and Other Matters</w:t>
      </w:r>
      <w:r>
        <w:rPr>
          <w:rFonts w:ascii="Arial" w:cs="Arial" w:eastAsia="Arial" w:hAnsi="Arial"/>
          <w:sz w:val="17"/>
          <w:szCs w:val="17"/>
          <w:color w:val="auto"/>
        </w:rPr>
        <w:t>. If, at the time of the receipt of a notice of the commencement of a Proceeding pursuant to</w:t>
      </w:r>
    </w:p>
    <w:p>
      <w:pPr>
        <w:spacing w:after="0" w:line="35" w:lineRule="exact"/>
        <w:rPr>
          <w:sz w:val="20"/>
          <w:szCs w:val="20"/>
          <w:color w:val="auto"/>
        </w:rPr>
      </w:pPr>
    </w:p>
    <w:p>
      <w:pPr>
        <w:ind w:left="440" w:right="60"/>
        <w:spacing w:after="0" w:line="253" w:lineRule="auto"/>
        <w:rPr>
          <w:sz w:val="20"/>
          <w:szCs w:val="20"/>
          <w:color w:val="auto"/>
        </w:rPr>
      </w:pPr>
      <w:r>
        <w:rPr>
          <w:rFonts w:ascii="Arial" w:cs="Arial" w:eastAsia="Arial" w:hAnsi="Arial"/>
          <w:sz w:val="18"/>
          <w:szCs w:val="18"/>
          <w:color w:val="auto"/>
        </w:rPr>
        <w:t>Section 7(a) above, the Company has director and officer liability insurance in effect, the Company shall give prompt notice of the commencement of such Proceeding to the issuers in accordance with the procedures set forth in the respective policies. The Company shall thereafter take all reasonable action to cause such insurers to pay, on behalf of Indemnitee, all amounts payable as a result of such Proceeding in accordance with the terms of such insurance policies. In addition, the Company will instruct the insurers and the Company’s insurance broker that they may communicate directly with Indemnitee regarding such claim.</w:t>
      </w:r>
    </w:p>
    <w:p>
      <w:pPr>
        <w:sectPr>
          <w:pgSz w:w="11900" w:h="16838" w:orient="portrait"/>
          <w:cols w:equalWidth="0" w:num="1">
            <w:col w:w="11000"/>
          </w:cols>
          <w:pgMar w:left="440" w:top="273" w:right="459" w:bottom="1440" w:gutter="0" w:footer="0" w:header="0"/>
        </w:sectPr>
      </w:pPr>
    </w:p>
    <w:bookmarkStart w:id="510" w:name="page511"/>
    <w:bookmarkEnd w:id="510"/>
    <w:p>
      <w:pPr>
        <w:ind w:firstLine="948"/>
        <w:spacing w:after="0" w:line="269" w:lineRule="auto"/>
        <w:tabs>
          <w:tab w:leader="none" w:pos="1196"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Assumption of Defense</w:t>
      </w:r>
      <w:r>
        <w:rPr>
          <w:rFonts w:ascii="Arial" w:cs="Arial" w:eastAsia="Arial" w:hAnsi="Arial"/>
          <w:sz w:val="17"/>
          <w:szCs w:val="17"/>
          <w:color w:val="auto"/>
        </w:rPr>
        <w:t>. In the event the Company shall be obligated to advance the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of counsel designated by the Company and the retention of such counsel by the Company, the Company will not be liable to Indemnitee under this Agreement for any fees and expenses of counsel subsequently incurred by Indemnitee with respect to the same Proceeding. If (A) the employment of counsel by Indemnitee has been previously authorized by the Company, (B) Indemnitee shall have notified the Board in writing that Indemnitee has reasonably concluded that there may be a conflict of interest between the Company and Indemnitee in the conduct of any such defense, (C) the Company fails to employ counsel to assume the defense of such Proceeding, or (D) after a Change in Control, the employment of counsel by Indemnitee has been approved by the Independent Counsel, the Expenses related to work conducted by Indemnitee’s counsel shall be subject to indemnification and/or advancement pursuant to the terms of this Agreement.</w:t>
      </w:r>
    </w:p>
    <w:p>
      <w:pPr>
        <w:spacing w:after="0" w:line="71" w:lineRule="exact"/>
        <w:rPr>
          <w:sz w:val="20"/>
          <w:szCs w:val="20"/>
          <w:color w:val="auto"/>
        </w:rPr>
      </w:pPr>
    </w:p>
    <w:p>
      <w:pPr>
        <w:ind w:right="120" w:firstLine="423"/>
        <w:spacing w:after="0" w:line="286" w:lineRule="auto"/>
        <w:rPr>
          <w:sz w:val="20"/>
          <w:szCs w:val="20"/>
          <w:color w:val="auto"/>
        </w:rPr>
      </w:pPr>
      <w:r>
        <w:rPr>
          <w:rFonts w:ascii="Arial" w:cs="Arial" w:eastAsia="Arial" w:hAnsi="Arial"/>
          <w:sz w:val="17"/>
          <w:szCs w:val="17"/>
          <w:color w:val="auto"/>
        </w:rPr>
        <w:t>Nothing herein shall prevent Indemnitee from employing counsel for any such Proceeding at Indemnitee’s expense. Indemnitee agrees that any such separate counsel retained by Indemnitee will be a member of any approved list of panel counsel under the Company’s applicable directors’ and officers’ insurance policy, should the applicable policy provide for a panel of approved counsel.</w:t>
      </w:r>
    </w:p>
    <w:p>
      <w:pPr>
        <w:spacing w:after="0" w:line="57" w:lineRule="exact"/>
        <w:rPr>
          <w:sz w:val="20"/>
          <w:szCs w:val="20"/>
          <w:color w:val="auto"/>
        </w:rPr>
      </w:pPr>
    </w:p>
    <w:p>
      <w:pPr>
        <w:ind w:firstLine="948"/>
        <w:spacing w:after="0" w:line="286" w:lineRule="auto"/>
        <w:tabs>
          <w:tab w:leader="none" w:pos="1206" w:val="left"/>
        </w:tabs>
        <w:numPr>
          <w:ilvl w:val="0"/>
          <w:numId w:val="395"/>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subsequent to the date of this Agreement, the Company shall be liable for indemnification of Indemnitee for amounts paid in settlement if the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consent from any settlement of any Proceeding. The Company shall promptly notify Indemnitee upon the Company’s receipt of an offer to settle, or if the Company makes an offer to settle, any Proceeding, and provide Indemnitee with a reasonable amount of time to consider such settlement, in the case of any such settlement for which the consent of Indemnitee would be required hereunder. The Company shall not, on its own behalf, settle any part of any Proceeding to which Indemnitee is a party with respect to other parties (including the Company) without the written consent of Indemnitee if any portion of the settlement is to be funded from insurance proceeds unless approved by a majority of the Independent Directors, provided that this sentence shall cease to be of any force and effect if it has been determined in accordance with this Agreement that Indemnitee is not entitled to indemnification hereunder with respect to such Proceeding or if the Company’s obligations hereunder to Indemnitee with respect to such Proceeding have been fully discharged.</w:t>
      </w:r>
    </w:p>
    <w:p>
      <w:pPr>
        <w:sectPr>
          <w:pgSz w:w="11900" w:h="16838" w:orient="portrait"/>
          <w:cols w:equalWidth="0" w:num="1">
            <w:col w:w="10540"/>
          </w:cols>
          <w:pgMar w:left="880" w:top="273" w:right="479" w:bottom="1440" w:gutter="0" w:footer="0" w:header="0"/>
        </w:sectPr>
      </w:pPr>
    </w:p>
    <w:bookmarkStart w:id="511" w:name="page512"/>
    <w:bookmarkEnd w:id="511"/>
    <w:p>
      <w:pPr>
        <w:ind w:left="1160" w:hanging="173"/>
        <w:spacing w:after="0"/>
        <w:tabs>
          <w:tab w:leader="none" w:pos="1160"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Determination of Right to 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240" w:firstLine="948"/>
        <w:spacing w:after="0" w:line="263" w:lineRule="auto"/>
        <w:tabs>
          <w:tab w:leader="none" w:pos="1636"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Success on the Merits or Otherwise</w:t>
      </w:r>
      <w:r>
        <w:rPr>
          <w:rFonts w:ascii="Arial" w:cs="Arial" w:eastAsia="Arial" w:hAnsi="Arial"/>
          <w:sz w:val="18"/>
          <w:szCs w:val="18"/>
          <w:color w:val="auto"/>
        </w:rPr>
        <w:t>. To the extent that Indemnitee has been successful on the merits or otherwise in defense of any Proceeding referred to in Section 3(a) above or in the defense of any claim, issue or matter described therein, the Company shall indemnify Indemnitee against Expenses actually and reasonably incurred in connection therewith.</w:t>
      </w:r>
    </w:p>
    <w:p>
      <w:pPr>
        <w:spacing w:after="0" w:line="75" w:lineRule="exact"/>
        <w:rPr>
          <w:rFonts w:ascii="Arial" w:cs="Arial" w:eastAsia="Arial" w:hAnsi="Arial"/>
          <w:sz w:val="18"/>
          <w:szCs w:val="18"/>
          <w:color w:val="auto"/>
        </w:rPr>
      </w:pPr>
    </w:p>
    <w:p>
      <w:pPr>
        <w:ind w:left="440" w:right="120" w:firstLine="948"/>
        <w:spacing w:after="0" w:line="277" w:lineRule="auto"/>
        <w:tabs>
          <w:tab w:leader="none" w:pos="1646"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Indemnification in Other Situations</w:t>
      </w:r>
      <w:r>
        <w:rPr>
          <w:rFonts w:ascii="Arial" w:cs="Arial" w:eastAsia="Arial" w:hAnsi="Arial"/>
          <w:sz w:val="18"/>
          <w:szCs w:val="18"/>
          <w:color w:val="auto"/>
        </w:rPr>
        <w:t>. In the event that Section 8(a) is inapplicable, the Company shall also indemnify Indemnitee if Indemnitee has not failed to meet the applicable standard of conduct for indemnification.</w:t>
      </w:r>
    </w:p>
    <w:p>
      <w:pPr>
        <w:spacing w:after="0" w:line="62" w:lineRule="exact"/>
        <w:rPr>
          <w:rFonts w:ascii="Arial" w:cs="Arial" w:eastAsia="Arial" w:hAnsi="Arial"/>
          <w:sz w:val="18"/>
          <w:szCs w:val="18"/>
          <w:color w:val="auto"/>
        </w:rPr>
      </w:pPr>
    </w:p>
    <w:p>
      <w:pPr>
        <w:ind w:left="440" w:right="700" w:firstLine="948"/>
        <w:spacing w:after="0" w:line="277" w:lineRule="auto"/>
        <w:tabs>
          <w:tab w:leader="none" w:pos="1636" w:val="left"/>
        </w:tabs>
        <w:numPr>
          <w:ilvl w:val="1"/>
          <w:numId w:val="396"/>
        </w:numPr>
        <w:rPr>
          <w:rFonts w:ascii="Arial" w:cs="Arial" w:eastAsia="Arial" w:hAnsi="Arial"/>
          <w:sz w:val="18"/>
          <w:szCs w:val="18"/>
          <w:color w:val="auto"/>
        </w:rPr>
      </w:pPr>
      <w:r>
        <w:rPr>
          <w:rFonts w:ascii="Arial" w:cs="Arial" w:eastAsia="Arial" w:hAnsi="Arial"/>
          <w:sz w:val="18"/>
          <w:szCs w:val="18"/>
          <w:u w:val="single" w:color="auto"/>
          <w:color w:val="auto"/>
        </w:rPr>
        <w:t>Forum</w:t>
      </w:r>
      <w:r>
        <w:rPr>
          <w:rFonts w:ascii="Arial" w:cs="Arial" w:eastAsia="Arial" w:hAnsi="Arial"/>
          <w:sz w:val="18"/>
          <w:szCs w:val="18"/>
          <w:color w:val="auto"/>
        </w:rPr>
        <w:t>. Indemnitee shall be entitled to select the forum in which determination of whether or not Indemnitee has met the applicable standard of conduct shall be decided, and such election will be made from among the following:</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2"/>
          <w:numId w:val="396"/>
        </w:numPr>
        <w:rPr>
          <w:rFonts w:ascii="Arial" w:cs="Arial" w:eastAsia="Arial" w:hAnsi="Arial"/>
          <w:sz w:val="18"/>
          <w:szCs w:val="18"/>
          <w:color w:val="auto"/>
        </w:rPr>
      </w:pPr>
      <w:r>
        <w:rPr>
          <w:rFonts w:ascii="Arial" w:cs="Arial" w:eastAsia="Arial" w:hAnsi="Arial"/>
          <w:sz w:val="18"/>
          <w:szCs w:val="18"/>
          <w:color w:val="auto"/>
        </w:rPr>
        <w:t>Those members of the Board who are Independent Directors even though less than a quorum;</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2"/>
          <w:numId w:val="396"/>
        </w:numPr>
        <w:rPr>
          <w:rFonts w:ascii="Arial" w:cs="Arial" w:eastAsia="Arial" w:hAnsi="Arial"/>
          <w:sz w:val="16"/>
          <w:szCs w:val="16"/>
          <w:color w:val="auto"/>
        </w:rPr>
      </w:pPr>
      <w:r>
        <w:rPr>
          <w:rFonts w:ascii="Arial" w:cs="Arial" w:eastAsia="Arial" w:hAnsi="Arial"/>
          <w:sz w:val="16"/>
          <w:szCs w:val="16"/>
          <w:color w:val="auto"/>
        </w:rPr>
        <w:t>A committee of Independent Directors designated by a majority vote of Independent Directors, even though less than a quorum;</w:t>
      </w:r>
    </w:p>
    <w:p>
      <w:pPr>
        <w:spacing w:after="0" w:line="46"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1420" w:right="320" w:firstLine="8"/>
        <w:spacing w:after="0" w:line="277" w:lineRule="auto"/>
        <w:tabs>
          <w:tab w:leader="none" w:pos="1675" w:val="left"/>
        </w:tabs>
        <w:numPr>
          <w:ilvl w:val="2"/>
          <w:numId w:val="396"/>
        </w:numPr>
        <w:rPr>
          <w:rFonts w:ascii="Arial" w:cs="Arial" w:eastAsia="Arial" w:hAnsi="Arial"/>
          <w:sz w:val="18"/>
          <w:szCs w:val="18"/>
          <w:color w:val="auto"/>
        </w:rPr>
      </w:pPr>
      <w:r>
        <w:rPr>
          <w:rFonts w:ascii="Arial" w:cs="Arial" w:eastAsia="Arial" w:hAnsi="Arial"/>
          <w:sz w:val="18"/>
          <w:szCs w:val="18"/>
          <w:color w:val="auto"/>
        </w:rPr>
        <w:t>Independent Counsel selected by Indemnitee and approved by the Board, which approval may not be unreasonably withheld, which counsel shall make such determination in a written opinion.</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If Indemnitee is an officer or a director of the Company at the time that Indemnitee is selecting the forum, then Indemnitee shall not select Independent Counsel as such forum unless there are no Independent Directors or unless the Independent Directors agree to the selection of Independent Counsel as the forum.</w:t>
      </w:r>
    </w:p>
    <w:p>
      <w:pPr>
        <w:spacing w:after="0" w:line="184"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The selected forum shall be referred to herein as the “</w:t>
      </w:r>
      <w:r>
        <w:rPr>
          <w:rFonts w:ascii="Arial" w:cs="Arial" w:eastAsia="Arial" w:hAnsi="Arial"/>
          <w:sz w:val="16"/>
          <w:szCs w:val="16"/>
          <w:b w:val="1"/>
          <w:bCs w:val="1"/>
          <w:i w:val="1"/>
          <w:iCs w:val="1"/>
          <w:color w:val="auto"/>
        </w:rPr>
        <w:t>Reviewing Party</w:t>
      </w:r>
      <w:r>
        <w:rPr>
          <w:rFonts w:ascii="Arial" w:cs="Arial" w:eastAsia="Arial" w:hAnsi="Arial"/>
          <w:sz w:val="16"/>
          <w:szCs w:val="16"/>
          <w:color w:val="auto"/>
        </w:rPr>
        <w:t>”. Notwithstanding the foregoing, following any Change in Control subsequent to the date of this Agreement, the Reviewing Party shall be Independent Counsel selected in the manner provided in c. above.</w:t>
      </w:r>
    </w:p>
    <w:p>
      <w:pPr>
        <w:spacing w:after="0" w:line="124" w:lineRule="exact"/>
        <w:rPr>
          <w:sz w:val="20"/>
          <w:szCs w:val="20"/>
          <w:color w:val="auto"/>
        </w:rPr>
      </w:pPr>
    </w:p>
    <w:p>
      <w:pPr>
        <w:ind w:left="440" w:firstLine="948"/>
        <w:spacing w:after="0" w:line="286" w:lineRule="auto"/>
        <w:tabs>
          <w:tab w:leader="none" w:pos="1646" w:val="left"/>
        </w:tabs>
        <w:numPr>
          <w:ilvl w:val="1"/>
          <w:numId w:val="397"/>
        </w:numPr>
        <w:rPr>
          <w:rFonts w:ascii="Arial" w:cs="Arial" w:eastAsia="Arial" w:hAnsi="Arial"/>
          <w:sz w:val="16"/>
          <w:szCs w:val="16"/>
          <w:color w:val="auto"/>
        </w:rPr>
      </w:pPr>
      <w:r>
        <w:rPr>
          <w:rFonts w:ascii="Arial" w:cs="Arial" w:eastAsia="Arial" w:hAnsi="Arial"/>
          <w:sz w:val="16"/>
          <w:szCs w:val="16"/>
          <w:u w:val="single" w:color="auto"/>
          <w:color w:val="auto"/>
        </w:rPr>
        <w:t>Decision Timing and Expenses</w:t>
      </w:r>
      <w:r>
        <w:rPr>
          <w:rFonts w:ascii="Arial" w:cs="Arial" w:eastAsia="Arial" w:hAnsi="Arial"/>
          <w:sz w:val="16"/>
          <w:szCs w:val="16"/>
          <w:color w:val="auto"/>
        </w:rPr>
        <w:t>. As soon as practicable, and in no event later than thirty (30) days after receipt by the Company of written notice of Indemnitee’s choice of forum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w:t>
      </w:r>
    </w:p>
    <w:p>
      <w:pPr>
        <w:spacing w:after="0" w:line="1" w:lineRule="exact"/>
        <w:rPr>
          <w:rFonts w:ascii="Arial" w:cs="Arial" w:eastAsia="Arial" w:hAnsi="Arial"/>
          <w:sz w:val="16"/>
          <w:szCs w:val="16"/>
          <w:color w:val="auto"/>
        </w:rPr>
      </w:pPr>
    </w:p>
    <w:p>
      <w:pPr>
        <w:ind w:left="440" w:right="120" w:hanging="4"/>
        <w:spacing w:after="0" w:line="255" w:lineRule="auto"/>
        <w:tabs>
          <w:tab w:leader="none" w:pos="78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ectPr>
          <w:pgSz w:w="11900" w:h="16838" w:orient="portrait"/>
          <w:cols w:equalWidth="0" w:num="1">
            <w:col w:w="11000"/>
          </w:cols>
          <w:pgMar w:left="440" w:top="273" w:right="459" w:bottom="1440" w:gutter="0" w:footer="0" w:header="0"/>
        </w:sectPr>
      </w:pPr>
    </w:p>
    <w:bookmarkStart w:id="512" w:name="page513"/>
    <w:bookmarkEnd w:id="512"/>
    <w:p>
      <w:pPr>
        <w:ind w:left="-560" w:right="320" w:firstLine="948"/>
        <w:spacing w:after="0" w:line="263" w:lineRule="auto"/>
        <w:tabs>
          <w:tab w:leader="none" w:pos="636"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Delaware Court of Chancery</w:t>
      </w:r>
      <w:r>
        <w:rPr>
          <w:rFonts w:ascii="Arial" w:cs="Arial" w:eastAsia="Arial" w:hAnsi="Arial"/>
          <w:sz w:val="18"/>
          <w:szCs w:val="18"/>
          <w:color w:val="auto"/>
        </w:rPr>
        <w:t>. Notwithstanding a final determination by any Reviewing Party that Indemnitee is not entitled to indemnification with respect to a specific Proceeding, Indemnitee shall have the right to apply to the Court of Chancery, for the purpose of enforcing Indemnitee’s right to indemnification pursuant to this Agreement.</w:t>
      </w:r>
    </w:p>
    <w:p>
      <w:pPr>
        <w:spacing w:after="0" w:line="75" w:lineRule="exact"/>
        <w:rPr>
          <w:rFonts w:ascii="Arial" w:cs="Arial" w:eastAsia="Arial" w:hAnsi="Arial"/>
          <w:sz w:val="18"/>
          <w:szCs w:val="18"/>
          <w:color w:val="auto"/>
        </w:rPr>
      </w:pPr>
    </w:p>
    <w:p>
      <w:pPr>
        <w:ind w:left="-560" w:right="60" w:firstLine="948"/>
        <w:spacing w:after="0" w:line="257" w:lineRule="auto"/>
        <w:tabs>
          <w:tab w:leader="none" w:pos="616"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indemnify Indemnitee against all Expenses incurred by Indemnitee in connection with any hearing or Proceeding under this Section 8 involving Indemnitee and against all Expenses and Other Liabilities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79" w:lineRule="exact"/>
        <w:rPr>
          <w:rFonts w:ascii="Arial" w:cs="Arial" w:eastAsia="Arial" w:hAnsi="Arial"/>
          <w:sz w:val="18"/>
          <w:szCs w:val="18"/>
          <w:color w:val="auto"/>
        </w:rPr>
      </w:pPr>
    </w:p>
    <w:p>
      <w:pPr>
        <w:ind w:left="-560" w:firstLine="948"/>
        <w:spacing w:after="0" w:line="286" w:lineRule="auto"/>
        <w:tabs>
          <w:tab w:leader="none" w:pos="646"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Determination of “Good Faith”</w:t>
      </w:r>
      <w:r>
        <w:rPr>
          <w:rFonts w:ascii="Arial" w:cs="Arial" w:eastAsia="Arial" w:hAnsi="Arial"/>
          <w:sz w:val="16"/>
          <w:szCs w:val="16"/>
          <w:color w:val="auto"/>
        </w:rPr>
        <w:t>. For purposes of any determination of whether Indemnitee acted in “</w:t>
      </w:r>
      <w:r>
        <w:rPr>
          <w:rFonts w:ascii="Arial" w:cs="Arial" w:eastAsia="Arial" w:hAnsi="Arial"/>
          <w:sz w:val="16"/>
          <w:szCs w:val="16"/>
          <w:b w:val="1"/>
          <w:bCs w:val="1"/>
          <w:i w:val="1"/>
          <w:iCs w:val="1"/>
          <w:color w:val="auto"/>
        </w:rPr>
        <w:t>good faith</w:t>
      </w:r>
      <w:r>
        <w:rPr>
          <w:rFonts w:ascii="Arial" w:cs="Arial" w:eastAsia="Arial" w:hAnsi="Arial"/>
          <w:sz w:val="16"/>
          <w:szCs w:val="16"/>
          <w:color w:val="auto"/>
        </w:rPr>
        <w:t>”, Indemnitee shall be deemed to have acted in good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been selected with reasonable care by or on behalf of the Company or a Subsidiary or Affiliate. In connection with any determination as to whether Indemnitee is entitled to be indemnified hereunder, or to advancement of expenses, the Reviewing Party or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as an Indemnifiable Person shall not be imputed to Indemnitee for purposes of determining the right to indemnification hereunder.</w:t>
      </w:r>
    </w:p>
    <w:p>
      <w:pPr>
        <w:sectPr>
          <w:pgSz w:w="11900" w:h="16838" w:orient="portrait"/>
          <w:cols w:equalWidth="0" w:num="1">
            <w:col w:w="10020"/>
          </w:cols>
          <w:pgMar w:left="1440" w:top="273" w:right="439" w:bottom="1440" w:gutter="0" w:footer="0" w:header="0"/>
        </w:sectPr>
      </w:pPr>
    </w:p>
    <w:bookmarkStart w:id="513" w:name="page514"/>
    <w:bookmarkEnd w:id="513"/>
    <w:p>
      <w:pPr>
        <w:ind w:left="724" w:hanging="173"/>
        <w:spacing w:after="0"/>
        <w:tabs>
          <w:tab w:leader="none" w:pos="724" w:val="left"/>
        </w:tabs>
        <w:numPr>
          <w:ilvl w:val="1"/>
          <w:numId w:val="4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Exceptions</w:t>
      </w:r>
      <w:r>
        <w:rPr>
          <w:rFonts w:ascii="Arial" w:cs="Arial" w:eastAsia="Arial" w:hAnsi="Arial"/>
          <w:sz w:val="18"/>
          <w:szCs w:val="18"/>
          <w:color w:val="auto"/>
        </w:rPr>
        <w:t>. Any other provision herein to the contrary notwithstanding,</w:t>
      </w:r>
    </w:p>
    <w:p>
      <w:pPr>
        <w:spacing w:after="0" w:line="117" w:lineRule="exact"/>
        <w:rPr>
          <w:rFonts w:ascii="Arial" w:cs="Arial" w:eastAsia="Arial" w:hAnsi="Arial"/>
          <w:sz w:val="18"/>
          <w:szCs w:val="18"/>
          <w:color w:val="auto"/>
        </w:rPr>
      </w:pPr>
    </w:p>
    <w:p>
      <w:pPr>
        <w:ind w:left="4" w:right="20" w:firstLine="948"/>
        <w:spacing w:after="0" w:line="273" w:lineRule="auto"/>
        <w:tabs>
          <w:tab w:leader="none" w:pos="1200" w:val="left"/>
        </w:tabs>
        <w:numPr>
          <w:ilvl w:val="2"/>
          <w:numId w:val="400"/>
        </w:numPr>
        <w:rPr>
          <w:rFonts w:ascii="Arial" w:cs="Arial" w:eastAsia="Arial" w:hAnsi="Arial"/>
          <w:sz w:val="17"/>
          <w:szCs w:val="17"/>
          <w:color w:val="auto"/>
        </w:rPr>
      </w:pPr>
      <w:r>
        <w:rPr>
          <w:rFonts w:ascii="Arial" w:cs="Arial" w:eastAsia="Arial" w:hAnsi="Arial"/>
          <w:sz w:val="17"/>
          <w:szCs w:val="17"/>
          <w:u w:val="single" w:color="auto"/>
          <w:color w:val="auto"/>
        </w:rPr>
        <w:t>Claims Initiated by Indemnitee</w:t>
      </w:r>
      <w:r>
        <w:rPr>
          <w:rFonts w:ascii="Arial" w:cs="Arial" w:eastAsia="Arial" w:hAnsi="Arial"/>
          <w:sz w:val="17"/>
          <w:szCs w:val="17"/>
          <w:color w:val="auto"/>
        </w:rPr>
        <w:t>. The Company shall not be obligated pursuant to the terms of this Agreement to indemnify or advance Expenses to Indemnitee with respect to Proceedings or claims initiated or brought voluntarily by Indemnitee and not by way of defense, except (1) with respect to Proceedings brought to establish or enforce a right to indemnification under this Agreement, any other statute or law, as permitted under Section 145, or otherwise, (2) where the Board has consented to the initiation of such Proceeding, or (3) with respect to Proceedings brought to discharge Indemnitee’s fiduciary responsibilities, whether under ERISA or otherwise, but such indemnification or advancement of Expenses may be provided by the Company in specific cases if the Board finds it to be appropriate; or</w:t>
      </w:r>
    </w:p>
    <w:p>
      <w:pPr>
        <w:spacing w:after="0" w:line="69" w:lineRule="exact"/>
        <w:rPr>
          <w:rFonts w:ascii="Arial" w:cs="Arial" w:eastAsia="Arial" w:hAnsi="Arial"/>
          <w:sz w:val="17"/>
          <w:szCs w:val="17"/>
          <w:color w:val="auto"/>
        </w:rPr>
      </w:pPr>
    </w:p>
    <w:p>
      <w:pPr>
        <w:ind w:left="4" w:right="80" w:firstLine="948"/>
        <w:spacing w:after="0" w:line="286" w:lineRule="auto"/>
        <w:tabs>
          <w:tab w:leader="none" w:pos="1210" w:val="left"/>
        </w:tabs>
        <w:numPr>
          <w:ilvl w:val="2"/>
          <w:numId w:val="400"/>
        </w:numPr>
        <w:rPr>
          <w:rFonts w:ascii="Arial" w:cs="Arial" w:eastAsia="Arial" w:hAnsi="Arial"/>
          <w:sz w:val="16"/>
          <w:szCs w:val="16"/>
          <w:color w:val="auto"/>
        </w:rPr>
      </w:pPr>
      <w:r>
        <w:rPr>
          <w:rFonts w:ascii="Arial" w:cs="Arial" w:eastAsia="Arial" w:hAnsi="Arial"/>
          <w:sz w:val="16"/>
          <w:szCs w:val="16"/>
          <w:u w:val="single" w:color="auto"/>
          <w:color w:val="auto"/>
        </w:rPr>
        <w:t>Actions Based on Federal Statutes Regarding Profit Recovery and Return of Bonus Payments</w:t>
      </w:r>
      <w:r>
        <w:rPr>
          <w:rFonts w:ascii="Arial" w:cs="Arial" w:eastAsia="Arial" w:hAnsi="Arial"/>
          <w:sz w:val="16"/>
          <w:szCs w:val="16"/>
          <w:color w:val="auto"/>
        </w:rPr>
        <w:t>. The Company shall not be obligated pursuant to the terms of this Agreement to indemnify Indemnitee on account of (i) any suit in which judgment is rendered against Indemnitee for an accounting of profits made from the purchase or sale by Indemnitee of securities of the Company pursuant to the provisions of Section 16(b) of the Securities Exchange Act of l934 and amendments thereto or similar provisions of any federal, state or local statutory law, or</w:t>
      </w:r>
    </w:p>
    <w:p>
      <w:pPr>
        <w:spacing w:after="0" w:line="1" w:lineRule="exact"/>
        <w:rPr>
          <w:rFonts w:ascii="Arial" w:cs="Arial" w:eastAsia="Arial" w:hAnsi="Arial"/>
          <w:sz w:val="16"/>
          <w:szCs w:val="16"/>
          <w:color w:val="auto"/>
        </w:rPr>
      </w:pPr>
    </w:p>
    <w:p>
      <w:pPr>
        <w:ind w:left="4" w:right="140" w:hanging="4"/>
        <w:spacing w:after="0" w:line="253" w:lineRule="auto"/>
        <w:tabs>
          <w:tab w:leader="none" w:pos="26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or the payment to the Company of profits arising from the purchase and sale by Indemnitee of securities in violation of Section 306 of the Sarbanes-Oxley Act); or</w:t>
      </w:r>
    </w:p>
    <w:p>
      <w:pPr>
        <w:spacing w:after="0" w:line="82" w:lineRule="exact"/>
        <w:rPr>
          <w:rFonts w:ascii="Arial" w:cs="Arial" w:eastAsia="Arial" w:hAnsi="Arial"/>
          <w:sz w:val="18"/>
          <w:szCs w:val="18"/>
          <w:color w:val="auto"/>
        </w:rPr>
      </w:pPr>
    </w:p>
    <w:p>
      <w:pPr>
        <w:ind w:left="4" w:firstLine="948"/>
        <w:spacing w:after="0" w:line="263" w:lineRule="auto"/>
        <w:tabs>
          <w:tab w:leader="none" w:pos="1200" w:val="left"/>
        </w:tabs>
        <w:numPr>
          <w:ilvl w:val="2"/>
          <w:numId w:val="401"/>
        </w:numPr>
        <w:rPr>
          <w:rFonts w:ascii="Arial" w:cs="Arial" w:eastAsia="Arial" w:hAnsi="Arial"/>
          <w:sz w:val="18"/>
          <w:szCs w:val="18"/>
          <w:color w:val="auto"/>
        </w:rPr>
      </w:pPr>
      <w:r>
        <w:rPr>
          <w:rFonts w:ascii="Arial" w:cs="Arial" w:eastAsia="Arial" w:hAnsi="Arial"/>
          <w:sz w:val="18"/>
          <w:szCs w:val="18"/>
          <w:u w:val="single" w:color="auto"/>
          <w:color w:val="auto"/>
        </w:rPr>
        <w:t>Unlawful Indemnification</w:t>
      </w:r>
      <w:r>
        <w:rPr>
          <w:rFonts w:ascii="Arial" w:cs="Arial" w:eastAsia="Arial" w:hAnsi="Arial"/>
          <w:sz w:val="18"/>
          <w:szCs w:val="18"/>
          <w:color w:val="auto"/>
        </w:rPr>
        <w:t>. The Company shall not be obligated pursuant to the terms of this Agreement to indemnify Indemnitee for Other Liabilities if such indemnification is prohibited by law as determined by a court of competent jurisdiction in a final adjudication not subject to further appeal.</w:t>
      </w:r>
    </w:p>
    <w:p>
      <w:pPr>
        <w:spacing w:after="0" w:line="183" w:lineRule="exact"/>
        <w:rPr>
          <w:rFonts w:ascii="Arial" w:cs="Arial" w:eastAsia="Arial" w:hAnsi="Arial"/>
          <w:sz w:val="18"/>
          <w:szCs w:val="18"/>
          <w:color w:val="auto"/>
        </w:rPr>
      </w:pPr>
    </w:p>
    <w:p>
      <w:pPr>
        <w:ind w:left="-436" w:firstLine="987"/>
        <w:spacing w:after="0" w:line="255" w:lineRule="auto"/>
        <w:tabs>
          <w:tab w:leader="none" w:pos="825"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 and Indemnitee’s rights hereunder shall continue after Indemnitee has ceased serving the Company or a Subsidiary or Affiliate as an Indemnifiable Person and shall inure to the benefit of the heirs, executors and administrators of Indemnitee.</w:t>
      </w:r>
    </w:p>
    <w:p>
      <w:pPr>
        <w:spacing w:after="0" w:line="192" w:lineRule="exact"/>
        <w:rPr>
          <w:rFonts w:ascii="Arial" w:cs="Arial" w:eastAsia="Arial" w:hAnsi="Arial"/>
          <w:sz w:val="18"/>
          <w:szCs w:val="18"/>
          <w:color w:val="auto"/>
        </w:rPr>
      </w:pPr>
    </w:p>
    <w:p>
      <w:pPr>
        <w:ind w:left="-436" w:right="120" w:firstLine="987"/>
        <w:spacing w:after="0" w:line="254" w:lineRule="auto"/>
        <w:tabs>
          <w:tab w:leader="none" w:pos="818"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to be invalid, illegal or unenforceable for any reason whatsoever, (i)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ectPr>
          <w:pgSz w:w="11900" w:h="16838" w:orient="portrait"/>
          <w:cols w:equalWidth="0" w:num="1">
            <w:col w:w="10504"/>
          </w:cols>
          <w:pgMar w:left="876" w:top="273" w:right="519" w:bottom="1440" w:gutter="0" w:footer="0" w:header="0"/>
        </w:sectPr>
      </w:pPr>
    </w:p>
    <w:bookmarkStart w:id="514" w:name="page515"/>
    <w:bookmarkEnd w:id="514"/>
    <w:p>
      <w:pPr>
        <w:ind w:left="-987" w:right="80" w:firstLine="987"/>
        <w:spacing w:after="0" w:line="293" w:lineRule="auto"/>
        <w:tabs>
          <w:tab w:leader="none" w:pos="274"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Supersession, Modification and Waiver</w:t>
      </w:r>
      <w:r>
        <w:rPr>
          <w:rFonts w:ascii="Arial" w:cs="Arial" w:eastAsia="Arial" w:hAnsi="Arial"/>
          <w:sz w:val="16"/>
          <w:szCs w:val="16"/>
          <w:color w:val="auto"/>
        </w:rPr>
        <w:t>. This Agreement supersedes any prior indemnification agreement between the Indemnitee and the Company, its Subsidiaries or its Affiliates. If the Company and Indemnitee have previously entered into an indemnification agreement providing for the indemnification of Indemnitee by the Company, parties’ entry into this Agreement shall be deemed to amend and restate such prior agreement to read in its entirety as, and be superseded by, this Agreement.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164" w:lineRule="exact"/>
        <w:rPr>
          <w:rFonts w:ascii="Arial" w:cs="Arial" w:eastAsia="Arial" w:hAnsi="Arial"/>
          <w:sz w:val="16"/>
          <w:szCs w:val="16"/>
          <w:color w:val="auto"/>
        </w:rPr>
      </w:pPr>
    </w:p>
    <w:p>
      <w:pPr>
        <w:ind w:left="-987" w:firstLine="987"/>
        <w:spacing w:after="0" w:line="273" w:lineRule="auto"/>
        <w:tabs>
          <w:tab w:leader="none" w:pos="274"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terms of this Agreement shall bind, and shall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In addition,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and indemnify Indemnitee to the </w:t>
      </w:r>
      <w:r>
        <w:rPr>
          <w:rFonts w:ascii="Arial" w:cs="Arial" w:eastAsia="Arial" w:hAnsi="Arial"/>
          <w:sz w:val="17"/>
          <w:szCs w:val="17"/>
          <w:u w:val="single" w:color="auto"/>
          <w:color w:val="auto"/>
        </w:rPr>
        <w:t>fullest extent permitted by law.</w:t>
      </w:r>
    </w:p>
    <w:p>
      <w:pPr>
        <w:spacing w:after="0" w:line="177" w:lineRule="exact"/>
        <w:rPr>
          <w:rFonts w:ascii="Arial" w:cs="Arial" w:eastAsia="Arial" w:hAnsi="Arial"/>
          <w:sz w:val="17"/>
          <w:szCs w:val="17"/>
          <w:color w:val="auto"/>
        </w:rPr>
      </w:pPr>
    </w:p>
    <w:p>
      <w:pPr>
        <w:ind w:left="-987" w:right="100" w:firstLine="987"/>
        <w:spacing w:after="0" w:line="272" w:lineRule="auto"/>
        <w:tabs>
          <w:tab w:leader="none" w:pos="274"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All notices, requests, demands and other communications under this Agreement shall be in writing and shall be deemed duly given (i) 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personal service by a process server, or (iv) delivery to the recipient’s address by overnight delivery (e.g., FedEx, UPS or DHL) or other commercial delivery service. Addresses for notice to either party are as shown on the signature page of this Agreement, or as subsequently modified by written notice complying with the provisions of this Section 14. Delivery of communications to the Company with respect to this Agreement shall be sent to the attention of the Company’s Vice President of Finance.</w:t>
      </w:r>
    </w:p>
    <w:p>
      <w:pPr>
        <w:spacing w:after="0" w:line="177" w:lineRule="exact"/>
        <w:rPr>
          <w:rFonts w:ascii="Arial" w:cs="Arial" w:eastAsia="Arial" w:hAnsi="Arial"/>
          <w:sz w:val="17"/>
          <w:szCs w:val="17"/>
          <w:color w:val="auto"/>
        </w:rPr>
      </w:pPr>
    </w:p>
    <w:p>
      <w:pPr>
        <w:ind w:left="-987" w:right="60" w:firstLine="987"/>
        <w:spacing w:after="0" w:line="270" w:lineRule="auto"/>
        <w:tabs>
          <w:tab w:leader="none" w:pos="274"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No Presumptions</w:t>
      </w:r>
      <w:r>
        <w:rPr>
          <w:rFonts w:ascii="Arial" w:cs="Arial" w:eastAsia="Arial" w:hAnsi="Arial"/>
          <w:sz w:val="17"/>
          <w:szCs w:val="17"/>
          <w:color w:val="auto"/>
        </w:rPr>
        <w:t>. For purposes of this Agreement, the termination of any Proceeding, by judgment, order, settlement (whether with or without court approval) or conviction, or upon a plea of nolo contendere or its 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 did not have any particular belief or is not entitled to indemnification under applicable law or otherwise.</w:t>
      </w:r>
    </w:p>
    <w:p>
      <w:pPr>
        <w:sectPr>
          <w:pgSz w:w="11900" w:h="16838" w:orient="portrait"/>
          <w:cols w:equalWidth="0" w:num="1">
            <w:col w:w="10013"/>
          </w:cols>
          <w:pgMar w:left="1427" w:top="273" w:right="459" w:bottom="1440" w:gutter="0" w:footer="0" w:header="0"/>
        </w:sectPr>
      </w:pPr>
    </w:p>
    <w:bookmarkStart w:id="515" w:name="page516"/>
    <w:bookmarkEnd w:id="515"/>
    <w:p>
      <w:pPr>
        <w:ind w:left="-987" w:right="380" w:firstLine="987"/>
        <w:spacing w:after="0" w:line="263" w:lineRule="auto"/>
        <w:tabs>
          <w:tab w:leader="none" w:pos="274"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Survival of Rights</w:t>
      </w:r>
      <w:r>
        <w:rPr>
          <w:rFonts w:ascii="Arial" w:cs="Arial" w:eastAsia="Arial" w:hAnsi="Arial"/>
          <w:sz w:val="18"/>
          <w:szCs w:val="18"/>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183" w:lineRule="exact"/>
        <w:rPr>
          <w:rFonts w:ascii="Arial" w:cs="Arial" w:eastAsia="Arial" w:hAnsi="Arial"/>
          <w:sz w:val="18"/>
          <w:szCs w:val="18"/>
          <w:color w:val="auto"/>
        </w:rPr>
      </w:pPr>
    </w:p>
    <w:p>
      <w:pPr>
        <w:ind w:left="273" w:hanging="273"/>
        <w:spacing w:after="0"/>
        <w:tabs>
          <w:tab w:leader="none" w:pos="273"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Subrogation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7" w:firstLine="948"/>
        <w:spacing w:after="0" w:line="263" w:lineRule="auto"/>
        <w:tabs>
          <w:tab w:leader="none" w:pos="649" w:val="left"/>
        </w:tabs>
        <w:numPr>
          <w:ilvl w:val="1"/>
          <w:numId w:val="403"/>
        </w:numPr>
        <w:rPr>
          <w:rFonts w:ascii="Arial" w:cs="Arial" w:eastAsia="Arial" w:hAnsi="Arial"/>
          <w:sz w:val="18"/>
          <w:szCs w:val="18"/>
          <w:color w:val="auto"/>
        </w:rPr>
      </w:pPr>
      <w:r>
        <w:rPr>
          <w:rFonts w:ascii="Arial" w:cs="Arial" w:eastAsia="Arial" w:hAnsi="Arial"/>
          <w:sz w:val="18"/>
          <w:szCs w:val="18"/>
          <w:color w:val="auto"/>
        </w:rPr>
        <w:t>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75" w:lineRule="exact"/>
        <w:rPr>
          <w:rFonts w:ascii="Arial" w:cs="Arial" w:eastAsia="Arial" w:hAnsi="Arial"/>
          <w:sz w:val="18"/>
          <w:szCs w:val="18"/>
          <w:color w:val="auto"/>
        </w:rPr>
      </w:pPr>
    </w:p>
    <w:p>
      <w:pPr>
        <w:ind w:left="-547" w:right="140" w:firstLine="948"/>
        <w:spacing w:after="0" w:line="272" w:lineRule="auto"/>
        <w:tabs>
          <w:tab w:leader="none" w:pos="659" w:val="left"/>
        </w:tabs>
        <w:numPr>
          <w:ilvl w:val="1"/>
          <w:numId w:val="403"/>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77" w:lineRule="exact"/>
        <w:rPr>
          <w:rFonts w:ascii="Arial" w:cs="Arial" w:eastAsia="Arial" w:hAnsi="Arial"/>
          <w:sz w:val="17"/>
          <w:szCs w:val="17"/>
          <w:color w:val="auto"/>
        </w:rPr>
      </w:pPr>
    </w:p>
    <w:p>
      <w:pPr>
        <w:jc w:val="both"/>
        <w:ind w:left="-987" w:right="120" w:firstLine="987"/>
        <w:spacing w:after="0" w:line="259" w:lineRule="auto"/>
        <w:tabs>
          <w:tab w:leader="none" w:pos="274"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Specific Performance, Etc</w:t>
      </w:r>
      <w:r>
        <w:rPr>
          <w:rFonts w:ascii="Arial" w:cs="Arial" w:eastAsia="Arial" w:hAnsi="Arial"/>
          <w:sz w:val="18"/>
          <w:szCs w:val="18"/>
          <w:color w:val="auto"/>
        </w:rPr>
        <w:t>.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86" w:lineRule="exact"/>
        <w:rPr>
          <w:rFonts w:ascii="Arial" w:cs="Arial" w:eastAsia="Arial" w:hAnsi="Arial"/>
          <w:sz w:val="18"/>
          <w:szCs w:val="18"/>
          <w:color w:val="auto"/>
        </w:rPr>
      </w:pPr>
    </w:p>
    <w:p>
      <w:pPr>
        <w:ind w:left="-987" w:firstLine="987"/>
        <w:spacing w:after="0" w:line="263" w:lineRule="auto"/>
        <w:tabs>
          <w:tab w:leader="none" w:pos="274"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color w:val="auto"/>
        </w:rPr>
      </w:pPr>
    </w:p>
    <w:p>
      <w:pPr>
        <w:ind w:left="-987" w:right="20" w:firstLine="987"/>
        <w:spacing w:after="0" w:line="277" w:lineRule="auto"/>
        <w:tabs>
          <w:tab w:leader="none" w:pos="274"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170" w:lineRule="exact"/>
        <w:rPr>
          <w:rFonts w:ascii="Arial" w:cs="Arial" w:eastAsia="Arial" w:hAnsi="Arial"/>
          <w:sz w:val="18"/>
          <w:szCs w:val="18"/>
          <w:color w:val="auto"/>
        </w:rPr>
      </w:pPr>
    </w:p>
    <w:p>
      <w:pPr>
        <w:ind w:left="-987" w:right="280" w:firstLine="987"/>
        <w:spacing w:after="0" w:line="277" w:lineRule="auto"/>
        <w:tabs>
          <w:tab w:leader="none" w:pos="274"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exclusively by and construed according to the laws of the State of Delaware, as applied to contracts between Delaware residents entered into and to be performed entirely with Delaware.</w:t>
      </w:r>
    </w:p>
    <w:p>
      <w:pPr>
        <w:sectPr>
          <w:pgSz w:w="11900" w:h="16838" w:orient="portrait"/>
          <w:cols w:equalWidth="0" w:num="1">
            <w:col w:w="10013"/>
          </w:cols>
          <w:pgMar w:left="1427" w:top="273" w:right="459" w:bottom="1440" w:gutter="0" w:footer="0" w:header="0"/>
        </w:sectPr>
      </w:pPr>
    </w:p>
    <w:bookmarkStart w:id="516" w:name="page517"/>
    <w:bookmarkEnd w:id="516"/>
    <w:p>
      <w:pPr>
        <w:ind w:left="-140" w:firstLine="987"/>
        <w:spacing w:after="0" w:line="277" w:lineRule="auto"/>
        <w:tabs>
          <w:tab w:leader="none" w:pos="1121"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Jurisdiction</w:t>
      </w:r>
      <w:r>
        <w:rPr>
          <w:rFonts w:ascii="Arial" w:cs="Arial" w:eastAsia="Arial" w:hAnsi="Arial"/>
          <w:sz w:val="18"/>
          <w:szCs w:val="18"/>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740"/>
          </w:cols>
          <w:pgMar w:left="580" w:top="273" w:right="57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entered into this Indemnity Agreement effective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226314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22860</wp:posOffset>
            </wp:positionV>
            <wp:extent cx="226314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1">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-121920</wp:posOffset>
            </wp:positionV>
            <wp:extent cx="226314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INDEMNITEE: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14605</wp:posOffset>
            </wp:positionV>
            <wp:extent cx="226314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4729480</wp:posOffset>
            </wp:positionH>
            <wp:positionV relativeFrom="paragraph">
              <wp:posOffset>22860</wp:posOffset>
            </wp:positionV>
            <wp:extent cx="226314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4">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-121920</wp:posOffset>
            </wp:positionV>
            <wp:extent cx="226314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3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AEGLEA BIOTHERAPEUTICS, INC. INDEMNITY AGREEMENT</w:t>
      </w:r>
      <w:r>
        <w:rPr>
          <w:rFonts w:ascii="Arial" w:cs="Arial" w:eastAsia="Arial" w:hAnsi="Arial"/>
          <w:sz w:val="18"/>
          <w:szCs w:val="18"/>
          <w:color w:val="auto"/>
        </w:rPr>
        <w:t>]</w:t>
      </w:r>
    </w:p>
    <w:p>
      <w:pPr>
        <w:sectPr>
          <w:pgSz w:w="11900" w:h="16838" w:orient="portrait"/>
          <w:cols w:equalWidth="0" w:num="1">
            <w:col w:w="10019"/>
          </w:cols>
          <w:pgMar w:left="440" w:top="273" w:right="1440" w:bottom="1440" w:gutter="0" w:footer="0" w:header="0"/>
        </w:sectPr>
      </w:pPr>
    </w:p>
    <w:bookmarkStart w:id="518" w:name="page519"/>
    <w:bookmarkEnd w:id="518"/>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2015 EQUITY INCENTIVE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on March 10, 2015</w:t>
      </w:r>
    </w:p>
    <w:p>
      <w:pPr>
        <w:spacing w:after="0" w:line="225" w:lineRule="exact"/>
        <w:rPr>
          <w:sz w:val="20"/>
          <w:szCs w:val="20"/>
          <w:color w:val="auto"/>
        </w:rPr>
      </w:pPr>
    </w:p>
    <w:p>
      <w:pPr>
        <w:ind w:left="4" w:right="60" w:hanging="4"/>
        <w:spacing w:after="0" w:line="256" w:lineRule="auto"/>
        <w:tabs>
          <w:tab w:leader="none" w:pos="184"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87" w:lineRule="exact"/>
        <w:rPr>
          <w:rFonts w:ascii="Arial" w:cs="Arial" w:eastAsia="Arial" w:hAnsi="Arial"/>
          <w:sz w:val="18"/>
          <w:szCs w:val="18"/>
          <w:b w:val="1"/>
          <w:bCs w:val="1"/>
          <w:color w:val="auto"/>
        </w:rPr>
      </w:pPr>
    </w:p>
    <w:p>
      <w:pPr>
        <w:ind w:left="184" w:hanging="184"/>
        <w:spacing w:after="0"/>
        <w:tabs>
          <w:tab w:leader="none" w:pos="184"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b w:val="1"/>
          <w:bCs w:val="1"/>
          <w:color w:val="auto"/>
        </w:rPr>
        <w:t>.</w:t>
      </w:r>
    </w:p>
    <w:p>
      <w:pPr>
        <w:spacing w:after="0" w:line="225" w:lineRule="exact"/>
        <w:rPr>
          <w:sz w:val="20"/>
          <w:szCs w:val="20"/>
          <w:color w:val="auto"/>
        </w:rPr>
      </w:pPr>
    </w:p>
    <w:p>
      <w:pPr>
        <w:ind w:left="4" w:right="40"/>
        <w:spacing w:after="0" w:line="288"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Number of Shares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Sections 2.2 and 11 hereof, the total number of Shares reserved and available for grant and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Plan will be 12,901,499 Shares. Subject to Sections 2.2 and 11 hereof, Shares subject to Awards that are cancelled, forfeited, settled in cash, used to pay withholding obligations or pay the exercise price of an Option or that expire by their terms at any time will again be available for grant and issuance in connection with other Awards. In the event that Shares previously issued under the Plan are reacquired by the Company pursuant to a forfeiture provision, right of first refusal, or repurchase by the Company, such Shares shall be added to the number of Shares then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25,802,998 Shares (adjusted in proportion to any adjustments under Section 2.2 hereof) over the term of the Plan (the “</w:t>
      </w:r>
      <w:r>
        <w:rPr>
          <w:rFonts w:ascii="Arial" w:cs="Arial" w:eastAsia="Arial" w:hAnsi="Arial"/>
          <w:sz w:val="16"/>
          <w:szCs w:val="16"/>
          <w:b w:val="1"/>
          <w:bCs w:val="1"/>
          <w:i w:val="1"/>
          <w:iCs w:val="1"/>
          <w:color w:val="auto"/>
        </w:rPr>
        <w:t>ISO Limit</w:t>
      </w:r>
      <w:r>
        <w:rPr>
          <w:rFonts w:ascii="Arial" w:cs="Arial" w:eastAsia="Arial" w:hAnsi="Arial"/>
          <w:sz w:val="16"/>
          <w:szCs w:val="16"/>
          <w:color w:val="auto"/>
        </w:rPr>
        <w:t>”). Subject to Sections 2.2 and 11 hereof, in the event that the number of Shares reserved for issuance under the Plan is increased, the ISO Limit shall be automatically increased by such number of Shares such that the ISO Limit equals (a) two (2) multiplied by (b) the number of Shares reserved for issuance under the Plan.</w:t>
      </w:r>
    </w:p>
    <w:p>
      <w:pPr>
        <w:spacing w:after="0" w:line="163" w:lineRule="exact"/>
        <w:rPr>
          <w:sz w:val="20"/>
          <w:szCs w:val="20"/>
          <w:color w:val="auto"/>
        </w:rPr>
      </w:pPr>
    </w:p>
    <w:p>
      <w:pPr>
        <w:ind w:left="4" w:right="100"/>
        <w:spacing w:after="0" w:line="272"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Adjustment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the number of outstanding shares of the Company’s Common Stock is changed by a stock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of Shares reserved for issuance under this Plan, (b) the Exercise Prices of and number of Shares subject to outstanding Options and SARs, and (c) the Purchase Prices of and/or number of Shares subject to other outstanding Awards will (to the extent appropriate) be proportionately adjusted, subject to any required action by the Board or the stockholders of the Company and compliance with applicable securities 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fractions of a Share will not be issued but will either be paid in cash at the Fair Market Value of such fraction of a Share or will be rounded down to the nearest whole Share, as determined by the Committee.</w:t>
      </w:r>
    </w:p>
    <w:p>
      <w:pPr>
        <w:spacing w:after="0" w:line="172" w:lineRule="exact"/>
        <w:rPr>
          <w:sz w:val="20"/>
          <w:szCs w:val="20"/>
          <w:color w:val="auto"/>
        </w:rPr>
      </w:pPr>
    </w:p>
    <w:p>
      <w:pPr>
        <w:ind w:left="184" w:hanging="184"/>
        <w:spacing w:after="0"/>
        <w:tabs>
          <w:tab w:leader="none" w:pos="184"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FOR BENEFIT OF SERVICE PROVIDERS</w:t>
      </w:r>
      <w:r>
        <w:rPr>
          <w:rFonts w:ascii="Arial" w:cs="Arial" w:eastAsia="Arial" w:hAnsi="Arial"/>
          <w:sz w:val="18"/>
          <w:szCs w:val="18"/>
          <w:b w:val="1"/>
          <w:bCs w:val="1"/>
          <w:color w:val="auto"/>
        </w:rPr>
        <w:t>.</w:t>
      </w:r>
    </w:p>
    <w:p>
      <w:pPr>
        <w:spacing w:after="0" w:line="225" w:lineRule="exact"/>
        <w:rPr>
          <w:sz w:val="20"/>
          <w:szCs w:val="20"/>
          <w:color w:val="auto"/>
        </w:rPr>
      </w:pPr>
    </w:p>
    <w:p>
      <w:pPr>
        <w:ind w:left="4" w:right="80"/>
        <w:spacing w:after="0" w:line="298"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will have the authority to select persons to receive Awards. ISOs (as defined in Section 4 hereof) may be granted only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ectPr>
          <w:pgSz w:w="11900" w:h="16838" w:orient="portrait"/>
          <w:cols w:equalWidth="0" w:num="1">
            <w:col w:w="11024"/>
          </w:cols>
          <w:pgMar w:left="436" w:top="121" w:right="439" w:bottom="1440" w:gutter="0" w:footer="0" w:header="0"/>
        </w:sectPr>
      </w:pPr>
    </w:p>
    <w:bookmarkStart w:id="519" w:name="page520"/>
    <w:bookmarkEnd w:id="519"/>
    <w:p>
      <w:pPr>
        <w:ind w:left="4" w:right="20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6"/>
          <w:szCs w:val="16"/>
          <w:b w:val="1"/>
          <w:bCs w:val="1"/>
          <w:u w:val="single" w:color="auto"/>
          <w:color w:val="auto"/>
        </w:rPr>
        <w:t>No Obligation to Employ</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Plan or any Award granted under this Plan will confer or be deemed to confer on any Participant any</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continue in the 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142" w:lineRule="exact"/>
        <w:rPr>
          <w:sz w:val="20"/>
          <w:szCs w:val="20"/>
          <w:color w:val="auto"/>
        </w:rPr>
      </w:pPr>
    </w:p>
    <w:p>
      <w:pPr>
        <w:ind w:left="4" w:right="60" w:hanging="4"/>
        <w:spacing w:after="0" w:line="261" w:lineRule="auto"/>
        <w:tabs>
          <w:tab w:leader="none" w:pos="184"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grant Options to eligible persons described in Section 3 hereof and will determine whether such Options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within the meaning of the Code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or Nonqualified Stock Options (“</w:t>
      </w:r>
      <w:r>
        <w:rPr>
          <w:rFonts w:ascii="Arial" w:cs="Arial" w:eastAsia="Arial" w:hAnsi="Arial"/>
          <w:sz w:val="18"/>
          <w:szCs w:val="18"/>
          <w:b w:val="1"/>
          <w:bCs w:val="1"/>
          <w:i w:val="1"/>
          <w:iCs w:val="1"/>
          <w:color w:val="auto"/>
        </w:rPr>
        <w:t>NQSOs</w:t>
      </w:r>
      <w:r>
        <w:rPr>
          <w:rFonts w:ascii="Arial" w:cs="Arial" w:eastAsia="Arial" w:hAnsi="Arial"/>
          <w:sz w:val="18"/>
          <w:szCs w:val="18"/>
          <w:color w:val="auto"/>
        </w:rPr>
        <w:t>”), the number of Shares subject to the Option, the Exercise Price of the Option, the period during which the Option may be exercised, and all other terms and conditions of the Option, subject to the following.</w:t>
      </w:r>
    </w:p>
    <w:p>
      <w:pPr>
        <w:spacing w:after="0" w:line="180" w:lineRule="exact"/>
        <w:rPr>
          <w:sz w:val="20"/>
          <w:szCs w:val="20"/>
          <w:color w:val="auto"/>
        </w:rPr>
      </w:pPr>
    </w:p>
    <w:p>
      <w:pPr>
        <w:ind w:left="4" w:right="40"/>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Form of Option Grant</w:t>
      </w:r>
      <w:r>
        <w:rPr>
          <w:rFonts w:ascii="Arial" w:cs="Arial" w:eastAsia="Arial" w:hAnsi="Arial"/>
          <w:sz w:val="16"/>
          <w:szCs w:val="16"/>
          <w:b w:val="1"/>
          <w:bCs w:val="1"/>
          <w:color w:val="auto"/>
        </w:rPr>
        <w:t xml:space="preserve">. </w:t>
      </w:r>
      <w:r>
        <w:rPr>
          <w:rFonts w:ascii="Arial" w:cs="Arial" w:eastAsia="Arial" w:hAnsi="Arial"/>
          <w:sz w:val="16"/>
          <w:szCs w:val="16"/>
          <w:color w:val="auto"/>
        </w:rPr>
        <w:t>Each Option granted under this Plan will be evidenced by an Award Agreement which will expressly identify the Option as</w:t>
      </w:r>
      <w:r>
        <w:rPr>
          <w:rFonts w:ascii="Arial" w:cs="Arial" w:eastAsia="Arial" w:hAnsi="Arial"/>
          <w:sz w:val="16"/>
          <w:szCs w:val="16"/>
          <w:b w:val="1"/>
          <w:bCs w:val="1"/>
          <w:color w:val="auto"/>
        </w:rPr>
        <w:t xml:space="preserve"> </w:t>
      </w:r>
      <w:r>
        <w:rPr>
          <w:rFonts w:ascii="Arial" w:cs="Arial" w:eastAsia="Arial" w:hAnsi="Arial"/>
          <w:sz w:val="16"/>
          <w:szCs w:val="16"/>
          <w:color w:val="auto"/>
        </w:rPr>
        <w:t>an ISO or an NQSO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42"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an Option will be the date on which the Committee makes the determination to grant such Option, unless a later</w:t>
      </w:r>
      <w:r>
        <w:rPr>
          <w:rFonts w:ascii="Arial" w:cs="Arial" w:eastAsia="Arial" w:hAnsi="Arial"/>
          <w:sz w:val="18"/>
          <w:szCs w:val="18"/>
          <w:b w:val="1"/>
          <w:bCs w:val="1"/>
          <w:color w:val="auto"/>
        </w:rPr>
        <w:t xml:space="preserve"> </w:t>
      </w:r>
      <w:r>
        <w:rPr>
          <w:rFonts w:ascii="Arial" w:cs="Arial" w:eastAsia="Arial" w:hAnsi="Arial"/>
          <w:sz w:val="18"/>
          <w:szCs w:val="18"/>
          <w:color w:val="auto"/>
        </w:rPr>
        <w:t>date is otherwise specified by the Committee. The Stock Option Agreement and a copy of this Plan will be delivered to the Participant within a reasonable time after the granting of the Option.</w:t>
      </w:r>
    </w:p>
    <w:p>
      <w:pPr>
        <w:spacing w:after="0" w:line="176"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Exercise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exercisable within the time or upon the events determined by the Committee in the Award Agreement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awarded as immediately exercisable but subject to repurchase pursuant to Section 10 hereof or may be exercisable within the times or upon the events determined by the Committee as set forth in the Stock Option Agreement governing such Option;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(a) 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Parent or Subsidiary (“</w:t>
      </w:r>
      <w:r>
        <w:rPr>
          <w:rFonts w:ascii="Arial" w:cs="Arial" w:eastAsia="Arial" w:hAnsi="Arial"/>
          <w:sz w:val="18"/>
          <w:szCs w:val="18"/>
          <w:b w:val="1"/>
          <w:bCs w:val="1"/>
          <w:i w:val="1"/>
          <w:iCs w:val="1"/>
          <w:color w:val="auto"/>
        </w:rPr>
        <w:t>Ten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Percent Stockholder</w:t>
      </w:r>
      <w:r>
        <w:rPr>
          <w:rFonts w:ascii="Arial" w:cs="Arial" w:eastAsia="Arial" w:hAnsi="Arial"/>
          <w:sz w:val="18"/>
          <w:szCs w:val="18"/>
          <w:color w:val="auto"/>
        </w:rPr>
        <w:t>”) will be exercisable after the expiration of five (5) years from the date the ISO is granted. The Committee also may provide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to become exercisable at one time or from time to time, periodically or otherwise, in such number of Shares or percentage of Shares as the Committee determines.</w:t>
      </w:r>
    </w:p>
    <w:p>
      <w:pPr>
        <w:spacing w:after="0" w:line="192" w:lineRule="exact"/>
        <w:rPr>
          <w:sz w:val="20"/>
          <w:szCs w:val="20"/>
          <w:color w:val="auto"/>
        </w:rPr>
      </w:pPr>
    </w:p>
    <w:p>
      <w:pPr>
        <w:ind w:left="4" w:right="60"/>
        <w:spacing w:after="0" w:line="281"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Exercise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Price of an Option will be determined by the Committee when the Option is granted and shall not be less than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Market Value per Share unless expressly determined in writing by the Committee on the Option’s date of grant;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165" w:lineRule="exact"/>
        <w:rPr>
          <w:sz w:val="20"/>
          <w:szCs w:val="20"/>
          <w:color w:val="auto"/>
        </w:rPr>
      </w:pPr>
    </w:p>
    <w:p>
      <w:pPr>
        <w:ind w:left="4"/>
        <w:spacing w:after="0" w:line="269"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Method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may be exercised only by delivery to the Company of a written stock option exercise agreement (the “</w:t>
      </w:r>
      <w:r>
        <w:rPr>
          <w:rFonts w:ascii="Arial" w:cs="Arial" w:eastAsia="Arial" w:hAnsi="Arial"/>
          <w:sz w:val="17"/>
          <w:szCs w:val="17"/>
          <w:b w:val="1"/>
          <w:bCs w:val="1"/>
          <w:i w:val="1"/>
          <w:iCs w:val="1"/>
          <w:color w:val="auto"/>
        </w:rPr>
        <w:t>Exercise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in a form approved by the Committee (which need not be the same for each Participant). The Exercise Agreement will state (a) the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payment of any applicable taxes.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179" w:lineRule="exact"/>
        <w:rPr>
          <w:sz w:val="20"/>
          <w:szCs w:val="20"/>
          <w:color w:val="auto"/>
        </w:rPr>
      </w:pPr>
    </w:p>
    <w:p>
      <w:pPr>
        <w:ind w:left="4" w:right="160"/>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earlier termination pursuant to Sections 11 and 13.3 hereof and notwithstanding the exercise periods set forth in the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Agreement, exercise of an Option will always be subject to the following terms and conditions.</w:t>
      </w:r>
    </w:p>
    <w:p>
      <w:pPr>
        <w:sectPr>
          <w:pgSz w:w="11900" w:h="16838" w:orient="portrait"/>
          <w:cols w:equalWidth="0" w:num="1">
            <w:col w:w="11004"/>
          </w:cols>
          <w:pgMar w:left="436" w:top="269" w:right="459" w:bottom="1440" w:gutter="0" w:footer="0" w:header="0"/>
        </w:sectPr>
      </w:pPr>
    </w:p>
    <w:bookmarkStart w:id="520" w:name="page521"/>
    <w:bookmarkEnd w:id="520"/>
    <w:p>
      <w:pPr>
        <w:ind w:left="4"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4.6.1 </w:t>
      </w:r>
      <w:r>
        <w:rPr>
          <w:rFonts w:ascii="Arial" w:cs="Arial" w:eastAsia="Arial" w:hAnsi="Arial"/>
          <w:sz w:val="18"/>
          <w:szCs w:val="18"/>
          <w:u w:val="single" w:color="auto"/>
          <w:color w:val="auto"/>
        </w:rPr>
        <w:t>Other than Death or Disability or for Cause</w:t>
      </w:r>
      <w:r>
        <w:rPr>
          <w:rFonts w:ascii="Arial" w:cs="Arial" w:eastAsia="Arial" w:hAnsi="Arial"/>
          <w:sz w:val="18"/>
          <w:szCs w:val="18"/>
          <w:color w:val="auto"/>
        </w:rPr>
        <w:t>. 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with any exercise beyond three (3) months after the date Participant ceases to be an employee deemed to be an NQSO) but in any event, no later than the expiration date of the Options.</w:t>
      </w:r>
    </w:p>
    <w:p>
      <w:pPr>
        <w:spacing w:after="0" w:line="195" w:lineRule="exact"/>
        <w:rPr>
          <w:sz w:val="20"/>
          <w:szCs w:val="20"/>
          <w:color w:val="auto"/>
        </w:rPr>
      </w:pPr>
    </w:p>
    <w:p>
      <w:pPr>
        <w:ind w:left="4" w:right="200"/>
        <w:spacing w:after="0" w:line="285" w:lineRule="auto"/>
        <w:rPr>
          <w:sz w:val="20"/>
          <w:szCs w:val="20"/>
          <w:color w:val="auto"/>
        </w:rPr>
      </w:pPr>
      <w:r>
        <w:rPr>
          <w:rFonts w:ascii="Arial" w:cs="Arial" w:eastAsia="Arial" w:hAnsi="Arial"/>
          <w:sz w:val="16"/>
          <w:szCs w:val="16"/>
          <w:color w:val="auto"/>
        </w:rPr>
        <w:t xml:space="preserve">4.6.2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w:t>
      </w:r>
    </w:p>
    <w:p>
      <w:pPr>
        <w:spacing w:after="0" w:line="2" w:lineRule="exact"/>
        <w:rPr>
          <w:sz w:val="20"/>
          <w:szCs w:val="20"/>
          <w:color w:val="auto"/>
        </w:rPr>
      </w:pPr>
    </w:p>
    <w:p>
      <w:pPr>
        <w:ind w:left="264" w:hanging="264"/>
        <w:spacing w:after="0"/>
        <w:tabs>
          <w:tab w:leader="none" w:pos="264" w:val="left"/>
        </w:tabs>
        <w:numPr>
          <w:ilvl w:val="0"/>
          <w:numId w:val="408"/>
        </w:numPr>
        <w:rPr>
          <w:rFonts w:ascii="Arial" w:cs="Arial" w:eastAsia="Arial" w:hAnsi="Arial"/>
          <w:sz w:val="16"/>
          <w:szCs w:val="16"/>
          <w:color w:val="auto"/>
        </w:rPr>
      </w:pPr>
      <w:r>
        <w:rPr>
          <w:rFonts w:ascii="Arial" w:cs="Arial" w:eastAsia="Arial" w:hAnsi="Arial"/>
          <w:sz w:val="16"/>
          <w:szCs w:val="16"/>
          <w:color w:val="auto"/>
        </w:rPr>
        <w:t>months, or within such longer time period, after the Termination Date as may be determined by the Committee, with any exercise beyond (a) three</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409"/>
        </w:numPr>
        <w:rPr>
          <w:rFonts w:ascii="Arial" w:cs="Arial" w:eastAsia="Arial" w:hAnsi="Arial"/>
          <w:sz w:val="16"/>
          <w:szCs w:val="16"/>
          <w:color w:val="auto"/>
        </w:rPr>
      </w:pPr>
      <w:r>
        <w:rPr>
          <w:rFonts w:ascii="Arial" w:cs="Arial" w:eastAsia="Arial" w:hAnsi="Arial"/>
          <w:sz w:val="16"/>
          <w:szCs w:val="16"/>
          <w:color w:val="auto"/>
        </w:rPr>
        <w:t>months after the date Participant ceases to be an employee when the Termination is for any reason other than the Participant’s death or disability,</w:t>
      </w:r>
    </w:p>
    <w:p>
      <w:pPr>
        <w:spacing w:after="0" w:line="32" w:lineRule="exact"/>
        <w:rPr>
          <w:rFonts w:ascii="Arial" w:cs="Arial" w:eastAsia="Arial" w:hAnsi="Arial"/>
          <w:sz w:val="16"/>
          <w:szCs w:val="16"/>
          <w:color w:val="auto"/>
        </w:rPr>
      </w:pPr>
    </w:p>
    <w:p>
      <w:pPr>
        <w:ind w:left="4" w:right="100"/>
        <w:spacing w:after="0" w:line="255" w:lineRule="auto"/>
        <w:rPr>
          <w:rFonts w:ascii="Arial" w:cs="Arial" w:eastAsia="Arial" w:hAnsi="Arial"/>
          <w:sz w:val="16"/>
          <w:szCs w:val="16"/>
          <w:color w:val="auto"/>
        </w:rPr>
      </w:pPr>
      <w:r>
        <w:rPr>
          <w:rFonts w:ascii="Arial" w:cs="Arial" w:eastAsia="Arial" w:hAnsi="Arial"/>
          <w:sz w:val="18"/>
          <w:szCs w:val="18"/>
          <w:color w:val="auto"/>
        </w:rPr>
        <w:t>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190"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 xml:space="preserve">4.6.3 </w:t>
      </w:r>
      <w:r>
        <w:rPr>
          <w:rFonts w:ascii="Arial" w:cs="Arial" w:eastAsia="Arial" w:hAnsi="Arial"/>
          <w:sz w:val="18"/>
          <w:szCs w:val="18"/>
          <w:u w:val="single" w:color="auto"/>
          <w:color w:val="auto"/>
        </w:rPr>
        <w:t>For Cause</w:t>
      </w:r>
      <w:r>
        <w:rPr>
          <w:rFonts w:ascii="Arial" w:cs="Arial" w:eastAsia="Arial" w:hAnsi="Arial"/>
          <w:sz w:val="18"/>
          <w:szCs w:val="18"/>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80" w:lineRule="exact"/>
        <w:rPr>
          <w:sz w:val="20"/>
          <w:szCs w:val="20"/>
          <w:color w:val="auto"/>
        </w:rPr>
      </w:pPr>
    </w:p>
    <w:p>
      <w:pPr>
        <w:ind w:left="4" w:right="240"/>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specify a reasonable minimum number of Shares that may be purchased on any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minimum number will not prevent Participant from exercising the Option for the full number of Shares for which it is then exercisable.</w:t>
      </w:r>
    </w:p>
    <w:p>
      <w:pPr>
        <w:spacing w:after="0" w:line="176"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u w:val="single" w:color="auto"/>
          <w:color w:val="auto"/>
        </w:rPr>
        <w:t>Limitations on ISOs</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Fair Market Value (determined as of the date of grant) of Shares with respect to which ISOs are exercisable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13.1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166" w:lineRule="exact"/>
        <w:rPr>
          <w:sz w:val="20"/>
          <w:szCs w:val="20"/>
          <w:color w:val="auto"/>
        </w:rPr>
      </w:pPr>
    </w:p>
    <w:p>
      <w:pPr>
        <w:ind w:left="4"/>
        <w:spacing w:after="0" w:line="274"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u w:val="single" w:color="auto"/>
          <w:color w:val="auto"/>
        </w:rPr>
        <w:t>Modification, Extension or Renewal</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may modify, extend or renew outstanding Options and authorize the grant of new Options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substitution therefor,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Exercise Price may not be reduced below the minimum Exercise Price that would be permitted under Section 4.4 hereof for Options granted on the date the action is taken to reduce the Exercise Price.</w:t>
      </w:r>
    </w:p>
    <w:p>
      <w:pPr>
        <w:spacing w:after="0" w:line="173"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No Disqualification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in this Plan, no term of this Plan relating to ISOs will be interpreted, amended or altered,</w:t>
      </w:r>
      <w:r>
        <w:rPr>
          <w:rFonts w:ascii="Arial" w:cs="Arial" w:eastAsia="Arial" w:hAnsi="Arial"/>
          <w:sz w:val="18"/>
          <w:szCs w:val="18"/>
          <w:b w:val="1"/>
          <w:bCs w:val="1"/>
          <w:color w:val="auto"/>
        </w:rPr>
        <w:t xml:space="preserve"> </w:t>
      </w:r>
      <w:r>
        <w:rPr>
          <w:rFonts w:ascii="Arial" w:cs="Arial" w:eastAsia="Arial" w:hAnsi="Arial"/>
          <w:sz w:val="18"/>
          <w:szCs w:val="18"/>
          <w:color w:val="auto"/>
        </w:rPr>
        <w:t>nor will any discretion or authority granted under this Plan be exercised, so as to disqualify this Plan under Section 422 of the Code or, without the consent of the Participant, to disqualify any Participant’s ISO under Section 422 of the Code.</w:t>
      </w:r>
    </w:p>
    <w:p>
      <w:pPr>
        <w:sectPr>
          <w:pgSz w:w="11900" w:h="16838" w:orient="portrait"/>
          <w:cols w:equalWidth="0" w:num="1">
            <w:col w:w="11024"/>
          </w:cols>
          <w:pgMar w:left="436" w:top="273" w:right="439" w:bottom="1440" w:gutter="0" w:footer="0" w:header="0"/>
        </w:sectPr>
      </w:pPr>
    </w:p>
    <w:bookmarkStart w:id="521" w:name="page522"/>
    <w:bookmarkEnd w:id="521"/>
    <w:p>
      <w:pPr>
        <w:ind w:left="4" w:right="20" w:hanging="4"/>
        <w:spacing w:after="0" w:line="261" w:lineRule="auto"/>
        <w:tabs>
          <w:tab w:leader="none" w:pos="184"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Award is an offer by the Company to sell to an eligible person Shares that are subject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80" w:lineRule="exact"/>
        <w:rPr>
          <w:sz w:val="20"/>
          <w:szCs w:val="20"/>
          <w:color w:val="auto"/>
        </w:rPr>
      </w:pPr>
    </w:p>
    <w:p>
      <w:pPr>
        <w:ind w:left="4"/>
        <w:spacing w:after="0" w:line="287"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Form of Restricted Stock Award</w:t>
      </w:r>
      <w:r>
        <w:rPr>
          <w:rFonts w:ascii="Arial" w:cs="Arial" w:eastAsia="Arial" w:hAnsi="Arial"/>
          <w:sz w:val="16"/>
          <w:szCs w:val="16"/>
          <w:b w:val="1"/>
          <w:bCs w:val="1"/>
          <w:color w:val="auto"/>
        </w:rPr>
        <w:t xml:space="preserve">. </w:t>
      </w:r>
      <w:r>
        <w:rPr>
          <w:rFonts w:ascii="Arial" w:cs="Arial" w:eastAsia="Arial" w:hAnsi="Arial"/>
          <w:sz w:val="16"/>
          <w:szCs w:val="16"/>
          <w:color w:val="auto"/>
        </w:rPr>
        <w:t>All purchases under a Restricted Stock Award made pursuant to this Plan will be evidenced by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t>
      </w:r>
      <w:r>
        <w:rPr>
          <w:rFonts w:ascii="Arial" w:cs="Arial" w:eastAsia="Arial" w:hAnsi="Arial"/>
          <w:sz w:val="16"/>
          <w:szCs w:val="16"/>
          <w:b w:val="1"/>
          <w:bCs w:val="1"/>
          <w:i w:val="1"/>
          <w:iCs w:val="1"/>
          <w:color w:val="auto"/>
        </w:rPr>
        <w:t>Restricted Stock Purchase Agreement</w:t>
      </w:r>
      <w:r>
        <w:rPr>
          <w:rFonts w:ascii="Arial" w:cs="Arial" w:eastAsia="Arial" w:hAnsi="Arial"/>
          <w:sz w:val="16"/>
          <w:szCs w:val="16"/>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w:t>
      </w:r>
    </w:p>
    <w:p>
      <w:pPr>
        <w:spacing w:after="0" w:line="2" w:lineRule="exact"/>
        <w:rPr>
          <w:sz w:val="20"/>
          <w:szCs w:val="20"/>
          <w:color w:val="auto"/>
        </w:rPr>
      </w:pPr>
    </w:p>
    <w:p>
      <w:pPr>
        <w:ind w:left="4" w:right="200" w:hanging="4"/>
        <w:spacing w:after="0" w:line="255" w:lineRule="auto"/>
        <w:tabs>
          <w:tab w:leader="none" w:pos="34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86" w:lineRule="exact"/>
        <w:rPr>
          <w:sz w:val="20"/>
          <w:szCs w:val="20"/>
          <w:color w:val="auto"/>
        </w:rPr>
      </w:pPr>
    </w:p>
    <w:p>
      <w:pPr>
        <w:ind w:left="4" w:right="500"/>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of Shares sold pursuant to a Restricted Stock Award will be determined by the Committee on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 is granted or at the time the purchase is consummated. Payment of the Purchase Price must be made in accordance with Section 8 hereof.</w:t>
      </w:r>
    </w:p>
    <w:p>
      <w:pPr>
        <w:spacing w:after="0" w:line="176" w:lineRule="exact"/>
        <w:rPr>
          <w:sz w:val="20"/>
          <w:szCs w:val="20"/>
          <w:color w:val="auto"/>
        </w:rPr>
      </w:pPr>
    </w:p>
    <w:p>
      <w:pPr>
        <w:ind w:left="4" w:right="40"/>
        <w:spacing w:after="0" w:line="31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Dividends and Other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holding Restricted Stock will be entitled to receive all dividends and other distributions paid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such Shares, unless the Committee provides otherwise at the time of award. If any such dividends or distributions are paid in Shares, the Shares will be subject to the same restrictions on transferability and forfeitability as the Shares of Restricted Stock with respect to which they were paid.</w:t>
      </w:r>
    </w:p>
    <w:p>
      <w:pPr>
        <w:spacing w:after="0" w:line="142"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Awards may be subject to the restrictions set forth in Sections 9 and 10 hereof or, with respect to a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 to which Section 25102(o) is to apply, such other restrictions not inconsistent with Section 25102(o).</w:t>
      </w:r>
    </w:p>
    <w:p>
      <w:pPr>
        <w:spacing w:after="0" w:line="162" w:lineRule="exact"/>
        <w:rPr>
          <w:sz w:val="20"/>
          <w:szCs w:val="20"/>
          <w:color w:val="auto"/>
        </w:rPr>
      </w:pPr>
    </w:p>
    <w:p>
      <w:pPr>
        <w:ind w:left="184" w:hanging="184"/>
        <w:spacing w:after="0"/>
        <w:tabs>
          <w:tab w:leader="none" w:pos="184"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225"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Awards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covering a number of Shares that may be settled in cash, or by</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those Shares at a date in the future.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w:t>
      </w:r>
    </w:p>
    <w:p>
      <w:pPr>
        <w:spacing w:after="0" w:line="180" w:lineRule="exact"/>
        <w:rPr>
          <w:sz w:val="20"/>
          <w:szCs w:val="20"/>
          <w:color w:val="auto"/>
        </w:rPr>
      </w:pPr>
    </w:p>
    <w:p>
      <w:pPr>
        <w:ind w:left="4" w:right="60"/>
        <w:spacing w:after="0" w:line="261"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Form and Timing of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permissible under applicable law, the Committee may permit a Participant to defer payment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RSU to a date or dates after the RSU is earned,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Committee determines.</w:t>
      </w:r>
    </w:p>
    <w:p>
      <w:pPr>
        <w:spacing w:after="0" w:line="180" w:lineRule="exact"/>
        <w:rPr>
          <w:sz w:val="20"/>
          <w:szCs w:val="20"/>
          <w:color w:val="auto"/>
        </w:rPr>
      </w:pPr>
    </w:p>
    <w:p>
      <w:pPr>
        <w:ind w:left="184" w:hanging="184"/>
        <w:spacing w:after="0"/>
        <w:tabs>
          <w:tab w:leader="none" w:pos="184"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b w:val="1"/>
          <w:bCs w:val="1"/>
          <w:color w:val="auto"/>
        </w:rPr>
        <w:t>.</w:t>
      </w:r>
    </w:p>
    <w:p>
      <w:pPr>
        <w:spacing w:after="0" w:line="225"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Awards of SARs</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Rights (“</w:t>
      </w:r>
      <w:r>
        <w:rPr>
          <w:rFonts w:ascii="Arial" w:cs="Arial" w:eastAsia="Arial" w:hAnsi="Arial"/>
          <w:sz w:val="18"/>
          <w:szCs w:val="18"/>
          <w:b w:val="1"/>
          <w:bCs w:val="1"/>
          <w:i w:val="1"/>
          <w:iCs w:val="1"/>
          <w:color w:val="auto"/>
        </w:rPr>
        <w:t>SARs</w:t>
      </w:r>
      <w:r>
        <w:rPr>
          <w:rFonts w:ascii="Arial" w:cs="Arial" w:eastAsia="Arial" w:hAnsi="Arial"/>
          <w:sz w:val="18"/>
          <w:szCs w:val="18"/>
          <w:color w:val="auto"/>
        </w:rPr>
        <w:t>”) may be settled in cash, or Shares (which may consist of Restricted Stock or RSUs), having a</w:t>
      </w:r>
      <w:r>
        <w:rPr>
          <w:rFonts w:ascii="Arial" w:cs="Arial" w:eastAsia="Arial" w:hAnsi="Arial"/>
          <w:sz w:val="18"/>
          <w:szCs w:val="18"/>
          <w:b w:val="1"/>
          <w:bCs w:val="1"/>
          <w:color w:val="auto"/>
        </w:rPr>
        <w:t xml:space="preserve"> </w:t>
      </w:r>
      <w:r>
        <w:rPr>
          <w:rFonts w:ascii="Arial" w:cs="Arial" w:eastAsia="Arial" w:hAnsi="Arial"/>
          <w:sz w:val="18"/>
          <w:szCs w:val="18"/>
          <w:color w:val="auto"/>
        </w:rPr>
        <w:t>value equal to the 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Committee will from time to time approve, and will comply with and be subject to the terms and conditions of this Plan.</w:t>
      </w:r>
    </w:p>
    <w:p>
      <w:pPr>
        <w:sectPr>
          <w:pgSz w:w="11900" w:h="16838" w:orient="portrait"/>
          <w:cols w:equalWidth="0" w:num="1">
            <w:col w:w="11004"/>
          </w:cols>
          <w:pgMar w:left="436" w:top="269" w:right="459" w:bottom="1440" w:gutter="0" w:footer="0" w:header="0"/>
        </w:sectPr>
      </w:pPr>
    </w:p>
    <w:bookmarkStart w:id="522" w:name="page523"/>
    <w:bookmarkEnd w:id="522"/>
    <w:p>
      <w:pPr>
        <w:ind w:left="4" w:right="1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8"/>
          <w:szCs w:val="18"/>
          <w:b w:val="1"/>
          <w:bCs w:val="1"/>
          <w:u w:val="single" w:color="auto"/>
          <w:color w:val="auto"/>
        </w:rPr>
        <w:t>Exercise Period and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A SAR will be exercisable within the times or upon the occurrence of events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set forth in the Award Agreement governing such SAR. The Award Agreement shall set forth the Expiration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 SAR will be exercisable after the expiration of ten years from the date the SAR is granted.</w:t>
      </w:r>
    </w:p>
    <w:p>
      <w:pPr>
        <w:spacing w:after="0" w:line="176"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will determine the Exercise Price of the SAR when the SAR is granted, and which may not be less than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on the date of grant and may be settled in cash or in Shares.</w:t>
      </w:r>
    </w:p>
    <w:p>
      <w:pPr>
        <w:spacing w:after="0" w:line="162"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earlier termination pursuant to Sections 11 and 13.1 hereof and notwithstanding the exercise periods set forth in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exercise of SARs will always be subject to the following terms and conditions.</w:t>
      </w:r>
    </w:p>
    <w:p>
      <w:pPr>
        <w:spacing w:after="0" w:line="166"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Other than Death or Disability or for Cause</w:t>
      </w:r>
      <w:r>
        <w:rPr>
          <w:rFonts w:ascii="Arial" w:cs="Arial" w:eastAsia="Arial" w:hAnsi="Arial"/>
          <w:sz w:val="18"/>
          <w:szCs w:val="18"/>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but in any event, no later than the expiration date of the SARs.</w:t>
      </w:r>
    </w:p>
    <w:p>
      <w:pPr>
        <w:spacing w:after="0" w:line="192" w:lineRule="exact"/>
        <w:rPr>
          <w:sz w:val="20"/>
          <w:szCs w:val="20"/>
          <w:color w:val="auto"/>
        </w:rPr>
      </w:pPr>
    </w:p>
    <w:p>
      <w:pPr>
        <w:ind w:left="4" w:right="260"/>
        <w:spacing w:after="0" w:line="285"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by Participant on the Termination Date or as otherwise determined by the Committee.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w:t>
      </w:r>
    </w:p>
    <w:p>
      <w:pPr>
        <w:spacing w:after="0" w:line="2" w:lineRule="exact"/>
        <w:rPr>
          <w:sz w:val="20"/>
          <w:szCs w:val="20"/>
          <w:color w:val="auto"/>
        </w:rPr>
      </w:pPr>
    </w:p>
    <w:p>
      <w:pPr>
        <w:ind w:left="4" w:right="360" w:hanging="4"/>
        <w:spacing w:after="0" w:line="260" w:lineRule="auto"/>
        <w:tabs>
          <w:tab w:leader="none" w:pos="25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months, or within such longer time period after the Termination Date as may be determined by the Committee) but in any event no later than the expiration date of the SARs.</w:t>
      </w:r>
    </w:p>
    <w:p>
      <w:pPr>
        <w:spacing w:after="0" w:line="185" w:lineRule="exact"/>
        <w:rPr>
          <w:sz w:val="20"/>
          <w:szCs w:val="20"/>
          <w:color w:val="auto"/>
        </w:rPr>
      </w:pPr>
    </w:p>
    <w:p>
      <w:pPr>
        <w:jc w:val="both"/>
        <w:ind w:left="4" w:right="180"/>
        <w:spacing w:after="0" w:line="263"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For Cause</w:t>
      </w:r>
      <w:r>
        <w:rPr>
          <w:rFonts w:ascii="Arial" w:cs="Arial" w:eastAsia="Arial" w:hAnsi="Arial"/>
          <w:sz w:val="18"/>
          <w:szCs w:val="18"/>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80" w:lineRule="exact"/>
        <w:rPr>
          <w:sz w:val="20"/>
          <w:szCs w:val="20"/>
          <w:color w:val="auto"/>
        </w:rPr>
      </w:pPr>
    </w:p>
    <w:p>
      <w:pPr>
        <w:ind w:left="184" w:hanging="184"/>
        <w:spacing w:after="0"/>
        <w:tabs>
          <w:tab w:leader="none" w:pos="184"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PURCHASES AND EXERCISES</w:t>
      </w:r>
      <w:r>
        <w:rPr>
          <w:rFonts w:ascii="Arial" w:cs="Arial" w:eastAsia="Arial" w:hAnsi="Arial"/>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Payment in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for Shares acquired pursuant to this Plan may be made in cash (by check) or, where expressly approved for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Participant by the Committee and where permitted by law:</w:t>
      </w:r>
    </w:p>
    <w:p>
      <w:pPr>
        <w:spacing w:after="0" w:line="103" w:lineRule="exact"/>
        <w:rPr>
          <w:sz w:val="20"/>
          <w:szCs w:val="20"/>
          <w:color w:val="auto"/>
        </w:rPr>
      </w:pPr>
    </w:p>
    <w:p>
      <w:pPr>
        <w:ind w:left="244" w:hanging="244"/>
        <w:spacing w:after="0"/>
        <w:tabs>
          <w:tab w:leader="none" w:pos="24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16"/>
        </w:numPr>
        <w:rPr>
          <w:rFonts w:ascii="Arial" w:cs="Arial" w:eastAsia="Arial" w:hAnsi="Arial"/>
          <w:sz w:val="16"/>
          <w:szCs w:val="16"/>
          <w:color w:val="auto"/>
        </w:rPr>
      </w:pPr>
      <w:r>
        <w:rPr>
          <w:rFonts w:ascii="Arial" w:cs="Arial" w:eastAsia="Arial" w:hAnsi="Arial"/>
          <w:sz w:val="16"/>
          <w:szCs w:val="16"/>
          <w:color w:val="auto"/>
        </w:rPr>
        <w:t>by surrender of shares of the Company that are clear of all liens, claims, encumbrances or security interests and: (i) for which the Company has</w:t>
      </w:r>
    </w:p>
    <w:p>
      <w:pPr>
        <w:spacing w:after="0" w:line="46" w:lineRule="exact"/>
        <w:rPr>
          <w:rFonts w:ascii="Arial" w:cs="Arial" w:eastAsia="Arial" w:hAnsi="Arial"/>
          <w:sz w:val="16"/>
          <w:szCs w:val="16"/>
          <w:color w:val="auto"/>
        </w:rPr>
      </w:pPr>
    </w:p>
    <w:p>
      <w:pPr>
        <w:ind w:left="4" w:right="180"/>
        <w:spacing w:after="0" w:line="323" w:lineRule="auto"/>
        <w:rPr>
          <w:rFonts w:ascii="Arial" w:cs="Arial" w:eastAsia="Arial" w:hAnsi="Arial"/>
          <w:sz w:val="16"/>
          <w:szCs w:val="16"/>
          <w:color w:val="auto"/>
        </w:rPr>
      </w:pPr>
      <w:r>
        <w:rPr>
          <w:rFonts w:ascii="Arial" w:cs="Arial" w:eastAsia="Arial" w:hAnsi="Arial"/>
          <w:sz w:val="16"/>
          <w:szCs w:val="16"/>
          <w:color w:val="auto"/>
        </w:rPr>
        <w:t>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38" w:lineRule="exact"/>
        <w:rPr>
          <w:rFonts w:ascii="Arial" w:cs="Arial" w:eastAsia="Arial" w:hAnsi="Arial"/>
          <w:sz w:val="16"/>
          <w:szCs w:val="16"/>
          <w:color w:val="auto"/>
        </w:rPr>
      </w:pPr>
    </w:p>
    <w:p>
      <w:pPr>
        <w:ind w:left="4" w:hanging="4"/>
        <w:spacing w:after="0" w:line="275" w:lineRule="auto"/>
        <w:tabs>
          <w:tab w:leader="none" w:pos="249" w:val="left"/>
        </w:tabs>
        <w:numPr>
          <w:ilvl w:val="0"/>
          <w:numId w:val="416"/>
        </w:numPr>
        <w:rPr>
          <w:rFonts w:ascii="Arial" w:cs="Arial" w:eastAsia="Arial" w:hAnsi="Arial"/>
          <w:sz w:val="17"/>
          <w:szCs w:val="17"/>
          <w:color w:val="auto"/>
        </w:rPr>
      </w:pPr>
      <w:r>
        <w:rPr>
          <w:rFonts w:ascii="Arial" w:cs="Arial" w:eastAsia="Arial" w:hAnsi="Arial"/>
          <w:sz w:val="17"/>
          <w:szCs w:val="17"/>
          <w:color w:val="auto"/>
        </w:rPr>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Participants who are not employees or directors of the Company will not be entitled to purchase Shares with a promissory note unless the note is adequately secured by collateral other than the Shares;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the portion of the Exercise Price or Purchase Price, as the case may be, equal to the par value (if any) of the Shares must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in cash or other legal consideration permitted by the laws under which the Company is then incorporated or organized;</w:t>
      </w:r>
    </w:p>
    <w:p>
      <w:pPr>
        <w:sectPr>
          <w:pgSz w:w="11900" w:h="16838" w:orient="portrait"/>
          <w:cols w:equalWidth="0" w:num="1">
            <w:col w:w="11004"/>
          </w:cols>
          <w:pgMar w:left="436" w:top="269" w:right="459" w:bottom="1440" w:gutter="0" w:footer="0" w:header="0"/>
        </w:sectPr>
      </w:pPr>
    </w:p>
    <w:bookmarkStart w:id="523" w:name="page524"/>
    <w:bookmarkEnd w:id="523"/>
    <w:p>
      <w:pPr>
        <w:ind w:left="264" w:hanging="264"/>
        <w:spacing w:after="0"/>
        <w:tabs>
          <w:tab w:leader="none" w:pos="264" w:val="left"/>
        </w:tabs>
        <w:numPr>
          <w:ilvl w:val="0"/>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waiver of compensation due or accrued to the Participant from the Company for services rendered;</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by participating in a formal cashless exercise program implemented by the Committee in connection with the Plan;</w:t>
      </w:r>
    </w:p>
    <w:p>
      <w:pPr>
        <w:spacing w:after="0" w:line="225" w:lineRule="exact"/>
        <w:rPr>
          <w:rFonts w:ascii="Arial" w:cs="Arial" w:eastAsia="Arial" w:hAnsi="Arial"/>
          <w:sz w:val="18"/>
          <w:szCs w:val="18"/>
          <w:color w:val="auto"/>
        </w:rPr>
      </w:pPr>
    </w:p>
    <w:p>
      <w:pPr>
        <w:ind w:left="4" w:right="80" w:hanging="4"/>
        <w:spacing w:after="0" w:line="279" w:lineRule="auto"/>
        <w:tabs>
          <w:tab w:leader="none" w:pos="229" w:val="left"/>
        </w:tabs>
        <w:numPr>
          <w:ilvl w:val="0"/>
          <w:numId w:val="417"/>
        </w:numPr>
        <w:rPr>
          <w:rFonts w:ascii="Arial" w:cs="Arial" w:eastAsia="Arial" w:hAnsi="Arial"/>
          <w:sz w:val="17"/>
          <w:szCs w:val="17"/>
          <w:color w:val="auto"/>
        </w:rPr>
      </w:pPr>
      <w:r>
        <w:rPr>
          <w:rFonts w:ascii="Arial" w:cs="Arial" w:eastAsia="Arial" w:hAnsi="Arial"/>
          <w:sz w:val="17"/>
          <w:szCs w:val="17"/>
          <w:color w:val="auto"/>
        </w:rPr>
        <w:t>subject to compliance with applicable law, 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171" w:lineRule="exact"/>
        <w:rPr>
          <w:rFonts w:ascii="Arial" w:cs="Arial" w:eastAsia="Arial" w:hAnsi="Arial"/>
          <w:sz w:val="17"/>
          <w:szCs w:val="17"/>
          <w:color w:val="auto"/>
        </w:rPr>
      </w:pPr>
    </w:p>
    <w:p>
      <w:pPr>
        <w:ind w:left="264" w:hanging="264"/>
        <w:spacing w:after="0"/>
        <w:tabs>
          <w:tab w:leader="none" w:pos="26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by any combination of the foregoing or any other method of payment approved by the Committee.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229"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Withholding Generally</w:t>
      </w:r>
      <w:r>
        <w:rPr>
          <w:rFonts w:ascii="Arial" w:cs="Arial" w:eastAsia="Arial" w:hAnsi="Arial"/>
          <w:sz w:val="18"/>
          <w:szCs w:val="18"/>
          <w:color w:val="auto"/>
        </w:rPr>
        <w:t>. Whenever Shares are to be issued in satisfaction of Awards granted under this Plan, the Company may require the Participant to remit to the Company an amount sufficient to satisfy applicable tax withholding requirements prior to the delivery of any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187"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 xml:space="preserve">8.2.2 </w:t>
      </w:r>
      <w:r>
        <w:rPr>
          <w:rFonts w:ascii="Arial" w:cs="Arial" w:eastAsia="Arial" w:hAnsi="Arial"/>
          <w:sz w:val="17"/>
          <w:szCs w:val="17"/>
          <w:u w:val="single" w:color="auto"/>
          <w:color w:val="auto"/>
        </w:rPr>
        <w:t>Stock Withholding</w:t>
      </w:r>
      <w:r>
        <w:rPr>
          <w:rFonts w:ascii="Arial" w:cs="Arial" w:eastAsia="Arial" w:hAnsi="Arial"/>
          <w:sz w:val="17"/>
          <w:szCs w:val="17"/>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the minimum tax withholding obligation by electing to have the Company withhold from the Shares to be issued up to the minimum number of Shares having a Fair Market Value on the date that the amount of tax to be withheld is to be determined that is not more than the minimum amount to be withheld; or to arrange a mandatory “sell to cover” on Participant’s behalf (without further authorization) but in no event will the Company withhold Shares or “sell to cover” if such withholding would result in adverse accounting consequences to the Company. Any elections to have Shares withheld or sold for this purpose will be made in accordance with the requirements established by the Committee for such elections and be in writing in a form acceptable to the Committee.</w:t>
      </w:r>
    </w:p>
    <w:p>
      <w:pPr>
        <w:spacing w:after="0" w:line="174" w:lineRule="exact"/>
        <w:rPr>
          <w:sz w:val="20"/>
          <w:szCs w:val="20"/>
          <w:color w:val="auto"/>
        </w:rPr>
      </w:pPr>
    </w:p>
    <w:p>
      <w:pPr>
        <w:ind w:left="184" w:hanging="184"/>
        <w:spacing w:after="0"/>
        <w:tabs>
          <w:tab w:leader="none" w:pos="184"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AWARDS</w:t>
      </w:r>
      <w:r>
        <w:rPr>
          <w:rFonts w:ascii="Arial" w:cs="Arial" w:eastAsia="Arial" w:hAnsi="Arial"/>
          <w:sz w:val="18"/>
          <w:szCs w:val="18"/>
          <w:b w:val="1"/>
          <w:bCs w:val="1"/>
          <w:color w:val="auto"/>
        </w:rPr>
        <w:t>.</w:t>
      </w:r>
    </w:p>
    <w:p>
      <w:pPr>
        <w:spacing w:after="0" w:line="225" w:lineRule="exact"/>
        <w:rPr>
          <w:sz w:val="20"/>
          <w:szCs w:val="20"/>
          <w:color w:val="auto"/>
        </w:rPr>
      </w:pPr>
    </w:p>
    <w:p>
      <w:pPr>
        <w:ind w:left="4"/>
        <w:spacing w:after="0" w:line="281"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Transferability</w:t>
      </w:r>
      <w:r>
        <w:rPr>
          <w:rFonts w:ascii="Arial" w:cs="Arial" w:eastAsia="Arial" w:hAnsi="Arial"/>
          <w:sz w:val="17"/>
          <w:szCs w:val="17"/>
          <w:color w:val="auto"/>
        </w:rPr>
        <w:t>. Except as permitted by the Committee, Awards granted under this Plan, and any interest therein, will not be transferable or</w:t>
      </w:r>
      <w:r>
        <w:rPr>
          <w:rFonts w:ascii="Arial" w:cs="Arial" w:eastAsia="Arial" w:hAnsi="Arial"/>
          <w:sz w:val="17"/>
          <w:szCs w:val="17"/>
          <w:b w:val="1"/>
          <w:bCs w:val="1"/>
          <w:color w:val="auto"/>
        </w:rPr>
        <w:t xml:space="preserve"> </w:t>
      </w:r>
      <w:r>
        <w:rPr>
          <w:rFonts w:ascii="Arial" w:cs="Arial" w:eastAsia="Arial" w:hAnsi="Arial"/>
          <w:sz w:val="17"/>
          <w:szCs w:val="17"/>
          <w:color w:val="auto"/>
        </w:rPr>
        <w:t>assignable by Participant, other than by will or by the laws of descent and distribution, and, with respect to NQSOs,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w:t>
      </w:r>
    </w:p>
    <w:p>
      <w:pPr>
        <w:spacing w:after="0" w:line="169" w:lineRule="exact"/>
        <w:rPr>
          <w:sz w:val="20"/>
          <w:szCs w:val="20"/>
          <w:color w:val="auto"/>
        </w:rPr>
      </w:pPr>
    </w:p>
    <w:p>
      <w:pPr>
        <w:ind w:left="4" w:right="40"/>
        <w:spacing w:after="0" w:line="293" w:lineRule="auto"/>
        <w:rPr>
          <w:sz w:val="20"/>
          <w:szCs w:val="20"/>
          <w:color w:val="auto"/>
        </w:rPr>
      </w:pPr>
      <w:r>
        <w:rPr>
          <w:rFonts w:ascii="Arial" w:cs="Arial" w:eastAsia="Arial" w:hAnsi="Arial"/>
          <w:sz w:val="16"/>
          <w:szCs w:val="16"/>
          <w:color w:val="auto"/>
        </w:rPr>
        <w:t>For the avoidance of doubt, the prohibition against assignment and transfer applies to a stock option and, prior to exercise , the shares to be issued on exercise of a stock option,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During the lifetime of the Participant an Award will be exercisable only by the Participant or Participant’s legal representative and any elections with respect to an Award may be made only by the Participant or Participant’s legal representative. The terms of an Option shall be binding upon the executor, administrator, successors and assigns of the Participant who is a party thereto.</w:t>
      </w:r>
    </w:p>
    <w:p>
      <w:pPr>
        <w:spacing w:after="0" w:line="160"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Securities Law and Other Regulatory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this Plan is intended to be a written compensatory benefit plan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Rule 701 promulgated under the Securities Act, grants may be made pursuant to this Plan that do not qualify for exemption under Rule 701 or Section 25102(o). Any requirement</w:t>
      </w:r>
    </w:p>
    <w:p>
      <w:pPr>
        <w:sectPr>
          <w:pgSz w:w="11900" w:h="16838" w:orient="portrait"/>
          <w:cols w:equalWidth="0" w:num="1">
            <w:col w:w="10984"/>
          </w:cols>
          <w:pgMar w:left="436" w:top="273" w:right="479" w:bottom="1440" w:gutter="0" w:footer="0" w:header="0"/>
        </w:sectPr>
      </w:pPr>
    </w:p>
    <w:bookmarkStart w:id="524" w:name="page525"/>
    <w:bookmarkEnd w:id="524"/>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Plan which is required in law only because of Section 25102(o) need not apply with respect to a particular Award to which Section 25102(o) will not apply. An Award will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securities laws, stock exchange or automated quotation system, and the Company will have no liability for any inability or failure so do.</w:t>
      </w:r>
    </w:p>
    <w:p>
      <w:pPr>
        <w:spacing w:after="0" w:line="181" w:lineRule="exact"/>
        <w:rPr>
          <w:sz w:val="20"/>
          <w:szCs w:val="20"/>
          <w:color w:val="auto"/>
        </w:rPr>
      </w:pPr>
    </w:p>
    <w:p>
      <w:pPr>
        <w:ind w:left="4"/>
        <w:spacing w:after="0" w:line="256"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Exchange and Buyout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at any time or from time to time, authorize the Company, with the consent of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87" w:lineRule="exact"/>
        <w:rPr>
          <w:sz w:val="20"/>
          <w:szCs w:val="20"/>
          <w:color w:val="auto"/>
        </w:rPr>
      </w:pPr>
    </w:p>
    <w:p>
      <w:pPr>
        <w:ind w:left="264" w:hanging="264"/>
        <w:spacing w:after="0"/>
        <w:tabs>
          <w:tab w:leader="none" w:pos="264"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SHARES</w:t>
      </w:r>
      <w:r>
        <w:rPr>
          <w:rFonts w:ascii="Arial" w:cs="Arial" w:eastAsia="Arial" w:hAnsi="Arial"/>
          <w:sz w:val="18"/>
          <w:szCs w:val="18"/>
          <w:b w:val="1"/>
          <w:bCs w:val="1"/>
          <w:color w:val="auto"/>
        </w:rPr>
        <w:t>.</w:t>
      </w:r>
    </w:p>
    <w:p>
      <w:pPr>
        <w:spacing w:after="0" w:line="225" w:lineRule="exact"/>
        <w:rPr>
          <w:sz w:val="20"/>
          <w:szCs w:val="20"/>
          <w:color w:val="auto"/>
        </w:rPr>
      </w:pPr>
    </w:p>
    <w:p>
      <w:pPr>
        <w:ind w:left="4"/>
        <w:spacing w:after="0" w:line="25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Privileges of Stock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No Participant will have any of the rights of a stockholder with respect to any Shares until such Shares are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189" w:lineRule="exact"/>
        <w:rPr>
          <w:sz w:val="20"/>
          <w:szCs w:val="20"/>
          <w:color w:val="auto"/>
        </w:rPr>
      </w:pPr>
    </w:p>
    <w:p>
      <w:pPr>
        <w:ind w:left="4" w:right="60"/>
        <w:spacing w:after="0" w:line="277"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Rights of First Refusal and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At the discretion of the Committee, the Company may reserve to itself and/or its assignee(s)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Award Agreement (a) a right of first refusal to purchase all Shares that a Participant (or a subsequent transferee) may propose to transfer to a third party,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right of first refusal terminates upon the Company’s initial public offering of Common Stock pursuant to an effective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filed under the Securities Act and (b) a right to repurchase Unvested Shares held by a Participant for cash and/or cancellation of purchase money indebtedness owed to the Company by the Participant following such Participant’s Termination at any time.</w:t>
      </w:r>
    </w:p>
    <w:p>
      <w:pPr>
        <w:spacing w:after="0" w:line="168" w:lineRule="exact"/>
        <w:rPr>
          <w:sz w:val="20"/>
          <w:szCs w:val="20"/>
          <w:color w:val="auto"/>
        </w:rPr>
      </w:pPr>
    </w:p>
    <w:p>
      <w:pPr>
        <w:ind w:left="4" w:right="100"/>
        <w:spacing w:after="0" w:line="269"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b w:val="1"/>
          <w:bCs w:val="1"/>
          <w:u w:val="single" w:color="auto"/>
          <w:color w:val="auto"/>
        </w:rPr>
        <w:t>Escrow; Pledge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To enforce any restrictions on a Participant’s Shares, the Committee may require the Participant to deposit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ectPr>
          <w:pgSz w:w="11900" w:h="16838" w:orient="portrait"/>
          <w:cols w:equalWidth="0" w:num="1">
            <w:col w:w="11004"/>
          </w:cols>
          <w:pgMar w:left="436" w:top="273" w:right="459" w:bottom="1440" w:gutter="0" w:footer="0" w:header="0"/>
        </w:sectPr>
      </w:pPr>
    </w:p>
    <w:bookmarkStart w:id="525" w:name="page526"/>
    <w:bookmarkEnd w:id="525"/>
    <w:p>
      <w:pPr>
        <w:ind w:left="4" w:right="8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10.4 </w:t>
      </w:r>
      <w:r>
        <w:rPr>
          <w:rFonts w:ascii="Arial" w:cs="Arial" w:eastAsia="Arial" w:hAnsi="Arial"/>
          <w:sz w:val="18"/>
          <w:szCs w:val="18"/>
          <w:b w:val="1"/>
          <w:bCs w:val="1"/>
          <w:u w:val="single" w:color="auto"/>
          <w:color w:val="auto"/>
        </w:rPr>
        <w:t>Securities Law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 certificates for Shares or other securities delivered under this Plan will be subject to such stock transfer orders,</w:t>
      </w:r>
      <w:r>
        <w:rPr>
          <w:rFonts w:ascii="Arial" w:cs="Arial" w:eastAsia="Arial" w:hAnsi="Arial"/>
          <w:sz w:val="18"/>
          <w:szCs w:val="18"/>
          <w:b w:val="1"/>
          <w:bCs w:val="1"/>
          <w:color w:val="auto"/>
        </w:rPr>
        <w:t xml:space="preserve"> </w:t>
      </w:r>
      <w:r>
        <w:rPr>
          <w:rFonts w:ascii="Arial" w:cs="Arial" w:eastAsia="Arial" w:hAnsi="Arial"/>
          <w:sz w:val="18"/>
          <w:szCs w:val="18"/>
          <w:color w:val="auto"/>
        </w:rPr>
        <w:t>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80" w:lineRule="exact"/>
        <w:rPr>
          <w:sz w:val="20"/>
          <w:szCs w:val="20"/>
          <w:color w:val="auto"/>
        </w:rPr>
      </w:pPr>
    </w:p>
    <w:p>
      <w:pPr>
        <w:ind w:left="264" w:hanging="264"/>
        <w:spacing w:after="0"/>
        <w:tabs>
          <w:tab w:leader="none" w:pos="264"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b w:val="1"/>
          <w:bCs w:val="1"/>
          <w:color w:val="auto"/>
        </w:rPr>
        <w:t>.</w:t>
      </w:r>
    </w:p>
    <w:p>
      <w:pPr>
        <w:spacing w:after="0" w:line="225" w:lineRule="exact"/>
        <w:rPr>
          <w:sz w:val="20"/>
          <w:szCs w:val="20"/>
          <w:color w:val="auto"/>
        </w:rPr>
      </w:pPr>
    </w:p>
    <w:p>
      <w:pPr>
        <w:ind w:left="4" w:right="40"/>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Acquisitions or Other Combinations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the Company is subject to an Acquisition or Other Combination,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76" w:lineRule="exact"/>
        <w:rPr>
          <w:sz w:val="20"/>
          <w:szCs w:val="20"/>
          <w:color w:val="auto"/>
        </w:rPr>
      </w:pPr>
    </w:p>
    <w:p>
      <w:pPr>
        <w:ind w:left="244" w:hanging="244"/>
        <w:spacing w:after="0"/>
        <w:tabs>
          <w:tab w:leader="none" w:pos="24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continuation of such outstanding Awards by the Company (if the Company is the successor entity).</w:t>
      </w:r>
    </w:p>
    <w:p>
      <w:pPr>
        <w:spacing w:after="0" w:line="225" w:lineRule="exact"/>
        <w:rPr>
          <w:rFonts w:ascii="Arial" w:cs="Arial" w:eastAsia="Arial" w:hAnsi="Arial"/>
          <w:sz w:val="18"/>
          <w:szCs w:val="18"/>
          <w:color w:val="auto"/>
        </w:rPr>
      </w:pPr>
    </w:p>
    <w:p>
      <w:pPr>
        <w:ind w:left="4" w:right="100" w:hanging="4"/>
        <w:spacing w:after="0" w:line="287" w:lineRule="auto"/>
        <w:tabs>
          <w:tab w:leader="none" w:pos="259"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Acquisition or Other Combination.</w:t>
      </w:r>
    </w:p>
    <w:p>
      <w:pPr>
        <w:spacing w:after="0" w:line="167" w:lineRule="exact"/>
        <w:rPr>
          <w:rFonts w:ascii="Arial" w:cs="Arial" w:eastAsia="Arial" w:hAnsi="Arial"/>
          <w:sz w:val="16"/>
          <w:szCs w:val="16"/>
          <w:color w:val="auto"/>
        </w:rPr>
      </w:pPr>
    </w:p>
    <w:p>
      <w:pPr>
        <w:jc w:val="both"/>
        <w:ind w:left="4" w:hanging="4"/>
        <w:spacing w:after="0" w:line="259" w:lineRule="auto"/>
        <w:tabs>
          <w:tab w:leader="none" w:pos="24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w:t>
      </w:r>
    </w:p>
    <w:p>
      <w:pPr>
        <w:spacing w:after="0" w:line="186" w:lineRule="exact"/>
        <w:rPr>
          <w:rFonts w:ascii="Arial" w:cs="Arial" w:eastAsia="Arial" w:hAnsi="Arial"/>
          <w:sz w:val="18"/>
          <w:szCs w:val="18"/>
          <w:color w:val="auto"/>
        </w:rPr>
      </w:pPr>
    </w:p>
    <w:p>
      <w:pPr>
        <w:ind w:left="264" w:hanging="264"/>
        <w:spacing w:after="0"/>
        <w:tabs>
          <w:tab w:leader="none" w:pos="26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full or partial exercisability or vesting and accelerated expiration of outstanding Awards.</w:t>
      </w:r>
    </w:p>
    <w:p>
      <w:pPr>
        <w:spacing w:after="0" w:line="225" w:lineRule="exact"/>
        <w:rPr>
          <w:rFonts w:ascii="Arial" w:cs="Arial" w:eastAsia="Arial" w:hAnsi="Arial"/>
          <w:sz w:val="18"/>
          <w:szCs w:val="18"/>
          <w:color w:val="auto"/>
        </w:rPr>
      </w:pPr>
    </w:p>
    <w:p>
      <w:pPr>
        <w:ind w:left="4" w:right="160" w:hanging="4"/>
        <w:spacing w:after="0" w:line="271" w:lineRule="auto"/>
        <w:tabs>
          <w:tab w:leader="none" w:pos="249" w:val="left"/>
        </w:tabs>
        <w:numPr>
          <w:ilvl w:val="0"/>
          <w:numId w:val="421"/>
        </w:numPr>
        <w:rPr>
          <w:rFonts w:ascii="Arial" w:cs="Arial" w:eastAsia="Arial" w:hAnsi="Arial"/>
          <w:sz w:val="17"/>
          <w:szCs w:val="17"/>
          <w:color w:val="auto"/>
        </w:rPr>
      </w:pPr>
      <w:r>
        <w:rPr>
          <w:rFonts w:ascii="Arial" w:cs="Arial" w:eastAsia="Arial" w:hAnsi="Arial"/>
          <w:sz w:val="17"/>
          <w:szCs w:val="17"/>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ectPr>
          <w:pgSz w:w="11900" w:h="16838" w:orient="portrait"/>
          <w:cols w:equalWidth="0" w:num="1">
            <w:col w:w="11004"/>
          </w:cols>
          <w:pgMar w:left="436" w:top="269" w:right="459" w:bottom="1440" w:gutter="0" w:footer="0" w:header="0"/>
        </w:sectPr>
      </w:pPr>
    </w:p>
    <w:bookmarkStart w:id="526" w:name="page527"/>
    <w:bookmarkEnd w:id="52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The cancellation of outstanding Awards in exchange for no consideration.</w:t>
      </w:r>
    </w:p>
    <w:p>
      <w:pPr>
        <w:spacing w:after="0" w:line="22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166" w:lineRule="exact"/>
        <w:rPr>
          <w:sz w:val="20"/>
          <w:szCs w:val="20"/>
          <w:color w:val="auto"/>
        </w:rPr>
      </w:pPr>
    </w:p>
    <w:p>
      <w:pPr>
        <w:ind w:left="4"/>
        <w:spacing w:after="0" w:line="289"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Assumption of Awards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from time to time, also may substitute or assume outstanding awards granted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rather than assuming an existing option or stock appreciation right, such new Option or SAR may be granted with a similarly adjusted Exercise Price.</w:t>
      </w:r>
    </w:p>
    <w:p>
      <w:pPr>
        <w:spacing w:after="0" w:line="166" w:lineRule="exact"/>
        <w:rPr>
          <w:sz w:val="20"/>
          <w:szCs w:val="20"/>
          <w:color w:val="auto"/>
        </w:rPr>
      </w:pPr>
    </w:p>
    <w:p>
      <w:pPr>
        <w:ind w:left="264" w:hanging="264"/>
        <w:spacing w:after="0"/>
        <w:tabs>
          <w:tab w:leader="none" w:pos="264"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25" w:lineRule="exact"/>
        <w:rPr>
          <w:sz w:val="20"/>
          <w:szCs w:val="20"/>
          <w:color w:val="auto"/>
        </w:rPr>
      </w:pPr>
    </w:p>
    <w:p>
      <w:pPr>
        <w:ind w:left="4" w:right="260"/>
        <w:spacing w:after="0" w:line="266"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Committee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will be administered by the Committee or the Board if no Committee is created by the Board.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purposes, terms and conditions of this Plan, and to the direction of the Board, the Committee will have full power to implement and carry out this Plan. Without limitation, the Committee will have the authority to:</w:t>
      </w:r>
    </w:p>
    <w:p>
      <w:pPr>
        <w:spacing w:after="0" w:line="72" w:lineRule="exact"/>
        <w:rPr>
          <w:sz w:val="20"/>
          <w:szCs w:val="20"/>
          <w:color w:val="auto"/>
        </w:rPr>
      </w:pPr>
    </w:p>
    <w:p>
      <w:pPr>
        <w:ind w:left="244" w:hanging="244"/>
        <w:spacing w:after="0"/>
        <w:tabs>
          <w:tab w:leader="none" w:pos="24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construe and interpret this Plan, any Award Agreement and any other agreement or document executed pursuant to this Plan;</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prescribe, amend, expand, modify and rescind or terminate rules and regulations relating to this Plan;</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approve persons to receive Awards;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determine the form and terms of Awards;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 granted under this Plan;</w:t>
      </w:r>
    </w:p>
    <w:p>
      <w:pPr>
        <w:spacing w:after="0" w:line="225" w:lineRule="exact"/>
        <w:rPr>
          <w:rFonts w:ascii="Arial" w:cs="Arial" w:eastAsia="Arial" w:hAnsi="Arial"/>
          <w:sz w:val="18"/>
          <w:szCs w:val="18"/>
          <w:color w:val="auto"/>
        </w:rPr>
      </w:pPr>
    </w:p>
    <w:p>
      <w:pPr>
        <w:ind w:left="4" w:right="760" w:hanging="4"/>
        <w:spacing w:after="0" w:line="277" w:lineRule="auto"/>
        <w:tabs>
          <w:tab w:leader="none" w:pos="22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70" w:lineRule="exact"/>
        <w:rPr>
          <w:rFonts w:ascii="Arial" w:cs="Arial" w:eastAsia="Arial" w:hAnsi="Arial"/>
          <w:sz w:val="18"/>
          <w:szCs w:val="18"/>
          <w:color w:val="auto"/>
        </w:rPr>
      </w:pPr>
    </w:p>
    <w:p>
      <w:pPr>
        <w:ind w:left="4" w:right="160" w:hanging="4"/>
        <w:spacing w:after="0" w:line="308" w:lineRule="auto"/>
        <w:tabs>
          <w:tab w:leader="none" w:pos="259" w:val="left"/>
        </w:tabs>
        <w:numPr>
          <w:ilvl w:val="0"/>
          <w:numId w:val="423"/>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46" w:lineRule="exact"/>
        <w:rPr>
          <w:rFonts w:ascii="Arial" w:cs="Arial" w:eastAsia="Arial" w:hAnsi="Arial"/>
          <w:sz w:val="17"/>
          <w:szCs w:val="17"/>
          <w:color w:val="auto"/>
        </w:rPr>
      </w:pPr>
    </w:p>
    <w:p>
      <w:pPr>
        <w:ind w:left="264" w:hanging="264"/>
        <w:spacing w:after="0"/>
        <w:tabs>
          <w:tab w:leader="none" w:pos="26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grant waivers of any conditions of this Plan or any Award;</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determine the terms of vesting, exercisability and payment of Awards to be granted pursuant to this Plan;</w:t>
      </w:r>
    </w:p>
    <w:p>
      <w:pPr>
        <w:spacing w:after="0" w:line="225" w:lineRule="exact"/>
        <w:rPr>
          <w:rFonts w:ascii="Arial" w:cs="Arial" w:eastAsia="Arial" w:hAnsi="Arial"/>
          <w:sz w:val="18"/>
          <w:szCs w:val="18"/>
          <w:color w:val="auto"/>
        </w:rPr>
      </w:pPr>
    </w:p>
    <w:p>
      <w:pPr>
        <w:ind w:left="4" w:right="160" w:hanging="4"/>
        <w:spacing w:after="0" w:line="277" w:lineRule="auto"/>
        <w:tabs>
          <w:tab w:leader="none" w:pos="21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any Award Agreement, any Exercise Agreement or any Restricted Stock Purchase Agreement;</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determine whether an Award has been earned;</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extend the vesting period beyond a Participant’s Termination Date;</w:t>
      </w:r>
    </w:p>
    <w:p>
      <w:pPr>
        <w:sectPr>
          <w:pgSz w:w="11900" w:h="16838" w:orient="portrait"/>
          <w:cols w:equalWidth="0" w:num="1">
            <w:col w:w="11004"/>
          </w:cols>
          <w:pgMar w:left="436" w:top="273" w:right="459" w:bottom="1440" w:gutter="0" w:footer="0" w:header="0"/>
        </w:sectPr>
      </w:pPr>
    </w:p>
    <w:bookmarkStart w:id="527" w:name="page528"/>
    <w:bookmarkEnd w:id="527"/>
    <w:p>
      <w:pPr>
        <w:ind w:left="4" w:right="380" w:hanging="4"/>
        <w:spacing w:after="0" w:line="277" w:lineRule="auto"/>
        <w:tabs>
          <w:tab w:leader="none" w:pos="309"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adopt rules and/or procedures (including the adoption of any subplan under this Plan) relating to the operation and administration of the Plan to accommodate requirements of local law and procedures outside of the United States;</w:t>
      </w:r>
    </w:p>
    <w:p>
      <w:pPr>
        <w:spacing w:after="0" w:line="170" w:lineRule="exact"/>
        <w:rPr>
          <w:rFonts w:ascii="Arial" w:cs="Arial" w:eastAsia="Arial" w:hAnsi="Arial"/>
          <w:sz w:val="18"/>
          <w:szCs w:val="18"/>
          <w:color w:val="auto"/>
        </w:rPr>
      </w:pPr>
    </w:p>
    <w:p>
      <w:pPr>
        <w:ind w:left="4" w:right="180" w:hanging="4"/>
        <w:spacing w:after="0" w:line="277" w:lineRule="auto"/>
        <w:tabs>
          <w:tab w:leader="none" w:pos="259" w:val="left"/>
        </w:tabs>
        <w:numPr>
          <w:ilvl w:val="0"/>
          <w:numId w:val="424"/>
        </w:numPr>
        <w:rPr>
          <w:rFonts w:ascii="Arial" w:cs="Arial" w:eastAsia="Arial" w:hAnsi="Arial"/>
          <w:sz w:val="18"/>
          <w:szCs w:val="18"/>
          <w:color w:val="auto"/>
        </w:rPr>
      </w:pPr>
      <w:r>
        <w:rPr>
          <w:rFonts w:ascii="Arial" w:cs="Arial" w:eastAsia="Arial" w:hAnsi="Arial"/>
          <w:sz w:val="18"/>
          <w:szCs w:val="18"/>
          <w:color w:val="auto"/>
        </w:rPr>
        <w:t>delegate any of the foregoing to a subcommittee consisting of one or more executive officers pursuant to a specific delegation as may otherwise be permitted by applicable law;</w:t>
      </w:r>
    </w:p>
    <w:p>
      <w:pPr>
        <w:spacing w:after="0" w:line="170" w:lineRule="exact"/>
        <w:rPr>
          <w:rFonts w:ascii="Arial" w:cs="Arial" w:eastAsia="Arial" w:hAnsi="Arial"/>
          <w:sz w:val="18"/>
          <w:szCs w:val="18"/>
          <w:color w:val="auto"/>
        </w:rPr>
      </w:pPr>
    </w:p>
    <w:p>
      <w:pPr>
        <w:ind w:left="4" w:right="240" w:hanging="4"/>
        <w:spacing w:after="0" w:line="277" w:lineRule="auto"/>
        <w:tabs>
          <w:tab w:leader="none" w:pos="259" w:val="left"/>
        </w:tabs>
        <w:numPr>
          <w:ilvl w:val="0"/>
          <w:numId w:val="424"/>
        </w:numPr>
        <w:rPr>
          <w:rFonts w:ascii="Arial" w:cs="Arial" w:eastAsia="Arial" w:hAnsi="Arial"/>
          <w:sz w:val="18"/>
          <w:szCs w:val="18"/>
          <w:color w:val="auto"/>
        </w:rPr>
      </w:pPr>
      <w:r>
        <w:rPr>
          <w:rFonts w:ascii="Arial" w:cs="Arial" w:eastAsia="Arial" w:hAnsi="Arial"/>
          <w:sz w:val="18"/>
          <w:szCs w:val="18"/>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connection with the administration of this Plan.</w:t>
      </w:r>
    </w:p>
    <w:p>
      <w:pPr>
        <w:spacing w:after="0" w:line="221" w:lineRule="exact"/>
        <w:rPr>
          <w:sz w:val="20"/>
          <w:szCs w:val="20"/>
          <w:color w:val="auto"/>
        </w:rPr>
      </w:pPr>
    </w:p>
    <w:p>
      <w:pPr>
        <w:ind w:left="4" w:right="20"/>
        <w:spacing w:after="0" w:line="294"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b w:val="1"/>
          <w:bCs w:val="1"/>
          <w:u w:val="single" w:color="auto"/>
          <w:color w:val="auto"/>
        </w:rPr>
        <w:t>Committee Composition and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delegate full administrative authority over the Plan and Awards to a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officers of the Company the authority to grant an Award under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each such officer is a member of the Board.</w:t>
      </w:r>
    </w:p>
    <w:p>
      <w:pPr>
        <w:spacing w:after="0" w:line="160" w:lineRule="exact"/>
        <w:rPr>
          <w:sz w:val="20"/>
          <w:szCs w:val="20"/>
          <w:color w:val="auto"/>
        </w:rPr>
      </w:pPr>
    </w:p>
    <w:p>
      <w:pPr>
        <w:ind w:left="4" w:right="180"/>
        <w:spacing w:after="0" w:line="281"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b w:val="1"/>
          <w:bCs w:val="1"/>
          <w:u w:val="single" w:color="auto"/>
          <w:color w:val="auto"/>
        </w:rPr>
        <w:t>Nonexclusivity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adoption of this Plan by the Board, the submission of this Plan to the stockholders of the Company for</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65" w:lineRule="exact"/>
        <w:rPr>
          <w:sz w:val="20"/>
          <w:szCs w:val="20"/>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all agreements hereunder shall be governed by and construed in accordance with the laws of the State of Texas,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that body of laws pertaining to conflict of laws.</w:t>
      </w:r>
    </w:p>
    <w:p>
      <w:pPr>
        <w:spacing w:after="0" w:line="162" w:lineRule="exact"/>
        <w:rPr>
          <w:sz w:val="20"/>
          <w:szCs w:val="20"/>
          <w:color w:val="auto"/>
        </w:rPr>
      </w:pPr>
    </w:p>
    <w:p>
      <w:pPr>
        <w:ind w:left="264" w:hanging="264"/>
        <w:spacing w:after="0"/>
        <w:tabs>
          <w:tab w:leader="none" w:pos="264"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AMENDMENT AND TERMINATION OF THE PLAN</w:t>
      </w:r>
      <w:r>
        <w:rPr>
          <w:rFonts w:ascii="Arial" w:cs="Arial" w:eastAsia="Arial" w:hAnsi="Arial"/>
          <w:sz w:val="18"/>
          <w:szCs w:val="18"/>
          <w:b w:val="1"/>
          <w:bCs w:val="1"/>
          <w:color w:val="auto"/>
        </w:rPr>
        <w:t>.</w:t>
      </w:r>
    </w:p>
    <w:p>
      <w:pPr>
        <w:spacing w:after="0" w:line="225" w:lineRule="exact"/>
        <w:rPr>
          <w:sz w:val="20"/>
          <w:szCs w:val="20"/>
          <w:color w:val="auto"/>
        </w:rPr>
      </w:pPr>
    </w:p>
    <w:p>
      <w:pPr>
        <w:ind w:left="4"/>
        <w:spacing w:after="0" w:line="293"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b w:val="1"/>
          <w:bCs w:val="1"/>
          <w:u w:val="single" w:color="auto"/>
          <w:color w:val="auto"/>
        </w:rPr>
        <w:t>Adoption and Stockholder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will become effective on the date that it is adopted by the Board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approved by the stockholders of the Company (excluding Shares issued pursuant to this Plan), consistent with applicable laws, within twelve</w:t>
      </w:r>
    </w:p>
    <w:p>
      <w:pPr>
        <w:spacing w:after="0" w:line="1" w:lineRule="exact"/>
        <w:rPr>
          <w:sz w:val="20"/>
          <w:szCs w:val="20"/>
          <w:color w:val="auto"/>
        </w:rPr>
      </w:pPr>
    </w:p>
    <w:p>
      <w:pPr>
        <w:ind w:left="344" w:hanging="344"/>
        <w:spacing w:after="0"/>
        <w:tabs>
          <w:tab w:leader="none" w:pos="344" w:val="left"/>
        </w:tabs>
        <w:numPr>
          <w:ilvl w:val="0"/>
          <w:numId w:val="426"/>
        </w:numPr>
        <w:rPr>
          <w:rFonts w:ascii="Arial" w:cs="Arial" w:eastAsia="Arial" w:hAnsi="Arial"/>
          <w:sz w:val="16"/>
          <w:szCs w:val="16"/>
          <w:color w:val="auto"/>
        </w:rPr>
      </w:pPr>
      <w:r>
        <w:rPr>
          <w:rFonts w:ascii="Arial" w:cs="Arial" w:eastAsia="Arial" w:hAnsi="Arial"/>
          <w:sz w:val="16"/>
          <w:szCs w:val="16"/>
          <w:color w:val="auto"/>
        </w:rPr>
        <w:t xml:space="preserve">months before or after the Effective Date. Upon the Effective Date, the Board may grant Awards pursuant to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w:t>
      </w:r>
    </w:p>
    <w:p>
      <w:pPr>
        <w:spacing w:after="0" w:line="32" w:lineRule="exact"/>
        <w:rPr>
          <w:rFonts w:ascii="Arial" w:cs="Arial" w:eastAsia="Arial" w:hAnsi="Arial"/>
          <w:sz w:val="16"/>
          <w:szCs w:val="16"/>
          <w:color w:val="auto"/>
        </w:rPr>
      </w:pPr>
    </w:p>
    <w:p>
      <w:pPr>
        <w:ind w:left="4"/>
        <w:spacing w:after="0" w:line="287" w:lineRule="auto"/>
        <w:rPr>
          <w:rFonts w:ascii="Arial" w:cs="Arial" w:eastAsia="Arial" w:hAnsi="Arial"/>
          <w:sz w:val="16"/>
          <w:szCs w:val="16"/>
          <w:color w:val="auto"/>
        </w:rPr>
      </w:pPr>
      <w:r>
        <w:rPr>
          <w:rFonts w:ascii="Arial" w:cs="Arial" w:eastAsia="Arial" w:hAnsi="Arial"/>
          <w:sz w:val="16"/>
          <w:szCs w:val="16"/>
          <w:color w:val="auto"/>
        </w:rPr>
        <w:t>(a) no Option or SAR may be exercised prior to initial stockholder approval of this Plan; (b) no Option or SAR granted pursuant to an 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66" w:lineRule="exact"/>
        <w:rPr>
          <w:sz w:val="20"/>
          <w:szCs w:val="20"/>
          <w:color w:val="auto"/>
        </w:rPr>
      </w:pPr>
    </w:p>
    <w:p>
      <w:pPr>
        <w:ind w:left="4" w:right="160"/>
        <w:spacing w:after="0" w:line="312"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b w:val="1"/>
          <w:bCs w:val="1"/>
          <w:u w:val="single" w:color="auto"/>
          <w:color w:val="auto"/>
        </w:rPr>
        <w:t>Term of Plan</w:t>
      </w:r>
      <w:r>
        <w:rPr>
          <w:rFonts w:ascii="Arial" w:cs="Arial" w:eastAsia="Arial" w:hAnsi="Arial"/>
          <w:sz w:val="17"/>
          <w:szCs w:val="17"/>
          <w:b w:val="1"/>
          <w:bCs w:val="1"/>
          <w:color w:val="auto"/>
        </w:rPr>
        <w:t xml:space="preserve">. </w:t>
      </w:r>
      <w:r>
        <w:rPr>
          <w:rFonts w:ascii="Arial" w:cs="Arial" w:eastAsia="Arial" w:hAnsi="Arial"/>
          <w:sz w:val="17"/>
          <w:szCs w:val="17"/>
          <w:color w:val="auto"/>
        </w:rPr>
        <w:t>Unless earlier terminated as provided herein, this Plan will automatically terminate ten (10) years after the later of (i)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Date, or (ii) the most recent increase in the number of Shares reserved under Section 2 that was approved by stockholders.</w:t>
      </w:r>
    </w:p>
    <w:p>
      <w:pPr>
        <w:sectPr>
          <w:pgSz w:w="11900" w:h="16838" w:orient="portrait"/>
          <w:cols w:equalWidth="0" w:num="1">
            <w:col w:w="11004"/>
          </w:cols>
          <w:pgMar w:left="436" w:top="273" w:right="459" w:bottom="1440" w:gutter="0" w:footer="0" w:header="0"/>
        </w:sectPr>
      </w:pPr>
    </w:p>
    <w:bookmarkStart w:id="528" w:name="page529"/>
    <w:bookmarkEnd w:id="528"/>
    <w:p>
      <w:pPr>
        <w:ind w:left="4" w:right="1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13.3 </w:t>
      </w:r>
      <w:r>
        <w:rPr>
          <w:rFonts w:ascii="Arial" w:cs="Arial" w:eastAsia="Arial" w:hAnsi="Arial"/>
          <w:sz w:val="17"/>
          <w:szCs w:val="17"/>
          <w:b w:val="1"/>
          <w:bCs w:val="1"/>
          <w:u w:val="single" w:color="auto"/>
          <w:color w:val="auto"/>
        </w:rPr>
        <w:t>Amendment or Termination of Plan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4.9 hereof, the Board may at any time (a) terminate or amend this Plan in any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without limitation amendment of any form of Award Agreement or instrument to be executed pursuant to this Plan and (b) terminate any and all outstanding Options or SARs upon a dissolution or liquidation of the Company, followed by the payment of creditors and the distribution of any remaining funds to the Company’s stockholders;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172" w:lineRule="exact"/>
        <w:rPr>
          <w:sz w:val="20"/>
          <w:szCs w:val="20"/>
          <w:color w:val="auto"/>
        </w:rPr>
      </w:pPr>
    </w:p>
    <w:p>
      <w:pPr>
        <w:ind w:left="264" w:hanging="264"/>
        <w:spacing w:after="0"/>
        <w:tabs>
          <w:tab w:leader="none" w:pos="264"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purposes of this Plan, the following terms will have the following meanings.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for purposes of Section 11, means:</w:t>
      </w:r>
    </w:p>
    <w:p>
      <w:pPr>
        <w:spacing w:after="0" w:line="117" w:lineRule="exact"/>
        <w:rPr>
          <w:sz w:val="20"/>
          <w:szCs w:val="20"/>
          <w:color w:val="auto"/>
        </w:rPr>
      </w:pPr>
    </w:p>
    <w:p>
      <w:pPr>
        <w:ind w:left="4" w:right="100" w:hanging="4"/>
        <w:spacing w:after="0" w:line="275" w:lineRule="auto"/>
        <w:tabs>
          <w:tab w:leader="none" w:pos="249" w:val="left"/>
        </w:tabs>
        <w:numPr>
          <w:ilvl w:val="0"/>
          <w:numId w:val="428"/>
        </w:numPr>
        <w:rPr>
          <w:rFonts w:ascii="Arial" w:cs="Arial" w:eastAsia="Arial" w:hAnsi="Arial"/>
          <w:sz w:val="17"/>
          <w:szCs w:val="17"/>
          <w:color w:val="auto"/>
        </w:rPr>
      </w:pPr>
      <w:r>
        <w:rPr>
          <w:rFonts w:ascii="Arial" w:cs="Arial" w:eastAsia="Arial" w:hAnsi="Arial"/>
          <w:sz w:val="17"/>
          <w:szCs w:val="17"/>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76" w:lineRule="exact"/>
        <w:rPr>
          <w:rFonts w:ascii="Arial" w:cs="Arial" w:eastAsia="Arial" w:hAnsi="Arial"/>
          <w:sz w:val="17"/>
          <w:szCs w:val="17"/>
          <w:color w:val="auto"/>
        </w:rPr>
      </w:pPr>
    </w:p>
    <w:p>
      <w:pPr>
        <w:ind w:left="4" w:right="120" w:hanging="4"/>
        <w:spacing w:after="0" w:line="257" w:lineRule="auto"/>
        <w:tabs>
          <w:tab w:leader="none" w:pos="259"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187" w:lineRule="exact"/>
        <w:rPr>
          <w:rFonts w:ascii="Arial" w:cs="Arial" w:eastAsia="Arial" w:hAnsi="Arial"/>
          <w:sz w:val="18"/>
          <w:szCs w:val="18"/>
          <w:color w:val="auto"/>
        </w:rPr>
      </w:pPr>
    </w:p>
    <w:p>
      <w:pPr>
        <w:ind w:left="4" w:right="340" w:hanging="4"/>
        <w:spacing w:after="0" w:line="296" w:lineRule="auto"/>
        <w:tabs>
          <w:tab w:leader="none" w:pos="249"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6"/>
          <w:szCs w:val="16"/>
          <w:b w:val="1"/>
          <w:bCs w:val="1"/>
          <w:i w:val="1"/>
          <w:iCs w:val="1"/>
          <w:color w:val="auto"/>
        </w:rPr>
        <w:t>Acquisition by Sale of Assets</w:t>
      </w:r>
      <w:r>
        <w:rPr>
          <w:rFonts w:ascii="Arial" w:cs="Arial" w:eastAsia="Arial" w:hAnsi="Arial"/>
          <w:sz w:val="16"/>
          <w:szCs w:val="16"/>
          <w:color w:val="auto"/>
        </w:rPr>
        <w:t>”).</w:t>
      </w:r>
    </w:p>
    <w:p>
      <w:pPr>
        <w:spacing w:after="0" w:line="161" w:lineRule="exact"/>
        <w:rPr>
          <w:sz w:val="20"/>
          <w:szCs w:val="20"/>
          <w:color w:val="auto"/>
        </w:rPr>
      </w:pPr>
    </w:p>
    <w:p>
      <w:pPr>
        <w:ind w:left="4"/>
        <w:spacing w:after="0" w:line="259"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of a specified person means a person that directly, or indirectly through one or more intermediaries, controls or is controlled by, or is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with, the person specified (where, for purposes of this definition, the term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xml:space="preserve"> (including the terms </w:t>
      </w:r>
      <w:r>
        <w:rPr>
          <w:rFonts w:ascii="Arial" w:cs="Arial" w:eastAsia="Arial" w:hAnsi="Arial"/>
          <w:sz w:val="18"/>
          <w:szCs w:val="18"/>
          <w:b w:val="1"/>
          <w:bCs w:val="1"/>
          <w:i w:val="1"/>
          <w:iCs w:val="1"/>
          <w:color w:val="auto"/>
        </w:rPr>
        <w:t>controlling</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whether through the ownership of voting securities, by contract, or otherwise.</w:t>
      </w:r>
    </w:p>
    <w:p>
      <w:pPr>
        <w:spacing w:after="0" w:line="18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pursuant to the terms and conditions of this Plan, including any Option, Restricted Stock Unit, Stock Appreciation Right or Restricted Stock Award.</w:t>
      </w:r>
    </w:p>
    <w:p>
      <w:pPr>
        <w:spacing w:after="0" w:line="170"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signed written or electronic agreement between the Company and the Participant setting forth the terms and conditions of the Award as approved by the Committee. For purposes of the Plan, the Award Agreement may be executed via written or electronic means.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 (c) 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 reputation or business.</w:t>
      </w:r>
    </w:p>
    <w:p>
      <w:pPr>
        <w:sectPr>
          <w:pgSz w:w="11900" w:h="16838" w:orient="portrait"/>
          <w:cols w:equalWidth="0" w:num="1">
            <w:col w:w="11004"/>
          </w:cols>
          <w:pgMar w:left="436" w:top="269" w:right="459" w:bottom="1440" w:gutter="0" w:footer="0" w:header="0"/>
        </w:sectPr>
      </w:pPr>
    </w:p>
    <w:bookmarkStart w:id="529" w:name="page530"/>
    <w:bookmarkEnd w:id="52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committee created and appointed by the Board to administer this Plan, or if no committee is created and appointed, the Board.</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Aeglea BioTherapeutics, Inc., or any successor corporation.</w:t>
      </w:r>
    </w:p>
    <w:p>
      <w:pPr>
        <w:spacing w:after="0" w:line="225"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the price per Share at which a holder of an Option may purchase Shares issuable upon exercise of the Option.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117" w:lineRule="exact"/>
        <w:rPr>
          <w:sz w:val="20"/>
          <w:szCs w:val="20"/>
          <w:color w:val="auto"/>
        </w:rPr>
      </w:pPr>
    </w:p>
    <w:p>
      <w:pPr>
        <w:ind w:left="4" w:right="560" w:hanging="4"/>
        <w:spacing w:after="0" w:line="308" w:lineRule="auto"/>
        <w:tabs>
          <w:tab w:leader="none" w:pos="249"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if such Common Stock is then publicly traded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4" w:right="80" w:hanging="4"/>
        <w:spacing w:after="0" w:line="263" w:lineRule="auto"/>
        <w:tabs>
          <w:tab w:leader="none" w:pos="259"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not listed or admitted to trading on a national securities exchange, the average of the closing bid and asked prices on the date of determination as reported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if not so reported, as otherwise reported by any newspaper or other source as the Committee may determine); or</w:t>
      </w:r>
    </w:p>
    <w:p>
      <w:pPr>
        <w:spacing w:after="0" w:line="183" w:lineRule="exact"/>
        <w:rPr>
          <w:rFonts w:ascii="Arial" w:cs="Arial" w:eastAsia="Arial" w:hAnsi="Arial"/>
          <w:sz w:val="18"/>
          <w:szCs w:val="18"/>
          <w:color w:val="auto"/>
        </w:rPr>
      </w:pPr>
    </w:p>
    <w:p>
      <w:pPr>
        <w:ind w:left="244" w:hanging="244"/>
        <w:spacing w:after="0"/>
        <w:tabs>
          <w:tab w:leader="none" w:pos="24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if none of the foregoing is applicable to the valuation in question, by the Committee in good faith.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4 of this Plan.</w:t>
      </w:r>
    </w:p>
    <w:p>
      <w:pPr>
        <w:spacing w:after="0" w:line="225"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Combination</w:t>
      </w:r>
      <w:r>
        <w:rPr>
          <w:rFonts w:ascii="Arial" w:cs="Arial" w:eastAsia="Arial" w:hAnsi="Arial"/>
          <w:sz w:val="18"/>
          <w:szCs w:val="18"/>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consolidation, merger or conversion does not constitute an Acquisition.</w:t>
      </w:r>
    </w:p>
    <w:p>
      <w:pPr>
        <w:spacing w:after="0" w:line="184" w:lineRule="exact"/>
        <w:rPr>
          <w:sz w:val="20"/>
          <w:szCs w:val="20"/>
          <w:color w:val="auto"/>
        </w:rPr>
      </w:pPr>
    </w:p>
    <w:p>
      <w:pPr>
        <w:jc w:val="both"/>
        <w:ind w:left="4" w:right="6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of a specified entity means, any entity that, either directly or indirectly, owns or controls such specified entity, where for this purpose,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receives an Award under this Plan.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2015 Equity Incentive Plan, as amended from time to time.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at which a Participant may purchase Restricted Stock pursuant to this Plan.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purchased pursuant to a Restricted Stock Award under this Plan.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5 hereof.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made pursuant to Section 6 hereof.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xml:space="preserve">” means Rule 701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promulgated by the Commission under the Securities Act.</w:t>
      </w:r>
    </w:p>
    <w:p>
      <w:pPr>
        <w:sectPr>
          <w:pgSz w:w="11900" w:h="16838" w:orient="portrait"/>
          <w:cols w:equalWidth="0" w:num="1">
            <w:col w:w="11004"/>
          </w:cols>
          <w:pgMar w:left="436" w:top="273" w:right="459" w:bottom="1440" w:gutter="0" w:footer="0" w:header="0"/>
        </w:sectPr>
      </w:pPr>
    </w:p>
    <w:bookmarkStart w:id="530" w:name="page531"/>
    <w:bookmarkEnd w:id="5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25102(o)</w:t>
      </w:r>
      <w:r>
        <w:rPr>
          <w:rFonts w:ascii="Arial" w:cs="Arial" w:eastAsia="Arial" w:hAnsi="Arial"/>
          <w:sz w:val="18"/>
          <w:szCs w:val="18"/>
          <w:color w:val="auto"/>
        </w:rPr>
        <w:t>” means Section 25102(o) of the California Corporations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Common Stock reserved for issuance under this Plan, as adjusted pursuant to Sections 2.2 and 11 hereof, and any successor security.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an award granted pursuant to Section 7 hereof.</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Terminated</w:t>
      </w:r>
      <w:r>
        <w:rPr>
          <w:rFonts w:ascii="Arial" w:cs="Arial" w:eastAsia="Arial" w:hAnsi="Arial"/>
          <w:sz w:val="16"/>
          <w:szCs w:val="16"/>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as defined in the Award Agreement for an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as defined in the Award Agreement.</w:t>
      </w:r>
    </w:p>
    <w:p>
      <w:pPr>
        <w:sectPr>
          <w:pgSz w:w="11900" w:h="16838" w:orient="portrait"/>
          <w:cols w:equalWidth="0" w:num="1">
            <w:col w:w="11000"/>
          </w:cols>
          <w:pgMar w:left="440" w:top="273" w:right="459"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GRANT NO</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2015 EQUITY INCENTIVE PLAN</w:t>
      </w:r>
    </w:p>
    <w:p>
      <w:pPr>
        <w:spacing w:after="0" w:line="229" w:lineRule="exact"/>
        <w:rPr>
          <w:sz w:val="20"/>
          <w:szCs w:val="20"/>
          <w:color w:val="auto"/>
        </w:rPr>
      </w:pPr>
    </w:p>
    <w:p>
      <w:pPr>
        <w:ind w:left="4" w:right="200"/>
        <w:spacing w:after="0" w:line="279" w:lineRule="auto"/>
        <w:rPr>
          <w:sz w:val="20"/>
          <w:szCs w:val="20"/>
          <w:color w:val="auto"/>
        </w:rPr>
      </w:pPr>
      <w:r>
        <w:rPr>
          <w:rFonts w:ascii="Arial" w:cs="Arial" w:eastAsia="Arial" w:hAnsi="Arial"/>
          <w:sz w:val="17"/>
          <w:szCs w:val="17"/>
          <w:color w:val="auto"/>
        </w:rPr>
        <w:t>The Optionee named below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has been granted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$0.001 par value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Aeglea BioTherapeutics,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the Company’s 2015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on the terms, and subject to the conditions, described below and in the Stock Option Agreement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including its annexes (the “</w:t>
      </w:r>
      <w:r>
        <w:rPr>
          <w:rFonts w:ascii="Arial" w:cs="Arial" w:eastAsia="Arial" w:hAnsi="Arial"/>
          <w:sz w:val="17"/>
          <w:szCs w:val="17"/>
          <w:b w:val="1"/>
          <w:bCs w:val="1"/>
          <w:i w:val="1"/>
          <w:iCs w:val="1"/>
          <w:color w:val="auto"/>
        </w:rPr>
        <w:t>Stock Option Agreement</w:t>
      </w:r>
      <w:r>
        <w:rPr>
          <w:rFonts w:ascii="Arial" w:cs="Arial" w:eastAsia="Arial" w:hAnsi="Arial"/>
          <w:sz w:val="17"/>
          <w:szCs w:val="17"/>
          <w:color w:val="auto"/>
        </w:rPr>
        <w:t>”).</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Optionee:</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306"/>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w w:val="92"/>
              </w:rPr>
              <w:t>Maximum Number of Shares Subject to</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234"/>
        </w:trPr>
        <w:tc>
          <w:tcPr>
            <w:tcW w:w="3120" w:type="dxa"/>
            <w:vAlign w:val="bottom"/>
            <w:gridSpan w:val="3"/>
          </w:tcPr>
          <w:p>
            <w:pPr>
              <w:ind w:left="180"/>
              <w:spacing w:after="0"/>
              <w:rPr>
                <w:sz w:val="20"/>
                <w:szCs w:val="20"/>
                <w:color w:val="auto"/>
              </w:rPr>
            </w:pPr>
            <w:r>
              <w:rPr>
                <w:rFonts w:ascii="Arial" w:cs="Arial" w:eastAsia="Arial" w:hAnsi="Arial"/>
                <w:sz w:val="18"/>
                <w:szCs w:val="18"/>
                <w:b w:val="1"/>
                <w:bCs w:val="1"/>
                <w:color w:val="auto"/>
              </w:rPr>
              <w:t>this Option (the “Shares”):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324"/>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Exercise Price Per Share:</w:t>
            </w:r>
          </w:p>
        </w:tc>
        <w:tc>
          <w:tcPr>
            <w:tcW w:w="7660" w:type="dxa"/>
            <w:vAlign w:val="bottom"/>
            <w:gridSpan w:val="3"/>
          </w:tcPr>
          <w:p>
            <w:pPr>
              <w:ind w:left="80"/>
              <w:spacing w:after="0"/>
              <w:rPr>
                <w:sz w:val="20"/>
                <w:szCs w:val="20"/>
                <w:color w:val="auto"/>
              </w:rPr>
            </w:pPr>
            <w:r>
              <w:rPr>
                <w:rFonts w:ascii="Arial" w:cs="Arial" w:eastAsia="Arial" w:hAnsi="Arial"/>
                <w:sz w:val="18"/>
                <w:szCs w:val="18"/>
                <w:color w:val="auto"/>
              </w:rPr>
              <w:t>$ per share</w:t>
            </w:r>
          </w:p>
        </w:tc>
      </w:tr>
      <w:tr>
        <w:trPr>
          <w:trHeight w:val="324"/>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Date of Grant:</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324"/>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Vesting Start Date:</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310"/>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Exercise Schedule:</w:t>
            </w:r>
          </w:p>
        </w:tc>
        <w:tc>
          <w:tcPr>
            <w:tcW w:w="7660" w:type="dxa"/>
            <w:vAlign w:val="bottom"/>
            <w:gridSpan w:val="3"/>
          </w:tcPr>
          <w:p>
            <w:pPr>
              <w:ind w:left="80"/>
              <w:spacing w:after="0"/>
              <w:rPr>
                <w:sz w:val="20"/>
                <w:szCs w:val="20"/>
                <w:color w:val="auto"/>
              </w:rPr>
            </w:pPr>
            <w:r>
              <w:rPr>
                <w:rFonts w:ascii="Arial" w:cs="Arial" w:eastAsia="Arial" w:hAnsi="Arial"/>
                <w:sz w:val="18"/>
                <w:szCs w:val="18"/>
                <w:color w:val="auto"/>
                <w:w w:val="91"/>
              </w:rPr>
              <w:t>This Option will become exercisable during its term with respect to portions of the Shares in accordance</w:t>
            </w: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660" w:type="dxa"/>
            <w:vAlign w:val="bottom"/>
            <w:gridSpan w:val="3"/>
          </w:tcPr>
          <w:p>
            <w:pPr>
              <w:ind w:left="80"/>
              <w:spacing w:after="0"/>
              <w:rPr>
                <w:sz w:val="20"/>
                <w:szCs w:val="20"/>
                <w:color w:val="auto"/>
              </w:rPr>
            </w:pPr>
            <w:r>
              <w:rPr>
                <w:rFonts w:ascii="Arial" w:cs="Arial" w:eastAsia="Arial" w:hAnsi="Arial"/>
                <w:sz w:val="18"/>
                <w:szCs w:val="18"/>
                <w:color w:val="auto"/>
              </w:rPr>
              <w:t>with the Vesting Schedule set forth below.</w:t>
            </w:r>
          </w:p>
        </w:tc>
      </w:tr>
      <w:tr>
        <w:trPr>
          <w:trHeight w:val="310"/>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Expiration Date:</w:t>
            </w:r>
          </w:p>
        </w:tc>
        <w:tc>
          <w:tcPr>
            <w:tcW w:w="7660" w:type="dxa"/>
            <w:vAlign w:val="bottom"/>
            <w:gridSpan w:val="3"/>
          </w:tcPr>
          <w:p>
            <w:pPr>
              <w:ind w:left="80"/>
              <w:spacing w:after="0"/>
              <w:rPr>
                <w:sz w:val="20"/>
                <w:szCs w:val="20"/>
                <w:color w:val="auto"/>
              </w:rPr>
            </w:pPr>
            <w:r>
              <w:rPr>
                <w:rFonts w:ascii="Arial" w:cs="Arial" w:eastAsia="Arial" w:hAnsi="Arial"/>
                <w:sz w:val="18"/>
                <w:szCs w:val="18"/>
                <w:color w:val="auto"/>
                <w:w w:val="90"/>
              </w:rPr>
              <w:t>The date ten (10) years after the Date of Grant set forth above, subject to earlier expiration in the event of</w:t>
            </w: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660" w:type="dxa"/>
            <w:vAlign w:val="bottom"/>
            <w:gridSpan w:val="3"/>
          </w:tcPr>
          <w:p>
            <w:pPr>
              <w:ind w:left="80"/>
              <w:spacing w:after="0"/>
              <w:rPr>
                <w:sz w:val="20"/>
                <w:szCs w:val="20"/>
                <w:color w:val="auto"/>
              </w:rPr>
            </w:pPr>
            <w:r>
              <w:rPr>
                <w:rFonts w:ascii="Arial" w:cs="Arial" w:eastAsia="Arial" w:hAnsi="Arial"/>
                <w:sz w:val="18"/>
                <w:szCs w:val="18"/>
                <w:color w:val="auto"/>
              </w:rPr>
              <w:t>Termination as provided in Section 3 of the Stock Option Agreement.</w:t>
            </w: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Tax Status of Option:</w:t>
            </w:r>
          </w:p>
        </w:tc>
        <w:tc>
          <w:tcPr>
            <w:tcW w:w="7660" w:type="dxa"/>
            <w:vAlign w:val="bottom"/>
            <w:gridSpan w:val="3"/>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 (</w:t>
            </w:r>
            <w:r>
              <w:rPr>
                <w:rFonts w:ascii="Arial" w:cs="Arial" w:eastAsia="Arial" w:hAnsi="Arial"/>
                <w:sz w:val="18"/>
                <w:szCs w:val="18"/>
                <w:i w:val="1"/>
                <w:iCs w:val="1"/>
                <w:color w:val="auto"/>
              </w:rPr>
              <w:t>To the fullest extent permitted by the Code</w:t>
            </w:r>
            <w:r>
              <w:rPr>
                <w:rFonts w:ascii="Arial" w:cs="Arial" w:eastAsia="Arial" w:hAnsi="Arial"/>
                <w:sz w:val="18"/>
                <w:szCs w:val="18"/>
                <w:color w:val="auto"/>
              </w:rPr>
              <w:t>)</w:t>
            </w:r>
          </w:p>
        </w:tc>
      </w:tr>
      <w:tr>
        <w:trPr>
          <w:trHeight w:val="229"/>
        </w:trPr>
        <w:tc>
          <w:tcPr>
            <w:tcW w:w="3120" w:type="dxa"/>
            <w:vAlign w:val="bottom"/>
            <w:gridSpan w:val="3"/>
          </w:tcPr>
          <w:p>
            <w:pPr>
              <w:spacing w:after="0"/>
              <w:rPr>
                <w:sz w:val="20"/>
                <w:szCs w:val="20"/>
                <w:color w:val="auto"/>
              </w:rPr>
            </w:pPr>
            <w:r>
              <w:rPr>
                <w:rFonts w:ascii="Arial" w:cs="Arial" w:eastAsia="Arial" w:hAnsi="Arial"/>
                <w:sz w:val="18"/>
                <w:szCs w:val="18"/>
                <w:color w:val="auto"/>
              </w:rPr>
              <w:t xml:space="preserve">(Check </w:t>
            </w:r>
            <w:r>
              <w:rPr>
                <w:rFonts w:ascii="Arial" w:cs="Arial" w:eastAsia="Arial" w:hAnsi="Arial"/>
                <w:sz w:val="18"/>
                <w:szCs w:val="18"/>
                <w:i w:val="1"/>
                <w:iCs w:val="1"/>
                <w:color w:val="auto"/>
              </w:rPr>
              <w:t>Only</w:t>
            </w:r>
            <w:r>
              <w:rPr>
                <w:rFonts w:ascii="Arial" w:cs="Arial" w:eastAsia="Arial" w:hAnsi="Arial"/>
                <w:sz w:val="18"/>
                <w:szCs w:val="18"/>
                <w:color w:val="auto"/>
              </w:rPr>
              <w:t xml:space="preserve"> One Box):</w:t>
            </w:r>
          </w:p>
        </w:tc>
        <w:tc>
          <w:tcPr>
            <w:tcW w:w="7660" w:type="dxa"/>
            <w:vAlign w:val="bottom"/>
            <w:gridSpan w:val="3"/>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Stock Option.</w:t>
            </w:r>
          </w:p>
        </w:tc>
      </w:tr>
      <w:tr>
        <w:trPr>
          <w:trHeight w:val="196"/>
        </w:trPr>
        <w:tc>
          <w:tcPr>
            <w:tcW w:w="5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7660" w:type="dxa"/>
            <w:vAlign w:val="bottom"/>
            <w:gridSpan w:val="3"/>
          </w:tcPr>
          <w:p>
            <w:pPr>
              <w:ind w:left="8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neither box is checked, this Option is a Nonqualified Stock Option</w:t>
            </w:r>
            <w:r>
              <w:rPr>
                <w:rFonts w:ascii="Arial" w:cs="Arial" w:eastAsia="Arial" w:hAnsi="Arial"/>
                <w:sz w:val="18"/>
                <w:szCs w:val="18"/>
                <w:color w:val="auto"/>
              </w:rPr>
              <w:t>).</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4" w:right="300"/>
        <w:spacing w:after="0" w:line="289" w:lineRule="auto"/>
        <w:rPr>
          <w:sz w:val="20"/>
          <w:szCs w:val="20"/>
          <w:color w:val="auto"/>
        </w:rPr>
      </w:pPr>
      <w:r>
        <w:rPr>
          <w:rFonts w:ascii="Arial" w:cs="Arial" w:eastAsia="Arial" w:hAnsi="Arial"/>
          <w:sz w:val="16"/>
          <w:szCs w:val="16"/>
          <w:b w:val="1"/>
          <w:bCs w:val="1"/>
          <w:color w:val="auto"/>
        </w:rPr>
        <w:t xml:space="preserve">Vesting Schedule [EXAMPLE ONLY]: </w:t>
      </w:r>
      <w:r>
        <w:rPr>
          <w:rFonts w:ascii="Arial" w:cs="Arial" w:eastAsia="Arial" w:hAnsi="Arial"/>
          <w:sz w:val="16"/>
          <w:szCs w:val="16"/>
          <w:color w:val="auto"/>
        </w:rPr>
        <w:t>For so long as Optionee continuously provides services to the Company (or any Subsidiary or Parent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an employee, officer, director, contractor or consultant, this Option will vest (that is, become exercisable) with respect to the Shares as follows: (a) prior to the first one (1) year anniversary of the Vesting Start Date this Option will not be vested or exercisable as to any of the Shares;</w:t>
      </w:r>
    </w:p>
    <w:p>
      <w:pPr>
        <w:spacing w:after="0" w:line="2" w:lineRule="exact"/>
        <w:rPr>
          <w:sz w:val="20"/>
          <w:szCs w:val="20"/>
          <w:color w:val="auto"/>
        </w:rPr>
      </w:pPr>
    </w:p>
    <w:p>
      <w:pPr>
        <w:ind w:left="264" w:hanging="264"/>
        <w:spacing w:after="0"/>
        <w:tabs>
          <w:tab w:leader="none" w:pos="264" w:val="left"/>
        </w:tabs>
        <w:numPr>
          <w:ilvl w:val="0"/>
          <w:numId w:val="430"/>
        </w:numPr>
        <w:rPr>
          <w:rFonts w:ascii="Arial" w:cs="Arial" w:eastAsia="Arial" w:hAnsi="Arial"/>
          <w:sz w:val="16"/>
          <w:szCs w:val="16"/>
          <w:color w:val="auto"/>
        </w:rPr>
      </w:pPr>
      <w:r>
        <w:rPr>
          <w:rFonts w:ascii="Arial" w:cs="Arial" w:eastAsia="Arial" w:hAnsi="Arial"/>
          <w:sz w:val="16"/>
          <w:szCs w:val="16"/>
          <w:color w:val="auto"/>
        </w:rPr>
        <w:t>this Option will become vested and exercisable with respect to [</w:t>
      </w:r>
      <w:r>
        <w:rPr>
          <w:rFonts w:ascii="Arial" w:cs="Arial" w:eastAsia="Arial" w:hAnsi="Arial"/>
          <w:sz w:val="16"/>
          <w:szCs w:val="16"/>
          <w:b w:val="1"/>
          <w:bCs w:val="1"/>
          <w:color w:val="auto"/>
        </w:rPr>
        <w:t>1/4th]</w:t>
      </w:r>
      <w:r>
        <w:rPr>
          <w:rFonts w:ascii="Arial" w:cs="Arial" w:eastAsia="Arial" w:hAnsi="Arial"/>
          <w:sz w:val="16"/>
          <w:szCs w:val="16"/>
          <w:color w:val="auto"/>
        </w:rPr>
        <w:t xml:space="preserve"> of the Shares on the one (1) year anniversary of the Vesting Start Date; and</w:t>
      </w:r>
    </w:p>
    <w:p>
      <w:pPr>
        <w:spacing w:after="0" w:line="32" w:lineRule="exact"/>
        <w:rPr>
          <w:rFonts w:ascii="Arial" w:cs="Arial" w:eastAsia="Arial" w:hAnsi="Arial"/>
          <w:sz w:val="16"/>
          <w:szCs w:val="16"/>
          <w:color w:val="auto"/>
        </w:rPr>
      </w:pPr>
    </w:p>
    <w:p>
      <w:pPr>
        <w:ind w:left="4" w:right="100" w:hanging="4"/>
        <w:spacing w:after="0" w:line="260" w:lineRule="auto"/>
        <w:tabs>
          <w:tab w:leader="none" w:pos="249"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thereafter, this Option will become vested and exercisable with respect to an additional [</w:t>
      </w:r>
      <w:r>
        <w:rPr>
          <w:rFonts w:ascii="Arial" w:cs="Arial" w:eastAsia="Arial" w:hAnsi="Arial"/>
          <w:sz w:val="18"/>
          <w:szCs w:val="18"/>
          <w:b w:val="1"/>
          <w:bCs w:val="1"/>
          <w:color w:val="auto"/>
        </w:rPr>
        <w:t>1/48th</w:t>
      </w:r>
      <w:r>
        <w:rPr>
          <w:rFonts w:ascii="Arial" w:cs="Arial" w:eastAsia="Arial" w:hAnsi="Arial"/>
          <w:sz w:val="18"/>
          <w:szCs w:val="18"/>
          <w:color w:val="auto"/>
        </w:rPr>
        <w:t>] of the Shares when Optionee completes each month of continuous service following the first one (1) year anniversary of the Vesting Start Date.</w:t>
      </w:r>
    </w:p>
    <w:p>
      <w:pPr>
        <w:spacing w:after="0" w:line="181"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b w:val="1"/>
          <w:bCs w:val="1"/>
          <w:color w:val="auto"/>
        </w:rPr>
        <w:t xml:space="preserve">General; Agreement: </w:t>
      </w:r>
      <w:r>
        <w:rPr>
          <w:rFonts w:ascii="Arial" w:cs="Arial" w:eastAsia="Arial" w:hAnsi="Arial"/>
          <w:sz w:val="17"/>
          <w:szCs w:val="17"/>
          <w:color w:val="auto"/>
        </w:rPr>
        <w:t>By their signatures below, Optionee and the Company agree that this Option is granted under and governed by this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Grant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w:t>
      </w:r>
    </w:p>
    <w:p>
      <w:pPr>
        <w:sectPr>
          <w:pgSz w:w="11900" w:h="16838" w:orient="portrait"/>
          <w:cols w:equalWidth="0" w:num="1">
            <w:col w:w="11024"/>
          </w:cols>
          <w:pgMar w:left="436" w:top="269" w:right="439" w:bottom="1440" w:gutter="0" w:footer="0" w:header="0"/>
        </w:sectPr>
      </w:pPr>
    </w:p>
    <w:bookmarkStart w:id="532" w:name="page533"/>
    <w:bookmarkEnd w:id="532"/>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Execution and Delivery: </w:t>
      </w:r>
      <w:r>
        <w:rPr>
          <w:rFonts w:ascii="Arial" w:cs="Arial" w:eastAsia="Arial" w:hAnsi="Arial"/>
          <w:sz w:val="17"/>
          <w:szCs w:val="17"/>
          <w:color w:val="auto"/>
        </w:rPr>
        <w:t>This Grant Notice may be executed and delivered electronically whether via the Company’s intranet or the Internet site of a</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7"/>
          <w:szCs w:val="17"/>
          <w:b w:val="1"/>
          <w:bCs w:val="1"/>
          <w:i w:val="1"/>
          <w:iCs w:val="1"/>
          <w:color w:val="auto"/>
        </w:rPr>
        <w:t>701 Disclosures</w:t>
      </w:r>
      <w:r>
        <w:rPr>
          <w:rFonts w:ascii="Arial" w:cs="Arial" w:eastAsia="Arial" w:hAnsi="Arial"/>
          <w:sz w:val="17"/>
          <w:szCs w:val="17"/>
          <w:color w:val="auto"/>
        </w:rPr>
        <w:t>”), account statements, or other communications or information) whether via the Company’s intranet or the Internet site of such third party or via email or such other means of electronic delivery specified by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Aeglea BioTherapeutics, Inc.</w:t>
            </w:r>
          </w:p>
        </w:tc>
        <w:tc>
          <w:tcPr>
            <w:tcW w:w="214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w w:val="98"/>
              </w:rPr>
              <w:t>By/Signature:</w:t>
            </w:r>
          </w:p>
        </w:tc>
        <w:tc>
          <w:tcPr>
            <w:tcW w:w="3740" w:type="dxa"/>
            <w:vAlign w:val="bottom"/>
            <w:tcBorders>
              <w:bottom w:val="single" w:sz="8" w:color="auto"/>
            </w:tcBorders>
          </w:tcPr>
          <w:p>
            <w:pPr>
              <w:spacing w:after="0"/>
              <w:rPr>
                <w:sz w:val="24"/>
                <w:szCs w:val="24"/>
                <w:color w:val="auto"/>
              </w:rPr>
            </w:pPr>
          </w:p>
        </w:tc>
        <w:tc>
          <w:tcPr>
            <w:tcW w:w="2140" w:type="dxa"/>
            <w:vAlign w:val="bottom"/>
          </w:tcPr>
          <w:p>
            <w:pPr>
              <w:ind w:left="700"/>
              <w:spacing w:after="0"/>
              <w:rPr>
                <w:sz w:val="20"/>
                <w:szCs w:val="20"/>
                <w:color w:val="auto"/>
              </w:rPr>
            </w:pPr>
            <w:r>
              <w:rPr>
                <w:rFonts w:ascii="Arial" w:cs="Arial" w:eastAsia="Arial" w:hAnsi="Arial"/>
                <w:sz w:val="18"/>
                <w:szCs w:val="18"/>
                <w:color w:val="auto"/>
                <w:w w:val="88"/>
              </w:rPr>
              <w:t>Optionee Signature:</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w w:val="98"/>
              </w:rPr>
              <w:t>Typed Name:</w:t>
            </w:r>
          </w:p>
        </w:tc>
        <w:tc>
          <w:tcPr>
            <w:tcW w:w="3740" w:type="dxa"/>
            <w:vAlign w:val="bottom"/>
            <w:tcBorders>
              <w:bottom w:val="single" w:sz="8" w:color="auto"/>
            </w:tcBorders>
          </w:tcPr>
          <w:p>
            <w:pPr>
              <w:spacing w:after="0"/>
              <w:rPr>
                <w:sz w:val="24"/>
                <w:szCs w:val="24"/>
                <w:color w:val="auto"/>
              </w:rPr>
            </w:pPr>
          </w:p>
        </w:tc>
        <w:tc>
          <w:tcPr>
            <w:tcW w:w="2140" w:type="dxa"/>
            <w:vAlign w:val="bottom"/>
          </w:tcPr>
          <w:p>
            <w:pPr>
              <w:ind w:left="700"/>
              <w:spacing w:after="0"/>
              <w:rPr>
                <w:sz w:val="20"/>
                <w:szCs w:val="20"/>
                <w:color w:val="auto"/>
              </w:rPr>
            </w:pPr>
            <w:r>
              <w:rPr>
                <w:rFonts w:ascii="Arial" w:cs="Arial" w:eastAsia="Arial" w:hAnsi="Arial"/>
                <w:sz w:val="18"/>
                <w:szCs w:val="18"/>
                <w:color w:val="auto"/>
                <w:w w:val="98"/>
              </w:rPr>
              <w:t>Optionee’s Name:</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42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ATTACHMENT</w:t>
            </w:r>
            <w:r>
              <w:rPr>
                <w:rFonts w:ascii="Arial" w:cs="Arial" w:eastAsia="Arial" w:hAnsi="Arial"/>
                <w:sz w:val="18"/>
                <w:szCs w:val="18"/>
                <w:color w:val="auto"/>
              </w:rPr>
              <w:t>: Exhibit A - Stock Option Agreement</w:t>
            </w: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-487680</wp:posOffset>
            </wp:positionV>
            <wp:extent cx="244284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0">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-693420</wp:posOffset>
            </wp:positionV>
            <wp:extent cx="244284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ectPr>
          <w:pgSz w:w="11900" w:h="16838" w:orient="portrait"/>
          <w:cols w:equalWidth="0" w:num="1">
            <w:col w:w="10800"/>
          </w:cols>
          <w:pgMar w:left="440" w:top="269" w:right="659" w:bottom="1440" w:gutter="0" w:footer="0" w:header="0"/>
        </w:sectPr>
      </w:pPr>
    </w:p>
    <w:bookmarkStart w:id="533" w:name="page534"/>
    <w:bookmarkEnd w:id="53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Agreement</w:t>
      </w:r>
    </w:p>
    <w:p>
      <w:pPr>
        <w:sectPr>
          <w:pgSz w:w="11900" w:h="16838" w:orient="portrait"/>
          <w:cols w:equalWidth="0" w:num="1">
            <w:col w:w="9019"/>
          </w:cols>
          <w:pgMar w:left="1440" w:top="269" w:right="1440" w:bottom="1440" w:gutter="0" w:footer="0" w:header="0"/>
        </w:sectPr>
      </w:pPr>
    </w:p>
    <w:bookmarkStart w:id="534" w:name="page535"/>
    <w:bookmarkEnd w:id="534"/>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OPTION AGREEMENT</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EGLEA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This Stock Option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the date of grant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set forth on the Notice of Stock Option Grant attached as the facing page to this Agreement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by and between Aeglea BioTherapeutics,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optionee named on the Grant Notice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Capitalized terms not defined in this Agreement shall have the meaning ascribed to them in the Company’s 2015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or in the Grant Notice, as applicable.</w:t>
      </w:r>
    </w:p>
    <w:p>
      <w:pPr>
        <w:spacing w:after="0" w:line="153" w:lineRule="exact"/>
        <w:rPr>
          <w:sz w:val="20"/>
          <w:szCs w:val="20"/>
          <w:color w:val="auto"/>
        </w:rPr>
      </w:pPr>
    </w:p>
    <w:p>
      <w:pPr>
        <w:ind w:left="4" w:right="120" w:hanging="4"/>
        <w:spacing w:after="0" w:line="256" w:lineRule="auto"/>
        <w:tabs>
          <w:tab w:leader="none" w:pos="184"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The Company hereby grants to Optionee an option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up to the total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the Company, $0.001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set forth in the Grant Notice as the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at the Exercise Price Per Share set forth in the Grant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subject to all of the terms and conditions of the Grant Notice, this Agreement and the Plan. If designated as an Incentive Stock Option in the Grant Notice, this Option is intended to qualify as an incentive stock option (the “</w:t>
      </w:r>
      <w:r>
        <w:rPr>
          <w:rFonts w:ascii="Arial" w:cs="Arial" w:eastAsia="Arial" w:hAnsi="Arial"/>
          <w:sz w:val="18"/>
          <w:szCs w:val="18"/>
          <w:b w:val="1"/>
          <w:bCs w:val="1"/>
          <w:i w:val="1"/>
          <w:iCs w:val="1"/>
          <w:color w:val="auto"/>
        </w:rPr>
        <w:t>ISO</w:t>
      </w:r>
      <w:r>
        <w:rPr>
          <w:rFonts w:ascii="Arial" w:cs="Arial" w:eastAsia="Arial" w:hAnsi="Arial"/>
          <w:sz w:val="18"/>
          <w:szCs w:val="18"/>
          <w:color w:val="auto"/>
        </w:rPr>
        <w:t>”) within the meaning of Section 422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except that if on the Date of Grant Optionee is not subject to U.S. income tax, then this Option shall be a NQSO.</w:t>
      </w:r>
    </w:p>
    <w:p>
      <w:pPr>
        <w:spacing w:after="0" w:line="187" w:lineRule="exact"/>
        <w:rPr>
          <w:rFonts w:ascii="Arial" w:cs="Arial" w:eastAsia="Arial" w:hAnsi="Arial"/>
          <w:sz w:val="18"/>
          <w:szCs w:val="18"/>
          <w:b w:val="1"/>
          <w:bCs w:val="1"/>
          <w:color w:val="auto"/>
        </w:rPr>
      </w:pPr>
    </w:p>
    <w:p>
      <w:pPr>
        <w:ind w:left="184" w:hanging="184"/>
        <w:spacing w:after="0"/>
        <w:tabs>
          <w:tab w:leader="none" w:pos="184"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PERIOD.</w:t>
      </w:r>
    </w:p>
    <w:p>
      <w:pPr>
        <w:spacing w:after="0" w:line="225" w:lineRule="exact"/>
        <w:rPr>
          <w:sz w:val="20"/>
          <w:szCs w:val="20"/>
          <w:color w:val="auto"/>
        </w:rPr>
      </w:pPr>
    </w:p>
    <w:p>
      <w:pPr>
        <w:ind w:left="4"/>
        <w:spacing w:after="0" w:line="281"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Exercise Period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considered to be “vested” with respect to any particular Shares when this Option is exercisable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65" w:lineRule="exact"/>
        <w:rPr>
          <w:sz w:val="20"/>
          <w:szCs w:val="20"/>
          <w:color w:val="auto"/>
        </w:rPr>
      </w:pPr>
    </w:p>
    <w:p>
      <w:pPr>
        <w:ind w:left="4" w:right="220"/>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Vesting of Option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with respect to which this Option is vested and exercisable at a given time pursuant to the Vesting Schedule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Grant Notice are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Shares with respect to which this Option is not vested and exercisable at a given time pursuant to the Vesting Schedule set forth in the Grant Notice are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expire on the Expiration Date set forth in the Grant Notice or earlier as provided in Section 3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 TERMINATION.</w:t>
      </w:r>
    </w:p>
    <w:p>
      <w:pPr>
        <w:spacing w:after="0" w:line="225" w:lineRule="exact"/>
        <w:rPr>
          <w:sz w:val="20"/>
          <w:szCs w:val="20"/>
          <w:color w:val="auto"/>
        </w:rPr>
      </w:pPr>
    </w:p>
    <w:p>
      <w:pPr>
        <w:ind w:left="4" w:right="100"/>
        <w:spacing w:after="0" w:line="29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Termination for Any Reason Except Death, Disability 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in subsection 3.2 in a case in which Optionee dies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three (3) months after Optionee’s Termination Date (but in no event may this Option be exercised after the Expiration Date).</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Termination Because of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is Terminated because of Optionee’s death or Disability (or if Optionee dies within three</w:t>
      </w:r>
    </w:p>
    <w:p>
      <w:pPr>
        <w:spacing w:after="0" w:line="50" w:lineRule="exact"/>
        <w:rPr>
          <w:sz w:val="20"/>
          <w:szCs w:val="20"/>
          <w:color w:val="auto"/>
        </w:rPr>
      </w:pPr>
    </w:p>
    <w:p>
      <w:pPr>
        <w:ind w:left="4" w:right="180" w:hanging="4"/>
        <w:spacing w:after="0" w:line="253" w:lineRule="auto"/>
        <w:tabs>
          <w:tab w:leader="none" w:pos="259" w:val="left"/>
        </w:tabs>
        <w:numPr>
          <w:ilvl w:val="0"/>
          <w:numId w:val="432"/>
        </w:numPr>
        <w:rPr>
          <w:rFonts w:ascii="Arial" w:cs="Arial" w:eastAsia="Arial" w:hAnsi="Arial"/>
          <w:sz w:val="18"/>
          <w:szCs w:val="18"/>
          <w:color w:val="auto"/>
        </w:rPr>
      </w:pPr>
      <w:r>
        <w:rPr>
          <w:rFonts w:ascii="Arial" w:cs="Arial" w:eastAsia="Arial" w:hAnsi="Arial"/>
          <w:sz w:val="18"/>
          <w:szCs w:val="18"/>
          <w:color w:val="auto"/>
        </w:rPr>
        <w:t>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w:t>
      </w:r>
    </w:p>
    <w:p>
      <w:pPr>
        <w:sectPr>
          <w:pgSz w:w="11900" w:h="16838" w:orient="portrait"/>
          <w:cols w:equalWidth="0" w:num="1">
            <w:col w:w="10984"/>
          </w:cols>
          <w:pgMar w:left="436" w:top="269" w:right="479" w:bottom="1440" w:gutter="0" w:footer="0" w:header="0"/>
        </w:sectPr>
      </w:pPr>
    </w:p>
    <w:bookmarkStart w:id="535" w:name="page536"/>
    <w:bookmarkEnd w:id="535"/>
    <w:p>
      <w:pPr>
        <w:ind w:left="4"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53" w:lineRule="exact"/>
        <w:rPr>
          <w:sz w:val="20"/>
          <w:szCs w:val="20"/>
          <w:color w:val="auto"/>
        </w:rPr>
      </w:pPr>
    </w:p>
    <w:p>
      <w:pPr>
        <w:ind w:left="4" w:right="20"/>
        <w:spacing w:after="0" w:line="303"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is Terminated for Cause, then Optionee may exercise this Option, but only with respect to any Shares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151"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this Agreement shall confer on Optionee any right to continue in the employ of,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MANNER OF EXERCISE.</w:t>
      </w:r>
    </w:p>
    <w:p>
      <w:pPr>
        <w:spacing w:after="0" w:line="225" w:lineRule="exact"/>
        <w:rPr>
          <w:sz w:val="20"/>
          <w:szCs w:val="20"/>
          <w:color w:val="auto"/>
        </w:rPr>
      </w:pPr>
    </w:p>
    <w:p>
      <w:pPr>
        <w:ind w:left="4" w:right="240"/>
        <w:spacing w:after="0" w:line="289"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Stock Option Exercise Notice and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exercise this Option, Optionee (or in the case of exercise after Optionee’s death or incapacity,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Optionee’s executor, administrator, heir or legatee, as the case may be) must deliver to the Company an executed Stock Option Exercise Notice and Agreement in the form attached hereto as </w:t>
      </w:r>
      <w:r>
        <w:rPr>
          <w:rFonts w:ascii="Arial" w:cs="Arial" w:eastAsia="Arial" w:hAnsi="Arial"/>
          <w:sz w:val="16"/>
          <w:szCs w:val="16"/>
          <w:b w:val="1"/>
          <w:bCs w:val="1"/>
          <w:u w:val="single" w:color="auto"/>
          <w:color w:val="auto"/>
        </w:rPr>
        <w:t>Annex A</w:t>
      </w:r>
      <w:r>
        <w:rPr>
          <w:rFonts w:ascii="Arial" w:cs="Arial" w:eastAsia="Arial" w:hAnsi="Arial"/>
          <w:sz w:val="16"/>
          <w:szCs w:val="16"/>
          <w:color w:val="auto"/>
        </w:rPr>
        <w:t>, or in such other form as may be approved by the Committee from time to time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payment for the shares being purchased in accordance with this Agreement. The Exercise Agreement shall set forth,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66" w:lineRule="exact"/>
        <w:rPr>
          <w:sz w:val="20"/>
          <w:szCs w:val="20"/>
          <w:color w:val="auto"/>
        </w:rPr>
      </w:pPr>
    </w:p>
    <w:p>
      <w:pPr>
        <w:ind w:left="4" w:right="360"/>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may not be exercised unless such exercise is in compliance with all applicable federal and state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laws, as they are in effect on the date of exercise.</w:t>
      </w:r>
    </w:p>
    <w:p>
      <w:pPr>
        <w:spacing w:after="0" w:line="162" w:lineRule="exact"/>
        <w:rPr>
          <w:sz w:val="20"/>
          <w:szCs w:val="20"/>
          <w:color w:val="auto"/>
        </w:rPr>
      </w:pPr>
    </w:p>
    <w:p>
      <w:pPr>
        <w:ind w:left="4" w:right="160"/>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Agreement shall be accompanied by full payment of the Exercise Price for the shares being purchased in cash (by check or</w:t>
      </w:r>
      <w:r>
        <w:rPr>
          <w:rFonts w:ascii="Arial" w:cs="Arial" w:eastAsia="Arial" w:hAnsi="Arial"/>
          <w:sz w:val="18"/>
          <w:szCs w:val="18"/>
          <w:b w:val="1"/>
          <w:bCs w:val="1"/>
          <w:color w:val="auto"/>
        </w:rPr>
        <w:t xml:space="preserve"> </w:t>
      </w:r>
      <w:r>
        <w:rPr>
          <w:rFonts w:ascii="Arial" w:cs="Arial" w:eastAsia="Arial" w:hAnsi="Arial"/>
          <w:sz w:val="18"/>
          <w:szCs w:val="18"/>
          <w:color w:val="auto"/>
        </w:rPr>
        <w:t>wire transfer), or where permitted by law:</w:t>
      </w:r>
    </w:p>
    <w:p>
      <w:pPr>
        <w:spacing w:after="0" w:line="58" w:lineRule="exact"/>
        <w:rPr>
          <w:sz w:val="20"/>
          <w:szCs w:val="20"/>
          <w:color w:val="auto"/>
        </w:rPr>
      </w:pPr>
    </w:p>
    <w:p>
      <w:pPr>
        <w:ind w:left="244" w:hanging="244"/>
        <w:spacing w:after="0"/>
        <w:tabs>
          <w:tab w:leader="none" w:pos="244" w:val="left"/>
        </w:tabs>
        <w:numPr>
          <w:ilvl w:val="0"/>
          <w:numId w:val="433"/>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Optionee;</w:t>
      </w:r>
    </w:p>
    <w:p>
      <w:pPr>
        <w:spacing w:after="0" w:line="225" w:lineRule="exact"/>
        <w:rPr>
          <w:rFonts w:ascii="Arial" w:cs="Arial" w:eastAsia="Arial" w:hAnsi="Arial"/>
          <w:sz w:val="18"/>
          <w:szCs w:val="18"/>
          <w:color w:val="auto"/>
        </w:rPr>
      </w:pPr>
    </w:p>
    <w:p>
      <w:pPr>
        <w:ind w:left="4" w:right="220" w:hanging="4"/>
        <w:spacing w:after="0" w:line="259" w:lineRule="auto"/>
        <w:tabs>
          <w:tab w:leader="none" w:pos="25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186" w:lineRule="exact"/>
        <w:rPr>
          <w:rFonts w:ascii="Arial" w:cs="Arial" w:eastAsia="Arial" w:hAnsi="Arial"/>
          <w:sz w:val="18"/>
          <w:szCs w:val="18"/>
          <w:color w:val="auto"/>
        </w:rPr>
      </w:pPr>
    </w:p>
    <w:p>
      <w:pPr>
        <w:ind w:left="244" w:hanging="244"/>
        <w:spacing w:after="0"/>
        <w:tabs>
          <w:tab w:leader="none" w:pos="244" w:val="left"/>
        </w:tabs>
        <w:numPr>
          <w:ilvl w:val="0"/>
          <w:numId w:val="433"/>
        </w:numPr>
        <w:rPr>
          <w:rFonts w:ascii="Arial" w:cs="Arial" w:eastAsia="Arial" w:hAnsi="Arial"/>
          <w:sz w:val="18"/>
          <w:szCs w:val="18"/>
          <w:color w:val="auto"/>
        </w:rPr>
      </w:pPr>
      <w:r>
        <w:rPr>
          <w:rFonts w:ascii="Arial" w:cs="Arial" w:eastAsia="Arial" w:hAnsi="Arial"/>
          <w:sz w:val="18"/>
          <w:szCs w:val="18"/>
          <w:color w:val="auto"/>
        </w:rPr>
        <w:t>by participating in a formal cashless exercise program implemented by the Committee in connection with the Plan;</w:t>
      </w:r>
    </w:p>
    <w:p>
      <w:pPr>
        <w:spacing w:after="0" w:line="225" w:lineRule="exact"/>
        <w:rPr>
          <w:rFonts w:ascii="Arial" w:cs="Arial" w:eastAsia="Arial" w:hAnsi="Arial"/>
          <w:sz w:val="18"/>
          <w:szCs w:val="18"/>
          <w:color w:val="auto"/>
        </w:rPr>
      </w:pPr>
    </w:p>
    <w:p>
      <w:pPr>
        <w:ind w:left="4" w:hanging="4"/>
        <w:spacing w:after="0" w:line="259" w:lineRule="auto"/>
        <w:tabs>
          <w:tab w:leader="none" w:pos="25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ectPr>
          <w:pgSz w:w="11900" w:h="16838" w:orient="portrait"/>
          <w:cols w:equalWidth="0" w:num="1">
            <w:col w:w="11024"/>
          </w:cols>
          <w:pgMar w:left="436" w:top="273" w:right="439" w:bottom="1440" w:gutter="0" w:footer="0" w:header="0"/>
        </w:sectPr>
      </w:pPr>
    </w:p>
    <w:bookmarkStart w:id="536" w:name="page537"/>
    <w:bookmarkEnd w:id="536"/>
    <w:p>
      <w:pPr>
        <w:ind w:left="4" w:hanging="4"/>
        <w:spacing w:after="0" w:line="277" w:lineRule="auto"/>
        <w:tabs>
          <w:tab w:leader="none" w:pos="249"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any combination of the foregoing or any other method of payment approved by the Committee that constitutes legal consideration for the issuance of Shares.</w:t>
      </w:r>
    </w:p>
    <w:p>
      <w:pPr>
        <w:spacing w:after="0" w:line="166" w:lineRule="exact"/>
        <w:rPr>
          <w:sz w:val="20"/>
          <w:szCs w:val="20"/>
          <w:color w:val="auto"/>
        </w:rPr>
      </w:pPr>
    </w:p>
    <w:p>
      <w:pPr>
        <w:ind w:left="4"/>
        <w:spacing w:after="0" w:line="294"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issuance of the Shares upon exercise of the Option, Optionee must pay or provide for any applicable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160" w:lineRule="exact"/>
        <w:rPr>
          <w:sz w:val="20"/>
          <w:szCs w:val="20"/>
          <w:color w:val="auto"/>
        </w:rPr>
      </w:pPr>
    </w:p>
    <w:p>
      <w:pPr>
        <w:jc w:val="both"/>
        <w:ind w:left="4" w:right="380"/>
        <w:spacing w:after="0" w:line="31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Exercise Agreement and payment are in form and substance satisfactory to counsel for the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42" w:lineRule="exact"/>
        <w:rPr>
          <w:sz w:val="20"/>
          <w:szCs w:val="20"/>
          <w:color w:val="auto"/>
        </w:rPr>
      </w:pPr>
    </w:p>
    <w:p>
      <w:pPr>
        <w:ind w:left="4" w:hanging="4"/>
        <w:spacing w:after="0" w:line="255" w:lineRule="auto"/>
        <w:tabs>
          <w:tab w:leader="none" w:pos="184"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AND REGULATIONS. </w:t>
      </w:r>
      <w:r>
        <w:rPr>
          <w:rFonts w:ascii="Arial" w:cs="Arial" w:eastAsia="Arial" w:hAnsi="Arial"/>
          <w:sz w:val="18"/>
          <w:szCs w:val="18"/>
          <w:color w:val="auto"/>
        </w:rPr>
        <w:t>The Plan and this Agreement are intended to comply with Section 25102(o) and Rule 701.</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88" w:lineRule="exact"/>
        <w:rPr>
          <w:rFonts w:ascii="Arial" w:cs="Arial" w:eastAsia="Arial" w:hAnsi="Arial"/>
          <w:sz w:val="18"/>
          <w:szCs w:val="18"/>
          <w:b w:val="1"/>
          <w:bCs w:val="1"/>
          <w:color w:val="auto"/>
        </w:rPr>
      </w:pPr>
    </w:p>
    <w:p>
      <w:pPr>
        <w:ind w:left="4" w:right="120" w:hanging="4"/>
        <w:spacing w:after="0" w:line="258" w:lineRule="auto"/>
        <w:tabs>
          <w:tab w:leader="none" w:pos="184"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OF OPTION. </w:t>
      </w:r>
      <w:r>
        <w:rPr>
          <w:rFonts w:ascii="Arial" w:cs="Arial" w:eastAsia="Arial" w:hAnsi="Arial"/>
          <w:sz w:val="18"/>
          <w:szCs w:val="18"/>
          <w:color w:val="auto"/>
        </w:rPr>
        <w:t>This Option may not be transferred in any manner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83" w:lineRule="exact"/>
        <w:rPr>
          <w:rFonts w:ascii="Arial" w:cs="Arial" w:eastAsia="Arial" w:hAnsi="Arial"/>
          <w:sz w:val="18"/>
          <w:szCs w:val="18"/>
          <w:b w:val="1"/>
          <w:bCs w:val="1"/>
          <w:color w:val="auto"/>
        </w:rPr>
      </w:pPr>
    </w:p>
    <w:p>
      <w:pPr>
        <w:ind w:left="184" w:hanging="184"/>
        <w:spacing w:after="0"/>
        <w:tabs>
          <w:tab w:leader="none" w:pos="184"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Disposition of Shares</w:t>
      </w:r>
      <w:r>
        <w:rPr>
          <w:rFonts w:ascii="Arial" w:cs="Arial" w:eastAsia="Arial" w:hAnsi="Arial"/>
          <w:sz w:val="17"/>
          <w:szCs w:val="17"/>
          <w:color w:val="auto"/>
        </w:rPr>
        <w:t>. Optionee hereby agrees that Optionee shall make no disposition of any of the Shares (other than as permitted by this</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unless and until:</w:t>
      </w:r>
    </w:p>
    <w:p>
      <w:pPr>
        <w:spacing w:after="0" w:line="103" w:lineRule="exact"/>
        <w:rPr>
          <w:sz w:val="20"/>
          <w:szCs w:val="20"/>
          <w:color w:val="auto"/>
        </w:rPr>
      </w:pPr>
    </w:p>
    <w:p>
      <w:pPr>
        <w:ind w:left="4" w:right="160" w:hanging="4"/>
        <w:spacing w:after="0" w:line="277" w:lineRule="auto"/>
        <w:tabs>
          <w:tab w:leader="none" w:pos="24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Optionee shall have notified the Company of the proposed disposition and provided a written summary of the terms and conditions of the proposed disposition;</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Optionee shall have complied with all requirements of this Agreement applicable to the disposition of the Shares;</w:t>
      </w:r>
    </w:p>
    <w:p>
      <w:pPr>
        <w:spacing w:after="0" w:line="225" w:lineRule="exact"/>
        <w:rPr>
          <w:rFonts w:ascii="Arial" w:cs="Arial" w:eastAsia="Arial" w:hAnsi="Arial"/>
          <w:sz w:val="18"/>
          <w:szCs w:val="18"/>
          <w:color w:val="auto"/>
        </w:rPr>
      </w:pPr>
    </w:p>
    <w:p>
      <w:pPr>
        <w:ind w:left="4" w:right="300" w:hanging="4"/>
        <w:spacing w:after="0" w:line="279" w:lineRule="auto"/>
        <w:tabs>
          <w:tab w:leader="none" w:pos="24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71" w:lineRule="exact"/>
        <w:rPr>
          <w:rFonts w:ascii="Arial" w:cs="Arial" w:eastAsia="Arial" w:hAnsi="Arial"/>
          <w:sz w:val="17"/>
          <w:szCs w:val="17"/>
          <w:color w:val="auto"/>
        </w:rPr>
      </w:pPr>
    </w:p>
    <w:p>
      <w:pPr>
        <w:ind w:left="4" w:hanging="4"/>
        <w:spacing w:after="0" w:line="257" w:lineRule="auto"/>
        <w:tabs>
          <w:tab w:leader="none" w:pos="25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ectPr>
          <w:pgSz w:w="11900" w:h="16838" w:orient="portrait"/>
          <w:cols w:equalWidth="0" w:num="1">
            <w:col w:w="11004"/>
          </w:cols>
          <w:pgMar w:left="436" w:top="273" w:right="459" w:bottom="1440" w:gutter="0" w:footer="0" w:header="0"/>
        </w:sectPr>
      </w:pPr>
    </w:p>
    <w:bookmarkStart w:id="537" w:name="page538"/>
    <w:bookmarkEnd w:id="537"/>
    <w:p>
      <w:pPr>
        <w:ind w:left="4" w:right="6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7"/>
          <w:szCs w:val="17"/>
          <w:b w:val="1"/>
          <w:bCs w:val="1"/>
          <w:u w:val="single" w:color="auto"/>
          <w:color w:val="auto"/>
        </w:rPr>
        <w:t>Restriction on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shall not transfer, assign, grant a lien or security interest in, pledge, hypothecate, encumber or otherwise dispose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of the Shares which are subject to the Company’s Right of First Refusal described below, except as permitted by this Agreement.</w:t>
      </w:r>
    </w:p>
    <w:p>
      <w:pPr>
        <w:spacing w:after="0" w:line="140" w:lineRule="exact"/>
        <w:rPr>
          <w:sz w:val="20"/>
          <w:szCs w:val="20"/>
          <w:color w:val="auto"/>
        </w:rPr>
      </w:pPr>
    </w:p>
    <w:p>
      <w:pPr>
        <w:ind w:left="4" w:right="60"/>
        <w:spacing w:after="0" w:line="303"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u w:val="single" w:color="auto"/>
          <w:color w:val="auto"/>
        </w:rPr>
        <w:t>Transferee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(other than the Company) to whom the Shares are transferred by means of one of the permitted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 (ii) the market stand-off provisions of Section 8 below, to the same extent such Shares would be so subject if retained by Optionee.</w:t>
      </w:r>
    </w:p>
    <w:p>
      <w:pPr>
        <w:spacing w:after="0" w:line="151" w:lineRule="exact"/>
        <w:rPr>
          <w:sz w:val="20"/>
          <w:szCs w:val="20"/>
          <w:color w:val="auto"/>
        </w:rPr>
      </w:pPr>
    </w:p>
    <w:p>
      <w:pPr>
        <w:ind w:left="4" w:hanging="4"/>
        <w:spacing w:after="0" w:line="286" w:lineRule="auto"/>
        <w:tabs>
          <w:tab w:leader="none" w:pos="184" w:val="left"/>
        </w:tabs>
        <w:numPr>
          <w:ilvl w:val="0"/>
          <w:numId w:val="4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STANDOFF AGREEMENT. </w:t>
      </w:r>
      <w:r>
        <w:rPr>
          <w:rFonts w:ascii="Arial" w:cs="Arial" w:eastAsia="Arial" w:hAnsi="Arial"/>
          <w:sz w:val="16"/>
          <w:szCs w:val="16"/>
          <w:color w:val="auto"/>
        </w:rPr>
        <w:t>Optionee agrees that, subject to any early release provisions that apply pro rata to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xml:space="preserve">”), directly or indirectly sell, offer to sell, grant any option for the sale of, or otherwise dispose of any Common Stock or securities convertible into Common Stock, </w:t>
      </w:r>
      <w:r>
        <w:rPr>
          <w:rFonts w:ascii="Arial" w:cs="Arial" w:eastAsia="Arial" w:hAnsi="Arial"/>
          <w:sz w:val="16"/>
          <w:szCs w:val="16"/>
          <w:u w:val="single" w:color="auto"/>
          <w:color w:val="auto"/>
        </w:rPr>
        <w:t>except for</w:t>
      </w:r>
      <w:r>
        <w:rPr>
          <w:rFonts w:ascii="Arial" w:cs="Arial" w:eastAsia="Arial" w:hAnsi="Arial"/>
          <w:sz w:val="16"/>
          <w:szCs w:val="16"/>
          <w:color w:val="auto"/>
        </w:rPr>
        <w:t>: (i) transfers of Shares permitted under Section 9.6 hereof so long as such transferee furnishes to the Company and the managing underwriter their written consent to be bound by this Section 8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67" w:lineRule="exact"/>
        <w:rPr>
          <w:rFonts w:ascii="Arial" w:cs="Arial" w:eastAsia="Arial" w:hAnsi="Arial"/>
          <w:sz w:val="16"/>
          <w:szCs w:val="16"/>
          <w:b w:val="1"/>
          <w:bCs w:val="1"/>
          <w:color w:val="auto"/>
        </w:rPr>
      </w:pPr>
    </w:p>
    <w:p>
      <w:pPr>
        <w:jc w:val="both"/>
        <w:ind w:left="4" w:right="120" w:hanging="4"/>
        <w:spacing w:after="0" w:line="261" w:lineRule="auto"/>
        <w:tabs>
          <w:tab w:leader="none" w:pos="184"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COMPANY’S RIGHT OF FIRST REFUSAL. </w:t>
      </w:r>
      <w:r>
        <w:rPr>
          <w:rFonts w:ascii="Arial" w:cs="Arial" w:eastAsia="Arial" w:hAnsi="Arial"/>
          <w:sz w:val="18"/>
          <w:szCs w:val="18"/>
          <w:color w:val="auto"/>
        </w:rPr>
        <w:t>Before any Shares held by Optionee or any transferee of such Shares (either sometimes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without limitation, a transfer by gift or operation of law), the Company and/or its assignee(s) will have a right of first refusal to purchase the Shares to be sold or transferred (the “</w:t>
      </w:r>
      <w:r>
        <w:rPr>
          <w:rFonts w:ascii="Arial" w:cs="Arial" w:eastAsia="Arial" w:hAnsi="Arial"/>
          <w:sz w:val="18"/>
          <w:szCs w:val="18"/>
          <w:b w:val="1"/>
          <w:bCs w:val="1"/>
          <w:i w:val="1"/>
          <w:iCs w:val="1"/>
          <w:color w:val="auto"/>
        </w:rPr>
        <w:t>Offered Shares”</w:t>
      </w:r>
      <w:r>
        <w:rPr>
          <w:rFonts w:ascii="Arial" w:cs="Arial" w:eastAsia="Arial" w:hAnsi="Arial"/>
          <w:sz w:val="18"/>
          <w:szCs w:val="18"/>
          <w:color w:val="auto"/>
        </w:rPr>
        <w:t>) on the terms and conditions set forth in this Section (the “</w:t>
      </w:r>
      <w:r>
        <w:rPr>
          <w:rFonts w:ascii="Arial" w:cs="Arial" w:eastAsia="Arial" w:hAnsi="Arial"/>
          <w:sz w:val="18"/>
          <w:szCs w:val="18"/>
          <w:b w:val="1"/>
          <w:bCs w:val="1"/>
          <w:i w:val="1"/>
          <w:iCs w:val="1"/>
          <w:color w:val="auto"/>
        </w:rPr>
        <w:t>Right of First Refusal”</w:t>
      </w:r>
      <w:r>
        <w:rPr>
          <w:rFonts w:ascii="Arial" w:cs="Arial" w:eastAsia="Arial" w:hAnsi="Arial"/>
          <w:sz w:val="18"/>
          <w:szCs w:val="18"/>
          <w:color w:val="auto"/>
        </w:rPr>
        <w:t>).</w:t>
      </w:r>
    </w:p>
    <w:p>
      <w:pPr>
        <w:spacing w:after="0" w:line="180" w:lineRule="exact"/>
        <w:rPr>
          <w:sz w:val="20"/>
          <w:szCs w:val="20"/>
          <w:color w:val="auto"/>
        </w:rPr>
      </w:pPr>
    </w:p>
    <w:p>
      <w:pPr>
        <w:ind w:left="4"/>
        <w:spacing w:after="0" w:line="256"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Notice of Proposed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the Offered Shares will deliver to the Company a written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(i)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bona fide intention to sell or otherwise transfer the Offered Shares; (ii) the name and address of each proposed purchaser or other transferee (the “</w:t>
      </w:r>
      <w:r>
        <w:rPr>
          <w:rFonts w:ascii="Arial" w:cs="Arial" w:eastAsia="Arial" w:hAnsi="Arial"/>
          <w:sz w:val="18"/>
          <w:szCs w:val="18"/>
          <w:b w:val="1"/>
          <w:bCs w:val="1"/>
          <w:i w:val="1"/>
          <w:iCs w:val="1"/>
          <w:color w:val="auto"/>
        </w:rPr>
        <w:t>Proposed Transferee”</w:t>
      </w:r>
      <w:r>
        <w:rPr>
          <w:rFonts w:ascii="Arial" w:cs="Arial" w:eastAsia="Arial" w:hAnsi="Arial"/>
          <w:sz w:val="18"/>
          <w:szCs w:val="18"/>
          <w:color w:val="auto"/>
        </w:rPr>
        <w:t>); (iii) the number of Offered Shares to be transferred to each Proposed Transferee; (iv) the bona fide cash price or other consideration for which the Holder proposes to transfer the Offered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187" w:lineRule="exact"/>
        <w:rPr>
          <w:sz w:val="20"/>
          <w:szCs w:val="20"/>
          <w:color w:val="auto"/>
        </w:rPr>
      </w:pPr>
    </w:p>
    <w:p>
      <w:pPr>
        <w:ind w:left="4" w:right="140"/>
        <w:spacing w:after="0" w:line="289"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Exercise of Right of First Refusal</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within thirty (30) days after the date of the Notice, the Company and/or its assignee(s) may, by</w:t>
      </w:r>
      <w:r>
        <w:rPr>
          <w:rFonts w:ascii="Arial" w:cs="Arial" w:eastAsia="Arial" w:hAnsi="Arial"/>
          <w:sz w:val="17"/>
          <w:szCs w:val="17"/>
          <w:b w:val="1"/>
          <w:bCs w:val="1"/>
          <w:color w:val="auto"/>
        </w:rPr>
        <w:t xml:space="preserve"> </w:t>
      </w:r>
      <w:r>
        <w:rPr>
          <w:rFonts w:ascii="Arial" w:cs="Arial" w:eastAsia="Arial" w:hAnsi="Arial"/>
          <w:sz w:val="17"/>
          <w:szCs w:val="17"/>
          <w:color w:val="auto"/>
        </w:rPr>
        <w:t>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ectPr>
          <w:pgSz w:w="11900" w:h="16838" w:orient="portrait"/>
          <w:cols w:equalWidth="0" w:num="1">
            <w:col w:w="10984"/>
          </w:cols>
          <w:pgMar w:left="436" w:top="269" w:right="479" w:bottom="1440" w:gutter="0" w:footer="0" w:header="0"/>
        </w:sectPr>
      </w:pPr>
    </w:p>
    <w:bookmarkStart w:id="538" w:name="page539"/>
    <w:bookmarkEnd w:id="538"/>
    <w:p>
      <w:pPr>
        <w:ind w:right="6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for the Offered Shares purchased under this Section will be the Offered Price,</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the Offered Price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purchase price for the Offered Shares will be payable, at the option of the Company and/or its assignee(s)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Holder’s Right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If all of the Offered Shares proposed in the Notice to be transferred to a given Proposed Transferee are not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Company and/or its assignee(s) as provided in this Section, then the Holder may sell or otherwise transfer such Offered Shares to each Proposed Transferee at the Offered Price or at a higher price,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92"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 xml:space="preserve">9.6 </w:t>
      </w:r>
      <w:r>
        <w:rPr>
          <w:rFonts w:ascii="Arial" w:cs="Arial" w:eastAsia="Arial" w:hAnsi="Arial"/>
          <w:sz w:val="16"/>
          <w:szCs w:val="16"/>
          <w:b w:val="1"/>
          <w:bCs w:val="1"/>
          <w:u w:val="single" w:color="auto"/>
          <w:color w:val="auto"/>
        </w:rPr>
        <w:t>Exempt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Section, the following transfers of Shares will be exempt from the Right of First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Arial" w:cs="Arial" w:eastAsia="Arial" w:hAnsi="Arial"/>
          <w:sz w:val="16"/>
          <w:szCs w:val="16"/>
          <w:b w:val="1"/>
          <w:bCs w:val="1"/>
          <w:i w:val="1"/>
          <w:iCs w:val="1"/>
          <w:color w:val="auto"/>
        </w:rPr>
        <w:t>Spousal Equivalent</w:t>
      </w:r>
      <w:r>
        <w:rPr>
          <w:rFonts w:ascii="Arial" w:cs="Arial" w:eastAsia="Arial" w:hAnsi="Arial"/>
          <w:sz w:val="16"/>
          <w:szCs w:val="16"/>
          <w:color w:val="auto"/>
        </w:rPr>
        <w:t>”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(12) months and intend to do so indefinitely.</w:t>
      </w:r>
    </w:p>
    <w:p>
      <w:pPr>
        <w:spacing w:after="0" w:line="20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9.7 </w:t>
      </w:r>
      <w:r>
        <w:rPr>
          <w:rFonts w:ascii="Arial" w:cs="Arial" w:eastAsia="Arial" w:hAnsi="Arial"/>
          <w:sz w:val="16"/>
          <w:szCs w:val="16"/>
          <w:b w:val="1"/>
          <w:bCs w:val="1"/>
          <w:u w:val="single" w:color="auto"/>
          <w:color w:val="auto"/>
        </w:rPr>
        <w:t>Termination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will terminate as to all Shares: (i) on the effective date of the first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ectPr>
          <w:pgSz w:w="11900" w:h="16838" w:orient="portrait"/>
          <w:cols w:equalWidth="0" w:num="1">
            <w:col w:w="11000"/>
          </w:cols>
          <w:pgMar w:left="440" w:top="269" w:right="459" w:bottom="1440" w:gutter="0" w:footer="0" w:header="0"/>
        </w:sectPr>
      </w:pPr>
    </w:p>
    <w:bookmarkStart w:id="539" w:name="page540"/>
    <w:bookmarkEnd w:id="539"/>
    <w:p>
      <w:pPr>
        <w:ind w:left="4"/>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9.8 </w:t>
      </w:r>
      <w:r>
        <w:rPr>
          <w:rFonts w:ascii="Arial" w:cs="Arial" w:eastAsia="Arial" w:hAnsi="Arial"/>
          <w:sz w:val="18"/>
          <w:szCs w:val="18"/>
          <w:b w:val="1"/>
          <w:bCs w:val="1"/>
          <w:u w:val="single" w:color="auto"/>
          <w:color w:val="auto"/>
        </w:rPr>
        <w:t>Encumbrances 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grant a lien or security interest in, or pledge, hypothecate or encumber Shares only if each party to whom</w:t>
      </w:r>
      <w:r>
        <w:rPr>
          <w:rFonts w:ascii="Arial" w:cs="Arial" w:eastAsia="Arial" w:hAnsi="Arial"/>
          <w:sz w:val="18"/>
          <w:szCs w:val="18"/>
          <w:b w:val="1"/>
          <w:bCs w:val="1"/>
          <w:color w:val="auto"/>
        </w:rPr>
        <w:t xml:space="preserve"> </w:t>
      </w:r>
      <w:r>
        <w:rPr>
          <w:rFonts w:ascii="Arial" w:cs="Arial" w:eastAsia="Arial" w:hAnsi="Arial"/>
          <w:sz w:val="18"/>
          <w:szCs w:val="18"/>
          <w:color w:val="auto"/>
        </w:rPr>
        <w:t>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87" w:lineRule="exact"/>
        <w:rPr>
          <w:sz w:val="20"/>
          <w:szCs w:val="20"/>
          <w:color w:val="auto"/>
        </w:rPr>
      </w:pPr>
    </w:p>
    <w:p>
      <w:pPr>
        <w:ind w:left="4" w:hanging="4"/>
        <w:spacing w:after="0" w:line="273" w:lineRule="auto"/>
        <w:tabs>
          <w:tab w:leader="none" w:pos="274" w:val="left"/>
        </w:tabs>
        <w:numPr>
          <w:ilvl w:val="0"/>
          <w:numId w:val="4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Optionee shall not have any of the rights of a stockholder with respect to any Shares unless and until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71" w:lineRule="exact"/>
        <w:rPr>
          <w:rFonts w:ascii="Arial" w:cs="Arial" w:eastAsia="Arial" w:hAnsi="Arial"/>
          <w:sz w:val="17"/>
          <w:szCs w:val="17"/>
          <w:b w:val="1"/>
          <w:bCs w:val="1"/>
          <w:color w:val="auto"/>
        </w:rPr>
      </w:pPr>
    </w:p>
    <w:p>
      <w:pPr>
        <w:ind w:left="4" w:right="80" w:hanging="4"/>
        <w:spacing w:after="0" w:line="289" w:lineRule="auto"/>
        <w:tabs>
          <w:tab w:leader="none" w:pos="264"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As security for Optionee’s faithful performance of this Agreement, Optionee agrees, immediately upon receipt of the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Shares, to deliver such certificate(s) to the Secretary of the Company or other designee of the Company (the “</w:t>
      </w:r>
      <w:r>
        <w:rPr>
          <w:rFonts w:ascii="Arial" w:cs="Arial" w:eastAsia="Arial" w:hAnsi="Arial"/>
          <w:sz w:val="16"/>
          <w:szCs w:val="16"/>
          <w:b w:val="1"/>
          <w:bCs w:val="1"/>
          <w:i w:val="1"/>
          <w:iCs w:val="1"/>
          <w:color w:val="auto"/>
        </w:rPr>
        <w:t>Escrow Holder</w:t>
      </w:r>
      <w:r>
        <w:rPr>
          <w:rFonts w:ascii="Arial" w:cs="Arial" w:eastAsia="Arial" w:hAnsi="Arial"/>
          <w:sz w:val="16"/>
          <w:szCs w:val="16"/>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166" w:lineRule="exact"/>
        <w:rPr>
          <w:rFonts w:ascii="Arial" w:cs="Arial" w:eastAsia="Arial" w:hAnsi="Arial"/>
          <w:sz w:val="16"/>
          <w:szCs w:val="16"/>
          <w:b w:val="1"/>
          <w:bCs w:val="1"/>
          <w:color w:val="auto"/>
        </w:rPr>
      </w:pPr>
    </w:p>
    <w:p>
      <w:pPr>
        <w:ind w:left="264" w:hanging="264"/>
        <w:spacing w:after="0"/>
        <w:tabs>
          <w:tab w:leader="none" w:pos="264"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LEGENDS AND STOP-TRANSFER ORDERS.</w:t>
      </w:r>
    </w:p>
    <w:p>
      <w:pPr>
        <w:spacing w:after="0" w:line="225" w:lineRule="exact"/>
        <w:rPr>
          <w:sz w:val="20"/>
          <w:szCs w:val="20"/>
          <w:color w:val="auto"/>
        </w:rPr>
      </w:pPr>
    </w:p>
    <w:p>
      <w:pPr>
        <w:ind w:left="4" w:right="180"/>
        <w:spacing w:after="0" w:line="25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Optionee understands and agrees that the Company will place the legends set forth below or similar legends on any stock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79" w:lineRule="exact"/>
        <w:rPr>
          <w:sz w:val="20"/>
          <w:szCs w:val="20"/>
          <w:color w:val="auto"/>
        </w:rPr>
      </w:pPr>
    </w:p>
    <w:p>
      <w:pPr>
        <w:ind w:left="4" w:right="100" w:hanging="4"/>
        <w:spacing w:after="0" w:line="254" w:lineRule="auto"/>
        <w:tabs>
          <w:tab w:leader="none" w:pos="24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91" w:lineRule="exact"/>
        <w:rPr>
          <w:rFonts w:ascii="Arial" w:cs="Arial" w:eastAsia="Arial" w:hAnsi="Arial"/>
          <w:sz w:val="18"/>
          <w:szCs w:val="18"/>
          <w:color w:val="auto"/>
        </w:rPr>
      </w:pPr>
    </w:p>
    <w:p>
      <w:pPr>
        <w:ind w:left="4" w:right="280" w:hanging="4"/>
        <w:spacing w:after="0" w:line="263" w:lineRule="auto"/>
        <w:tabs>
          <w:tab w:leader="none" w:pos="25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CERTAIN RESTRICTIONS ON RESALE AND TRANSFER, INCLUDING THE RIGHT OF FIRST REFUSAL HELD BY THE ISSUER AND/OR ITS ASSIGNEE(S) AS SET FORTH IN A STOCK OPTION AGREEMENT BETWEEN THE ISSUER</w:t>
      </w:r>
    </w:p>
    <w:p>
      <w:pPr>
        <w:sectPr>
          <w:pgSz w:w="11900" w:h="16838" w:orient="portrait"/>
          <w:cols w:equalWidth="0" w:num="1">
            <w:col w:w="11004"/>
          </w:cols>
          <w:pgMar w:left="436" w:top="269" w:right="459" w:bottom="1440" w:gutter="0" w:footer="0" w:header="0"/>
        </w:sectPr>
      </w:pPr>
    </w:p>
    <w:bookmarkStart w:id="540" w:name="page541"/>
    <w:bookmarkEnd w:id="540"/>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ORIGINAL HOLDER OF THESE SHARES, A COPY OF WHICH MAY BE OBTAINED AT THE PRINCIPAL OFFICE OF THE ISSUER. SUCH SALE AND TRANSFER RESTRICTIONS, INCLUDING THE RIGHT OF FIRST REFUSAL, ARE BINDING ON TRANSFEREES OF THESE SHARES.</w:t>
      </w:r>
    </w:p>
    <w:p>
      <w:pPr>
        <w:spacing w:after="0" w:line="184" w:lineRule="exact"/>
        <w:rPr>
          <w:sz w:val="20"/>
          <w:szCs w:val="20"/>
          <w:color w:val="auto"/>
        </w:rPr>
      </w:pPr>
    </w:p>
    <w:p>
      <w:pPr>
        <w:ind w:left="4" w:right="100" w:hanging="4"/>
        <w:spacing w:after="0" w:line="257" w:lineRule="auto"/>
        <w:tabs>
          <w:tab w:leader="none" w:pos="249"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84" w:lineRule="exact"/>
        <w:rPr>
          <w:sz w:val="20"/>
          <w:szCs w:val="20"/>
          <w:color w:val="auto"/>
        </w:rPr>
      </w:pPr>
    </w:p>
    <w:p>
      <w:pPr>
        <w:jc w:val="both"/>
        <w:ind w:left="4" w:right="40"/>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Stop-Transfer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agrees that, to ensure compliance with the restrictions imposed by this Agreement,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“stop-transfer” instructions to its transfer agent, if any, and if the Company transfers its own securities, it may make appropriate notations to the same effect in its own records.</w:t>
      </w:r>
    </w:p>
    <w:p>
      <w:pPr>
        <w:spacing w:after="0" w:line="176" w:lineRule="exact"/>
        <w:rPr>
          <w:sz w:val="20"/>
          <w:szCs w:val="20"/>
          <w:color w:val="auto"/>
        </w:rPr>
      </w:pPr>
    </w:p>
    <w:p>
      <w:pPr>
        <w:ind w:left="4" w:right="440"/>
        <w:spacing w:after="0" w:line="266"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have been so transferred.</w:t>
      </w:r>
    </w:p>
    <w:p>
      <w:pPr>
        <w:spacing w:after="0" w:line="176" w:lineRule="exact"/>
        <w:rPr>
          <w:sz w:val="20"/>
          <w:szCs w:val="20"/>
          <w:color w:val="auto"/>
        </w:rPr>
      </w:pPr>
    </w:p>
    <w:p>
      <w:pPr>
        <w:ind w:left="4" w:right="80"/>
        <w:spacing w:after="0" w:line="261" w:lineRule="auto"/>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3. CERTAIN TAX CONSEQUENCES.</w:t>
      </w:r>
      <w:r>
        <w:rPr>
          <w:rFonts w:ascii="Arial" w:cs="Arial" w:eastAsia="Arial" w:hAnsi="Arial"/>
          <w:sz w:val="18"/>
          <w:szCs w:val="18"/>
          <w:color w:val="auto"/>
        </w:rPr>
        <w:t xml:space="preserve"> Set forth below is a brief summary as of the Effective Date of the Plan of some of the federal tax 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180" w:lineRule="exact"/>
        <w:rPr>
          <w:sz w:val="20"/>
          <w:szCs w:val="20"/>
          <w:color w:val="auto"/>
        </w:rPr>
      </w:pPr>
    </w:p>
    <w:p>
      <w:pPr>
        <w:ind w:left="4" w:right="220"/>
        <w:spacing w:after="0" w:line="289"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b w:val="1"/>
          <w:bCs w:val="1"/>
          <w:u w:val="single" w:color="auto"/>
          <w:color w:val="auto"/>
        </w:rPr>
        <w:t>Exercise of ISO</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qualifies as an ISO, there will be no regular federal income tax liability upon the exercise of the Option, although</w:t>
      </w:r>
      <w:r>
        <w:rPr>
          <w:rFonts w:ascii="Arial" w:cs="Arial" w:eastAsia="Arial" w:hAnsi="Arial"/>
          <w:sz w:val="17"/>
          <w:szCs w:val="17"/>
          <w:b w:val="1"/>
          <w:bCs w:val="1"/>
          <w:color w:val="auto"/>
        </w:rPr>
        <w:t xml:space="preserve"> </w:t>
      </w:r>
      <w:r>
        <w:rPr>
          <w:rFonts w:ascii="Arial" w:cs="Arial" w:eastAsia="Arial" w:hAnsi="Arial"/>
          <w:sz w:val="17"/>
          <w:szCs w:val="17"/>
          <w:color w:val="auto"/>
        </w:rPr>
        <w:t>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158" w:lineRule="exact"/>
        <w:rPr>
          <w:sz w:val="20"/>
          <w:szCs w:val="20"/>
          <w:color w:val="auto"/>
        </w:rPr>
      </w:pPr>
    </w:p>
    <w:p>
      <w:pPr>
        <w:ind w:left="4" w:right="60"/>
        <w:spacing w:after="0" w:line="277"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b w:val="1"/>
          <w:bCs w:val="1"/>
          <w:u w:val="single" w:color="auto"/>
          <w:color w:val="auto"/>
        </w:rPr>
        <w:t>Exercise of Nonqualified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does not qualify as an ISO, there may be a regular federal income tax liability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Disposition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tax consequences may apply upon disposition of the Shares.</w:t>
      </w:r>
    </w:p>
    <w:p>
      <w:pPr>
        <w:spacing w:after="0" w:line="229" w:lineRule="exact"/>
        <w:rPr>
          <w:sz w:val="20"/>
          <w:szCs w:val="20"/>
          <w:color w:val="auto"/>
        </w:rPr>
      </w:pPr>
    </w:p>
    <w:p>
      <w:pPr>
        <w:ind w:left="4" w:right="40" w:hanging="4"/>
        <w:spacing w:after="0" w:line="275" w:lineRule="auto"/>
        <w:tabs>
          <w:tab w:leader="none" w:pos="248"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176" w:lineRule="exact"/>
        <w:rPr>
          <w:rFonts w:ascii="Arial" w:cs="Arial" w:eastAsia="Arial" w:hAnsi="Arial"/>
          <w:sz w:val="17"/>
          <w:szCs w:val="17"/>
          <w:color w:val="auto"/>
        </w:rPr>
      </w:pPr>
    </w:p>
    <w:p>
      <w:pPr>
        <w:ind w:left="4" w:right="20" w:hanging="4"/>
        <w:spacing w:after="0" w:line="277" w:lineRule="auto"/>
        <w:tabs>
          <w:tab w:leader="none" w:pos="259"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 If the Shares are held for more than twelve (12) months after the date of purchase of the Shares pursuant to the exercise of an NQSO, any gain realized on disposition of the Shares will be treated as long term capital gain.</w:t>
      </w:r>
    </w:p>
    <w:p>
      <w:pPr>
        <w:sectPr>
          <w:pgSz w:w="11900" w:h="16838" w:orient="portrait"/>
          <w:cols w:equalWidth="0" w:num="1">
            <w:col w:w="10984"/>
          </w:cols>
          <w:pgMar w:left="436" w:top="273" w:right="479" w:bottom="1440" w:gutter="0" w:footer="0" w:header="0"/>
        </w:sectPr>
      </w:pPr>
    </w:p>
    <w:bookmarkStart w:id="541" w:name="page542"/>
    <w:bookmarkEnd w:id="54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GENERAL PROVISIONS.</w:t>
      </w:r>
    </w:p>
    <w:p>
      <w:pPr>
        <w:spacing w:after="0" w:line="225"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regarding the interpretation of this Agreement shall be submitted by Optionee or the Company to the Committee for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The resolution of such a dispute by the Committee shall be final and binding on the Company and Optionee.</w:t>
      </w:r>
    </w:p>
    <w:p>
      <w:pPr>
        <w:spacing w:after="0" w:line="162"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Grant Notice and the Exercise Agreement are each incorporated herein by reference. This Agreement,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 Plan and the Exercise Agreement constitute the entire agreement of the parties with respect to the subject matter hereof and supersede all prior undertakings and agreements with respect to such subject matter.</w:t>
      </w:r>
    </w:p>
    <w:p>
      <w:pPr>
        <w:spacing w:after="0" w:line="176" w:lineRule="exact"/>
        <w:rPr>
          <w:sz w:val="20"/>
          <w:szCs w:val="20"/>
          <w:color w:val="auto"/>
        </w:rPr>
      </w:pPr>
    </w:p>
    <w:p>
      <w:pPr>
        <w:ind w:left="4" w:hanging="4"/>
        <w:spacing w:after="0" w:line="287" w:lineRule="auto"/>
        <w:tabs>
          <w:tab w:leader="none" w:pos="274" w:val="left"/>
        </w:tabs>
        <w:numPr>
          <w:ilvl w:val="0"/>
          <w:numId w:val="4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and all notices required or permitted to be given to a party pursuant to the provisions of this Agreement will be in writing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67" w:lineRule="exact"/>
        <w:rPr>
          <w:rFonts w:ascii="Arial" w:cs="Arial" w:eastAsia="Arial" w:hAnsi="Arial"/>
          <w:sz w:val="16"/>
          <w:szCs w:val="16"/>
          <w:b w:val="1"/>
          <w:bCs w:val="1"/>
          <w:color w:val="auto"/>
        </w:rPr>
      </w:pPr>
    </w:p>
    <w:p>
      <w:pPr>
        <w:ind w:left="4" w:right="60" w:hanging="4"/>
        <w:spacing w:after="0" w:line="261" w:lineRule="auto"/>
        <w:tabs>
          <w:tab w:leader="none" w:pos="274"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may assign any of its rights under this Agreement including its rights to purchase Shares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79" w:lineRule="exact"/>
        <w:rPr>
          <w:rFonts w:ascii="Arial" w:cs="Arial" w:eastAsia="Arial" w:hAnsi="Arial"/>
          <w:sz w:val="18"/>
          <w:szCs w:val="18"/>
          <w:b w:val="1"/>
          <w:bCs w:val="1"/>
          <w:color w:val="auto"/>
        </w:rPr>
      </w:pPr>
    </w:p>
    <w:p>
      <w:pPr>
        <w:ind w:left="4" w:right="140" w:hanging="4"/>
        <w:spacing w:after="0" w:line="261" w:lineRule="auto"/>
        <w:tabs>
          <w:tab w:leader="none" w:pos="274"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internal laws of the State of California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79" w:lineRule="exact"/>
        <w:rPr>
          <w:rFonts w:ascii="Arial" w:cs="Arial" w:eastAsia="Arial" w:hAnsi="Arial"/>
          <w:sz w:val="18"/>
          <w:szCs w:val="18"/>
          <w:b w:val="1"/>
          <w:bCs w:val="1"/>
          <w:color w:val="auto"/>
        </w:rPr>
      </w:pPr>
    </w:p>
    <w:p>
      <w:pPr>
        <w:ind w:left="4" w:right="520" w:hanging="4"/>
        <w:spacing w:after="0" w:line="282" w:lineRule="auto"/>
        <w:tabs>
          <w:tab w:leader="none" w:pos="274"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161" w:lineRule="exact"/>
        <w:rPr>
          <w:rFonts w:ascii="Arial" w:cs="Arial" w:eastAsia="Arial" w:hAnsi="Arial"/>
          <w:sz w:val="18"/>
          <w:szCs w:val="18"/>
          <w:b w:val="1"/>
          <w:bCs w:val="1"/>
          <w:color w:val="auto"/>
        </w:rPr>
      </w:pPr>
    </w:p>
    <w:p>
      <w:pPr>
        <w:ind w:left="4" w:right="140" w:hanging="4"/>
        <w:spacing w:after="0" w:line="266" w:lineRule="auto"/>
        <w:tabs>
          <w:tab w:leader="none" w:pos="274"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captions and headings of this Agreement are included for ease of reference only and will be disregarded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or construing this Agreement. Unless otherwise specifically stated, all references herein to “sections” and “exhibits” will mean “sections” and “exhibits” to this Agreement.</w:t>
      </w:r>
    </w:p>
    <w:p>
      <w:pPr>
        <w:spacing w:after="0" w:line="175" w:lineRule="exact"/>
        <w:rPr>
          <w:rFonts w:ascii="Arial" w:cs="Arial" w:eastAsia="Arial" w:hAnsi="Arial"/>
          <w:sz w:val="18"/>
          <w:szCs w:val="18"/>
          <w:b w:val="1"/>
          <w:bCs w:val="1"/>
          <w:color w:val="auto"/>
        </w:rPr>
      </w:pPr>
    </w:p>
    <w:p>
      <w:pPr>
        <w:ind w:left="4" w:right="560" w:hanging="4"/>
        <w:spacing w:after="0" w:line="282" w:lineRule="auto"/>
        <w:tabs>
          <w:tab w:leader="none" w:pos="274"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161" w:lineRule="exact"/>
        <w:rPr>
          <w:rFonts w:ascii="Arial" w:cs="Arial" w:eastAsia="Arial" w:hAnsi="Arial"/>
          <w:sz w:val="18"/>
          <w:szCs w:val="18"/>
          <w:b w:val="1"/>
          <w:bCs w:val="1"/>
          <w:color w:val="auto"/>
        </w:rPr>
      </w:pPr>
    </w:p>
    <w:p>
      <w:pPr>
        <w:ind w:left="4" w:right="320" w:hanging="4"/>
        <w:spacing w:after="0" w:line="266" w:lineRule="auto"/>
        <w:tabs>
          <w:tab w:leader="none" w:pos="274"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is determined by any court or arbitrator of competent jurisdiction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provision will be enforced to the maximum extent possible given the intent of the parties hereto. If such clause or provision cannot be so enforced, such provision shall be stricken from this Agreement and the remainder</w:t>
      </w:r>
    </w:p>
    <w:p>
      <w:pPr>
        <w:sectPr>
          <w:pgSz w:w="11900" w:h="16838" w:orient="portrait"/>
          <w:cols w:equalWidth="0" w:num="1">
            <w:col w:w="11004"/>
          </w:cols>
          <w:pgMar w:left="436" w:top="269" w:right="459" w:bottom="1440" w:gutter="0" w:footer="0" w:header="0"/>
        </w:sectPr>
      </w:pPr>
    </w:p>
    <w:bookmarkStart w:id="542" w:name="page543"/>
    <w:bookmarkEnd w:id="54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Attachment: </w:t>
      </w:r>
      <w:r>
        <w:rPr>
          <w:rFonts w:ascii="Arial" w:cs="Arial" w:eastAsia="Arial" w:hAnsi="Arial"/>
          <w:sz w:val="18"/>
          <w:szCs w:val="18"/>
          <w:u w:val="single" w:color="auto"/>
          <w:color w:val="auto"/>
        </w:rPr>
        <w:t>Annex A</w:t>
      </w:r>
      <w:r>
        <w:rPr>
          <w:rFonts w:ascii="Arial" w:cs="Arial" w:eastAsia="Arial" w:hAnsi="Arial"/>
          <w:sz w:val="18"/>
          <w:szCs w:val="18"/>
          <w:color w:val="auto"/>
        </w:rPr>
        <w:t>: Form of Stock Option Exercise Notice and Agreement</w:t>
      </w:r>
    </w:p>
    <w:p>
      <w:pPr>
        <w:sectPr>
          <w:pgSz w:w="11900" w:h="16838" w:orient="portrait"/>
          <w:cols w:equalWidth="0" w:num="1">
            <w:col w:w="10980"/>
          </w:cols>
          <w:pgMar w:left="440" w:top="273" w:right="479" w:bottom="1440" w:gutter="0" w:footer="0" w:header="0"/>
        </w:sectPr>
      </w:pPr>
    </w:p>
    <w:bookmarkStart w:id="543" w:name="page544"/>
    <w:bookmarkEnd w:id="54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STOCK OPTION EXERCISE NOTICE AND AGREEMENT</w:t>
      </w:r>
    </w:p>
    <w:p>
      <w:pPr>
        <w:sectPr>
          <w:pgSz w:w="11900" w:h="16838" w:orient="portrait"/>
          <w:cols w:equalWidth="0" w:num="1">
            <w:col w:w="9019"/>
          </w:cols>
          <w:pgMar w:left="1440" w:top="269" w:right="1440" w:bottom="1440" w:gutter="0" w:footer="0" w:header="0"/>
        </w:sectPr>
      </w:pPr>
    </w:p>
    <w:bookmarkStart w:id="544" w:name="page545"/>
    <w:bookmarkEnd w:id="544"/>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OPTION EXERCISE NOTICE AND AGREEMENT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EGLEA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NOTE</w:t>
      </w:r>
      <w:r>
        <w:rPr>
          <w:rFonts w:ascii="Arial" w:cs="Arial" w:eastAsia="Arial" w:hAnsi="Arial"/>
          <w:sz w:val="18"/>
          <w:szCs w:val="18"/>
          <w:u w:val="single" w:color="auto"/>
          <w:color w:val="auto"/>
        </w:rPr>
        <w:t>:</w:t>
      </w:r>
      <w:r>
        <w:rPr>
          <w:rFonts w:ascii="Arial" w:cs="Arial" w:eastAsia="Arial" w:hAnsi="Arial"/>
          <w:sz w:val="18"/>
          <w:szCs w:val="18"/>
          <w:b w:val="1"/>
          <w:bCs w:val="1"/>
          <w:i w:val="1"/>
          <w:iCs w:val="1"/>
          <w:color w:val="auto"/>
        </w:rPr>
        <w:t xml:space="preserve">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sign this Notice on Page 3 before submitting it to Aeglea BioTherapeutics, Inc. (the “Company”).</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080" w:type="dxa"/>
            <w:vAlign w:val="bottom"/>
            <w:gridSpan w:val="4"/>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the following information about yourself (“</w:t>
            </w:r>
            <w:r>
              <w:rPr>
                <w:rFonts w:ascii="Arial" w:cs="Arial" w:eastAsia="Arial" w:hAnsi="Arial"/>
                <w:sz w:val="18"/>
                <w:szCs w:val="18"/>
                <w:b w:val="1"/>
                <w:bCs w:val="1"/>
                <w:i w:val="1"/>
                <w:iCs w:val="1"/>
                <w:color w:val="auto"/>
              </w:rPr>
              <w:t>Optionee</w:t>
            </w:r>
            <w:r>
              <w:rPr>
                <w:rFonts w:ascii="Arial" w:cs="Arial" w:eastAsia="Arial" w:hAnsi="Arial"/>
                <w:sz w:val="18"/>
                <w:szCs w:val="18"/>
                <w:i w:val="1"/>
                <w:iCs w:val="1"/>
                <w:color w:val="auto"/>
              </w:rPr>
              <w:t>”)</w:t>
            </w:r>
            <w:r>
              <w:rPr>
                <w:rFonts w:ascii="Arial" w:cs="Arial" w:eastAsia="Arial" w:hAnsi="Arial"/>
                <w:sz w:val="18"/>
                <w:szCs w:val="18"/>
                <w:color w:val="auto"/>
              </w:rPr>
              <w:t>:</w:t>
            </w:r>
          </w:p>
        </w:tc>
        <w:tc>
          <w:tcPr>
            <w:tcW w:w="294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Borders>
              <w:bottom w:val="single" w:sz="8" w:color="auto"/>
            </w:tcBorders>
          </w:tcPr>
          <w:p>
            <w:pPr>
              <w:spacing w:after="0"/>
              <w:rPr>
                <w:sz w:val="24"/>
                <w:szCs w:val="24"/>
                <w:color w:val="auto"/>
              </w:rPr>
            </w:pPr>
          </w:p>
        </w:tc>
        <w:tc>
          <w:tcPr>
            <w:tcW w:w="2660" w:type="dxa"/>
            <w:vAlign w:val="bottom"/>
          </w:tcPr>
          <w:p>
            <w:pPr>
              <w:ind w:left="700"/>
              <w:spacing w:after="0"/>
              <w:rPr>
                <w:sz w:val="20"/>
                <w:szCs w:val="20"/>
                <w:color w:val="auto"/>
              </w:rPr>
            </w:pPr>
            <w:r>
              <w:rPr>
                <w:rFonts w:ascii="Arial" w:cs="Arial" w:eastAsia="Arial" w:hAnsi="Arial"/>
                <w:sz w:val="18"/>
                <w:szCs w:val="18"/>
                <w:color w:val="auto"/>
              </w:rPr>
              <w:t>Social Security Number:</w:t>
            </w:r>
          </w:p>
        </w:tc>
        <w:tc>
          <w:tcPr>
            <w:tcW w:w="9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r>
        <w:trPr>
          <w:trHeight w:val="304"/>
        </w:trPr>
        <w:tc>
          <w:tcPr>
            <w:tcW w:w="45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580" w:type="dxa"/>
            <w:vAlign w:val="bottom"/>
            <w:gridSpan w:val="2"/>
          </w:tcPr>
          <w:p>
            <w:pPr>
              <w:ind w:left="700"/>
              <w:spacing w:after="0"/>
              <w:rPr>
                <w:sz w:val="20"/>
                <w:szCs w:val="20"/>
                <w:color w:val="auto"/>
              </w:rPr>
            </w:pPr>
            <w:r>
              <w:rPr>
                <w:rFonts w:ascii="Arial" w:cs="Arial" w:eastAsia="Arial" w:hAnsi="Arial"/>
                <w:sz w:val="18"/>
                <w:szCs w:val="18"/>
                <w:color w:val="auto"/>
              </w:rPr>
              <w:t>Employee Number:</w:t>
            </w:r>
          </w:p>
        </w:tc>
        <w:tc>
          <w:tcPr>
            <w:tcW w:w="2940" w:type="dxa"/>
            <w:vAlign w:val="bottom"/>
          </w:tcPr>
          <w:p>
            <w:pPr>
              <w:spacing w:after="0"/>
              <w:rPr>
                <w:sz w:val="24"/>
                <w:szCs w:val="24"/>
                <w:color w:val="auto"/>
              </w:rPr>
            </w:pPr>
          </w:p>
        </w:tc>
      </w:tr>
      <w:tr>
        <w:trPr>
          <w:trHeight w:val="237"/>
        </w:trPr>
        <w:tc>
          <w:tcPr>
            <w:tcW w:w="760" w:type="dxa"/>
            <w:vAlign w:val="bottom"/>
          </w:tcPr>
          <w:p>
            <w:pPr>
              <w:spacing w:after="0"/>
              <w:rPr>
                <w:sz w:val="20"/>
                <w:szCs w:val="20"/>
                <w:color w:val="auto"/>
              </w:rPr>
            </w:pPr>
          </w:p>
        </w:tc>
        <w:tc>
          <w:tcPr>
            <w:tcW w:w="3740" w:type="dxa"/>
            <w:vAlign w:val="bottom"/>
            <w:tcBorders>
              <w:top w:val="single" w:sz="8" w:color="auto"/>
              <w:bottom w:val="single" w:sz="8" w:color="auto"/>
            </w:tcBorders>
          </w:tcPr>
          <w:p>
            <w:pPr>
              <w:spacing w:after="0"/>
              <w:rPr>
                <w:sz w:val="20"/>
                <w:szCs w:val="20"/>
                <w:color w:val="auto"/>
              </w:rPr>
            </w:pPr>
          </w:p>
        </w:tc>
        <w:tc>
          <w:tcPr>
            <w:tcW w:w="26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spacing w:after="0"/>
              <w:rPr>
                <w:sz w:val="20"/>
                <w:szCs w:val="20"/>
                <w:color w:val="auto"/>
              </w:rPr>
            </w:pPr>
          </w:p>
        </w:tc>
      </w:tr>
      <w:tr>
        <w:trPr>
          <w:trHeight w:val="426"/>
        </w:trPr>
        <w:tc>
          <w:tcPr>
            <w:tcW w:w="8080" w:type="dxa"/>
            <w:vAlign w:val="bottom"/>
            <w:gridSpan w:val="4"/>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this information on the option being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tc>
        <w:tc>
          <w:tcPr>
            <w:tcW w:w="2940" w:type="dxa"/>
            <w:vAlign w:val="bottom"/>
          </w:tcPr>
          <w:p>
            <w:pPr>
              <w:spacing w:after="0"/>
              <w:rPr>
                <w:sz w:val="24"/>
                <w:szCs w:val="24"/>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color w:val="auto"/>
              </w:rPr>
              <w:t>Grant No.</w:t>
            </w: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Date of Grant:</w:t>
            </w: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Pr>
          <w:p>
            <w:pPr>
              <w:ind w:left="620"/>
              <w:spacing w:after="0"/>
              <w:rPr>
                <w:sz w:val="20"/>
                <w:szCs w:val="20"/>
                <w:color w:val="auto"/>
              </w:rPr>
            </w:pPr>
            <w:r>
              <w:rPr>
                <w:rFonts w:ascii="Arial" w:cs="Arial" w:eastAsia="Arial" w:hAnsi="Arial"/>
                <w:sz w:val="18"/>
                <w:szCs w:val="18"/>
                <w:color w:val="auto"/>
              </w:rPr>
              <w:t>Type of Stock Option:</w:t>
            </w:r>
          </w:p>
        </w:tc>
      </w:tr>
      <w:tr>
        <w:trPr>
          <w:trHeight w:val="352"/>
        </w:trPr>
        <w:tc>
          <w:tcPr>
            <w:tcW w:w="4500" w:type="dxa"/>
            <w:vAlign w:val="bottom"/>
            <w:gridSpan w:val="2"/>
          </w:tcPr>
          <w:p>
            <w:pPr>
              <w:spacing w:after="0"/>
              <w:rPr>
                <w:sz w:val="20"/>
                <w:szCs w:val="20"/>
                <w:color w:val="auto"/>
              </w:rPr>
            </w:pPr>
            <w:r>
              <w:rPr>
                <w:rFonts w:ascii="Arial" w:cs="Arial" w:eastAsia="Arial" w:hAnsi="Arial"/>
                <w:sz w:val="18"/>
                <w:szCs w:val="18"/>
                <w:color w:val="auto"/>
              </w:rPr>
              <w:t>Option Price per Share: $</w:t>
            </w: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(NQSO)</w:t>
            </w:r>
          </w:p>
        </w:tc>
      </w:tr>
      <w:tr>
        <w:trPr>
          <w:trHeight w:val="324"/>
        </w:trPr>
        <w:tc>
          <w:tcPr>
            <w:tcW w:w="8080" w:type="dxa"/>
            <w:vAlign w:val="bottom"/>
            <w:gridSpan w:val="4"/>
          </w:tcPr>
          <w:p>
            <w:pPr>
              <w:spacing w:after="0"/>
              <w:rPr>
                <w:sz w:val="20"/>
                <w:szCs w:val="20"/>
                <w:color w:val="auto"/>
              </w:rPr>
            </w:pPr>
            <w:r>
              <w:rPr>
                <w:rFonts w:ascii="Arial" w:cs="Arial" w:eastAsia="Arial" w:hAnsi="Arial"/>
                <w:sz w:val="18"/>
                <w:szCs w:val="18"/>
                <w:color w:val="auto"/>
              </w:rPr>
              <w:t>Total number of shares of Common Stock of the Company subject to the Option:</w:t>
            </w:r>
          </w:p>
        </w:tc>
        <w:tc>
          <w:tcPr>
            <w:tcW w:w="294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r>
    </w:tbl>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Number of shares of Common Stock of the Company for which the Option is now being exercised [ ]. (These shares are referred to below as the “</w:t>
      </w:r>
      <w:r>
        <w:rPr>
          <w:rFonts w:ascii="Arial" w:cs="Arial" w:eastAsia="Arial" w:hAnsi="Arial"/>
          <w:sz w:val="18"/>
          <w:szCs w:val="18"/>
          <w:b w:val="1"/>
          <w:bCs w:val="1"/>
          <w:i w:val="1"/>
          <w:iCs w:val="1"/>
          <w:color w:val="auto"/>
        </w:rPr>
        <w:t>Purchased Shares</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Exercise Price Being Paid for the Purchased Shares: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443"/>
        </w:numPr>
        <w:rPr>
          <w:rFonts w:ascii="MS PGothic" w:cs="MS PGothic" w:eastAsia="MS PGothic" w:hAnsi="MS PGothic"/>
          <w:sz w:val="18"/>
          <w:szCs w:val="18"/>
          <w:color w:val="auto"/>
        </w:rPr>
      </w:pPr>
      <w:r>
        <w:rPr>
          <w:rFonts w:ascii="Arial" w:cs="Arial" w:eastAsia="Arial" w:hAnsi="Arial"/>
          <w:sz w:val="18"/>
          <w:szCs w:val="18"/>
          <w:color w:val="auto"/>
        </w:rPr>
        <w:t>Check for $ , payable to “</w:t>
      </w:r>
      <w:r>
        <w:rPr>
          <w:rFonts w:ascii="Arial" w:cs="Arial" w:eastAsia="Arial" w:hAnsi="Arial"/>
          <w:sz w:val="18"/>
          <w:szCs w:val="18"/>
          <w:b w:val="1"/>
          <w:bCs w:val="1"/>
          <w:i w:val="1"/>
          <w:iCs w:val="1"/>
          <w:color w:val="auto"/>
        </w:rPr>
        <w:t>Aeglea BioTherapeutics, Inc.</w:t>
      </w:r>
      <w:r>
        <w:rPr>
          <w:rFonts w:ascii="Arial" w:cs="Arial" w:eastAsia="Arial" w:hAnsi="Arial"/>
          <w:sz w:val="18"/>
          <w:szCs w:val="18"/>
          <w:color w:val="auto"/>
        </w:rPr>
        <w:t>.”</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443"/>
        </w:numPr>
        <w:rPr>
          <w:rFonts w:ascii="MS PGothic" w:cs="MS PGothic" w:eastAsia="MS PGothic" w:hAnsi="MS PGothic"/>
          <w:sz w:val="16"/>
          <w:szCs w:val="16"/>
          <w:color w:val="auto"/>
        </w:rPr>
      </w:pPr>
      <w:r>
        <w:rPr>
          <w:rFonts w:ascii="Arial" w:cs="Arial" w:eastAsia="Arial" w:hAnsi="Arial"/>
          <w:sz w:val="16"/>
          <w:szCs w:val="16"/>
          <w:color w:val="auto"/>
        </w:rPr>
        <w:t>Certificate(s) for shares of Common Stock of the Company. These shares will be valued as of the date this notice is received by the Company.</w:t>
      </w:r>
    </w:p>
    <w:p>
      <w:pPr>
        <w:spacing w:after="0" w:line="48" w:lineRule="exact"/>
        <w:rPr>
          <w:rFonts w:ascii="MS PGothic" w:cs="MS PGothic" w:eastAsia="MS PGothic" w:hAnsi="MS PGothic"/>
          <w:sz w:val="16"/>
          <w:szCs w:val="16"/>
          <w:color w:val="auto"/>
        </w:rPr>
      </w:pPr>
    </w:p>
    <w:p>
      <w:pPr>
        <w:ind w:left="424"/>
        <w:spacing w:after="0"/>
        <w:rPr>
          <w:rFonts w:ascii="MS PGothic" w:cs="MS PGothic" w:eastAsia="MS PGothic" w:hAnsi="MS PGothic"/>
          <w:sz w:val="16"/>
          <w:szCs w:val="16"/>
          <w:color w:val="auto"/>
        </w:rPr>
      </w:pPr>
      <w:r>
        <w:rPr>
          <w:rFonts w:ascii="Arial" w:cs="Arial" w:eastAsia="Arial" w:hAnsi="Arial"/>
          <w:sz w:val="18"/>
          <w:szCs w:val="18"/>
          <w:b w:val="1"/>
          <w:bCs w:val="1"/>
          <w:i w:val="1"/>
          <w:iCs w:val="1"/>
          <w:color w:val="auto"/>
        </w:rPr>
        <w:t>[Requires Company consent.]</w:t>
      </w:r>
    </w:p>
    <w:p>
      <w:pPr>
        <w:spacing w:after="0" w:line="205" w:lineRule="exact"/>
        <w:rPr>
          <w:sz w:val="20"/>
          <w:szCs w:val="20"/>
          <w:color w:val="auto"/>
        </w:rPr>
      </w:pPr>
    </w:p>
    <w:p>
      <w:pPr>
        <w:ind w:left="4" w:right="58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CKNOWLEDGMENTS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Stock Option Exercise Notice and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hereby agrees with, and represents to, the Company as follows:</w:t>
      </w:r>
    </w:p>
    <w:p>
      <w:pPr>
        <w:spacing w:after="0" w:line="67" w:lineRule="exact"/>
        <w:rPr>
          <w:sz w:val="20"/>
          <w:szCs w:val="20"/>
          <w:color w:val="auto"/>
        </w:rPr>
      </w:pPr>
    </w:p>
    <w:p>
      <w:pPr>
        <w:ind w:left="424" w:right="140" w:hanging="424"/>
        <w:spacing w:after="0" w:line="266" w:lineRule="auto"/>
        <w:tabs>
          <w:tab w:leader="none" w:pos="424"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Terms Governing. </w:t>
      </w:r>
      <w:r>
        <w:rPr>
          <w:rFonts w:ascii="Arial" w:cs="Arial" w:eastAsia="Arial" w:hAnsi="Arial"/>
          <w:sz w:val="18"/>
          <w:szCs w:val="18"/>
          <w:color w:val="auto"/>
        </w:rPr>
        <w:t>I acknowledge and agree with the Company that I am acquiring the Purchased Shares by exercise of this Option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terms and conditions of the Notice of Stock Option Grant and the Stock Option Agreement that govern the Option, including without limitation the terms of the Company’s 2015 Equity Incentive Plan, as it may be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424" w:right="80" w:hanging="424"/>
        <w:spacing w:after="0" w:line="273" w:lineRule="auto"/>
        <w:tabs>
          <w:tab w:leader="none" w:pos="424" w:val="left"/>
        </w:tabs>
        <w:numPr>
          <w:ilvl w:val="0"/>
          <w:numId w:val="444"/>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Intent; Securities Law Restrictions. </w:t>
      </w:r>
      <w:r>
        <w:rPr>
          <w:rFonts w:ascii="Arial" w:cs="Arial" w:eastAsia="Arial" w:hAnsi="Arial"/>
          <w:sz w:val="17"/>
          <w:szCs w:val="17"/>
          <w:color w:val="auto"/>
        </w:rPr>
        <w:t>I represent and warrant to the Company that I am acquiring and will hold the Purchased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for investment for my account only, and not with a view to, or for resale in connection with, any “distribution” of the Purchased Shares within the meaning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ectPr>
          <w:pgSz w:w="11900" w:h="16838" w:orient="portrait"/>
          <w:cols w:equalWidth="0" w:num="1">
            <w:col w:w="11024"/>
          </w:cols>
          <w:pgMar w:left="436" w:top="269" w:right="439" w:bottom="1440" w:gutter="0" w:footer="0" w:header="0"/>
        </w:sectPr>
      </w:pPr>
    </w:p>
    <w:bookmarkStart w:id="545" w:name="page546"/>
    <w:bookmarkEnd w:id="545"/>
    <w:p>
      <w:pPr>
        <w:ind w:left="424" w:right="80" w:hanging="424"/>
        <w:spacing w:after="0" w:line="272" w:lineRule="auto"/>
        <w:tabs>
          <w:tab w:leader="none" w:pos="424" w:val="left"/>
        </w:tabs>
        <w:numPr>
          <w:ilvl w:val="0"/>
          <w:numId w:val="44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Restrictions on Transfer: Rule 144. </w:t>
      </w:r>
      <w:r>
        <w:rPr>
          <w:rFonts w:ascii="Arial" w:cs="Arial" w:eastAsia="Arial" w:hAnsi="Arial"/>
          <w:sz w:val="17"/>
          <w:szCs w:val="17"/>
          <w:color w:val="auto"/>
        </w:rPr>
        <w:t>I will not sell, transfer or otherwise dispose of the Purchased Shares in violation of the Securities Act,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77" w:lineRule="exact"/>
        <w:rPr>
          <w:rFonts w:ascii="Arial" w:cs="Arial" w:eastAsia="Arial" w:hAnsi="Arial"/>
          <w:sz w:val="17"/>
          <w:szCs w:val="17"/>
          <w:b w:val="1"/>
          <w:bCs w:val="1"/>
          <w:color w:val="auto"/>
        </w:rPr>
      </w:pPr>
    </w:p>
    <w:p>
      <w:pPr>
        <w:ind w:left="424" w:hanging="424"/>
        <w:spacing w:after="0" w:line="298" w:lineRule="auto"/>
        <w:tabs>
          <w:tab w:leader="none" w:pos="424"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Access to Information; Understanding of Risk in Investment. </w:t>
      </w:r>
      <w:r>
        <w:rPr>
          <w:rFonts w:ascii="Arial" w:cs="Arial" w:eastAsia="Arial" w:hAnsi="Arial"/>
          <w:sz w:val="16"/>
          <w:szCs w:val="16"/>
          <w:color w:val="auto"/>
        </w:rPr>
        <w:t>I acknowledge that I have received and had access to such information as I</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59" w:lineRule="exact"/>
        <w:rPr>
          <w:rFonts w:ascii="Arial" w:cs="Arial" w:eastAsia="Arial" w:hAnsi="Arial"/>
          <w:sz w:val="16"/>
          <w:szCs w:val="16"/>
          <w:b w:val="1"/>
          <w:bCs w:val="1"/>
          <w:color w:val="auto"/>
        </w:rPr>
      </w:pPr>
    </w:p>
    <w:p>
      <w:pPr>
        <w:ind w:left="424" w:right="20" w:hanging="424"/>
        <w:spacing w:after="0" w:line="266" w:lineRule="auto"/>
        <w:tabs>
          <w:tab w:leader="none" w:pos="424"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First Refusal; Market Stand-off. </w:t>
      </w:r>
      <w:r>
        <w:rPr>
          <w:rFonts w:ascii="Arial" w:cs="Arial" w:eastAsia="Arial" w:hAnsi="Arial"/>
          <w:sz w:val="18"/>
          <w:szCs w:val="18"/>
          <w:color w:val="auto"/>
        </w:rPr>
        <w:t>I acknowledge that the Purchased Shares remain subject to the Company’s Right of First Refusal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 stand-off covenants (sometimes referred to as the “lock-up”), all in accordance with the applicable Notice of Stock Option Grant and the Stock Option Agreement that govern the Option.</w:t>
      </w:r>
    </w:p>
    <w:p>
      <w:pPr>
        <w:spacing w:after="0" w:line="81" w:lineRule="exact"/>
        <w:rPr>
          <w:rFonts w:ascii="Arial" w:cs="Arial" w:eastAsia="Arial" w:hAnsi="Arial"/>
          <w:sz w:val="18"/>
          <w:szCs w:val="18"/>
          <w:b w:val="1"/>
          <w:bCs w:val="1"/>
          <w:color w:val="auto"/>
        </w:rPr>
      </w:pPr>
    </w:p>
    <w:p>
      <w:pPr>
        <w:ind w:left="424" w:right="100" w:hanging="424"/>
        <w:spacing w:after="0" w:line="258" w:lineRule="auto"/>
        <w:tabs>
          <w:tab w:leader="none" w:pos="424"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Ownership. </w:t>
      </w:r>
      <w:r>
        <w:rPr>
          <w:rFonts w:ascii="Arial" w:cs="Arial" w:eastAsia="Arial" w:hAnsi="Arial"/>
          <w:sz w:val="18"/>
          <w:szCs w:val="18"/>
          <w:color w:val="auto"/>
        </w:rPr>
        <w:t>I acknowledge that the Company has encouraged me to consult my own adviser to determine the form of ownership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8" w:lineRule="exact"/>
        <w:rPr>
          <w:rFonts w:ascii="Arial" w:cs="Arial" w:eastAsia="Arial" w:hAnsi="Arial"/>
          <w:sz w:val="18"/>
          <w:szCs w:val="18"/>
          <w:b w:val="1"/>
          <w:bCs w:val="1"/>
          <w:color w:val="auto"/>
        </w:rPr>
      </w:pPr>
    </w:p>
    <w:p>
      <w:pPr>
        <w:ind w:left="424" w:right="600" w:hanging="424"/>
        <w:spacing w:after="0" w:line="282" w:lineRule="auto"/>
        <w:tabs>
          <w:tab w:leader="none" w:pos="424"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Investigation of Tax Consequences. </w:t>
      </w:r>
      <w:r>
        <w:rPr>
          <w:rFonts w:ascii="Arial" w:cs="Arial" w:eastAsia="Arial" w:hAnsi="Arial"/>
          <w:sz w:val="18"/>
          <w:szCs w:val="18"/>
          <w:color w:val="auto"/>
        </w:rPr>
        <w:t>I acknowledge that the Company has encouraged me to consult my own adviser to determine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acquiring the Purchased Shares at this time.</w:t>
      </w:r>
    </w:p>
    <w:p>
      <w:pPr>
        <w:spacing w:after="0" w:line="67" w:lineRule="exact"/>
        <w:rPr>
          <w:rFonts w:ascii="Arial" w:cs="Arial" w:eastAsia="Arial" w:hAnsi="Arial"/>
          <w:sz w:val="18"/>
          <w:szCs w:val="18"/>
          <w:b w:val="1"/>
          <w:bCs w:val="1"/>
          <w:color w:val="auto"/>
        </w:rPr>
      </w:pPr>
    </w:p>
    <w:p>
      <w:pPr>
        <w:ind w:left="424" w:right="40" w:hanging="424"/>
        <w:spacing w:after="0" w:line="291" w:lineRule="auto"/>
        <w:tabs>
          <w:tab w:leader="none" w:pos="424"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Tax Matters. </w:t>
      </w:r>
      <w:r>
        <w:rPr>
          <w:rFonts w:ascii="Arial" w:cs="Arial" w:eastAsia="Arial" w:hAnsi="Arial"/>
          <w:sz w:val="16"/>
          <w:szCs w:val="16"/>
          <w:color w:val="auto"/>
        </w:rPr>
        <w:t>I agree that the Company does not have a duty to design or administer the Plan or its other compensation programs in a</w:t>
      </w:r>
      <w:r>
        <w:rPr>
          <w:rFonts w:ascii="Arial" w:cs="Arial" w:eastAsia="Arial" w:hAnsi="Arial"/>
          <w:sz w:val="16"/>
          <w:szCs w:val="16"/>
          <w:b w:val="1"/>
          <w:bCs w:val="1"/>
          <w:color w:val="auto"/>
        </w:rPr>
        <w:t xml:space="preserve"> </w:t>
      </w:r>
      <w:r>
        <w:rPr>
          <w:rFonts w:ascii="Arial" w:cs="Arial" w:eastAsia="Arial" w:hAnsi="Arial"/>
          <w:sz w:val="16"/>
          <w:szCs w:val="16"/>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64" w:lineRule="exact"/>
        <w:rPr>
          <w:rFonts w:ascii="Arial" w:cs="Arial" w:eastAsia="Arial" w:hAnsi="Arial"/>
          <w:sz w:val="16"/>
          <w:szCs w:val="16"/>
          <w:b w:val="1"/>
          <w:bCs w:val="1"/>
          <w:color w:val="auto"/>
        </w:rPr>
      </w:pPr>
    </w:p>
    <w:p>
      <w:pPr>
        <w:ind w:left="424" w:hanging="424"/>
        <w:spacing w:after="0"/>
        <w:tabs>
          <w:tab w:leader="none" w:pos="424"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Spouse Consent. </w:t>
      </w:r>
      <w:r>
        <w:rPr>
          <w:rFonts w:ascii="Arial" w:cs="Arial" w:eastAsia="Arial" w:hAnsi="Arial"/>
          <w:sz w:val="18"/>
          <w:szCs w:val="18"/>
          <w:color w:val="auto"/>
        </w:rPr>
        <w:t>I agree to seek the consent of my spouse to the extent required by the Company to enforce the foregoing.</w:t>
      </w:r>
    </w:p>
    <w:p>
      <w:pPr>
        <w:spacing w:after="0" w:line="130" w:lineRule="exact"/>
        <w:rPr>
          <w:rFonts w:ascii="Arial" w:cs="Arial" w:eastAsia="Arial" w:hAnsi="Arial"/>
          <w:sz w:val="18"/>
          <w:szCs w:val="18"/>
          <w:b w:val="1"/>
          <w:bCs w:val="1"/>
          <w:color w:val="auto"/>
        </w:rPr>
      </w:pPr>
    </w:p>
    <w:p>
      <w:pPr>
        <w:jc w:val="both"/>
        <w:ind w:left="424" w:right="80" w:hanging="424"/>
        <w:spacing w:after="0" w:line="266" w:lineRule="auto"/>
        <w:tabs>
          <w:tab w:leader="none" w:pos="424"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As a condition of exercising this Option, I agree to make adequate provision for foreign, federal, state or other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if any, which arise upon the grant, vesting or exercise of this Option, or disposition of the Purchased Shares, whether by withholding, direct payment to the Company, or otherwise.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undersigned hereby executes and delivers this Stock Option Exercise Notice and Agreement to agrees to be bound by its terms</w:t>
      </w:r>
    </w:p>
    <w:p>
      <w:pPr>
        <w:spacing w:after="0" w:line="248" w:lineRule="exact"/>
        <w:rPr>
          <w:sz w:val="20"/>
          <w:szCs w:val="20"/>
          <w:color w:val="auto"/>
        </w:rPr>
      </w:pPr>
    </w:p>
    <w:p>
      <w:pPr>
        <w:ind w:left="4"/>
        <w:spacing w:after="0"/>
        <w:tabs>
          <w:tab w:leader="none" w:pos="5384"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266065</wp:posOffset>
            </wp:positionV>
            <wp:extent cx="128524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5">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color w:val="auto"/>
        </w:rPr>
        <w:t>Optionee’s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287147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6">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[Signature Page to Stock Option Exercise Notice and Agreement]</w:t>
      </w:r>
    </w:p>
    <w:p>
      <w:pPr>
        <w:sectPr>
          <w:pgSz w:w="11900" w:h="16838" w:orient="portrait"/>
          <w:cols w:equalWidth="0" w:num="1">
            <w:col w:w="11004"/>
          </w:cols>
          <w:pgMar w:left="436" w:top="269" w:right="459"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GRANT NO</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EGLEA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ind w:left="4" w:right="200"/>
        <w:spacing w:after="0" w:line="279" w:lineRule="auto"/>
        <w:rPr>
          <w:sz w:val="20"/>
          <w:szCs w:val="20"/>
          <w:color w:val="auto"/>
        </w:rPr>
      </w:pPr>
      <w:r>
        <w:rPr>
          <w:rFonts w:ascii="Arial" w:cs="Arial" w:eastAsia="Arial" w:hAnsi="Arial"/>
          <w:sz w:val="17"/>
          <w:szCs w:val="17"/>
          <w:color w:val="auto"/>
        </w:rPr>
        <w:t>The Optionee named below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has been granted an option (this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$0.001 par value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Aeglea BioTherapeutics,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the Company’s 2015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on the terms, and subject to the conditions, described below and in the Stock Option Agreement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including its annexes (the “</w:t>
      </w:r>
      <w:r>
        <w:rPr>
          <w:rFonts w:ascii="Arial" w:cs="Arial" w:eastAsia="Arial" w:hAnsi="Arial"/>
          <w:sz w:val="17"/>
          <w:szCs w:val="17"/>
          <w:b w:val="1"/>
          <w:bCs w:val="1"/>
          <w:i w:val="1"/>
          <w:iCs w:val="1"/>
          <w:color w:val="auto"/>
        </w:rPr>
        <w:t>Stock Option Agreement</w:t>
      </w:r>
      <w:r>
        <w:rPr>
          <w:rFonts w:ascii="Arial" w:cs="Arial" w:eastAsia="Arial" w:hAnsi="Arial"/>
          <w:sz w:val="17"/>
          <w:szCs w:val="17"/>
          <w:color w:val="auto"/>
        </w:rPr>
        <w:t>”).</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Optionee: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Maximum Number of Shares Subject to</w:t>
      </w:r>
    </w:p>
    <w:p>
      <w:pPr>
        <w:spacing w:after="0" w:line="27" w:lineRule="exact"/>
        <w:rPr>
          <w:sz w:val="20"/>
          <w:szCs w:val="20"/>
          <w:color w:val="auto"/>
        </w:rPr>
      </w:pPr>
    </w:p>
    <w:p>
      <w:pPr>
        <w:ind w:left="184"/>
        <w:spacing w:after="0"/>
        <w:rPr>
          <w:sz w:val="20"/>
          <w:szCs w:val="20"/>
          <w:color w:val="auto"/>
        </w:rPr>
      </w:pPr>
      <w:r>
        <w:rPr>
          <w:rFonts w:ascii="Arial" w:cs="Arial" w:eastAsia="Arial" w:hAnsi="Arial"/>
          <w:sz w:val="18"/>
          <w:szCs w:val="18"/>
          <w:b w:val="1"/>
          <w:bCs w:val="1"/>
          <w:color w:val="auto"/>
        </w:rPr>
        <w:t>this Option (the “</w:t>
      </w:r>
      <w:r>
        <w:rPr>
          <w:rFonts w:ascii="Arial" w:cs="Arial" w:eastAsia="Arial" w:hAnsi="Arial"/>
          <w:sz w:val="18"/>
          <w:szCs w:val="18"/>
          <w:b w:val="1"/>
          <w:bCs w:val="1"/>
          <w:i w:val="1"/>
          <w:iCs w:val="1"/>
          <w:color w:val="auto"/>
        </w:rPr>
        <w:t>Shares</w:t>
      </w:r>
      <w:r>
        <w:rPr>
          <w:rFonts w:ascii="Arial" w:cs="Arial" w:eastAsia="Arial" w:hAnsi="Arial"/>
          <w:sz w:val="18"/>
          <w:szCs w:val="18"/>
          <w:b w:val="1"/>
          <w:bCs w:val="1"/>
          <w:color w:val="auto"/>
        </w:rPr>
        <w:t>”):</w:t>
      </w:r>
    </w:p>
    <w:p>
      <w:pPr>
        <w:spacing w:after="0" w:line="9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Exercise Price Per Share:</w:t>
            </w:r>
          </w:p>
        </w:tc>
        <w:tc>
          <w:tcPr>
            <w:tcW w:w="8200" w:type="dxa"/>
            <w:vAlign w:val="bottom"/>
            <w:gridSpan w:val="3"/>
          </w:tcPr>
          <w:p>
            <w:pPr>
              <w:ind w:left="620"/>
              <w:spacing w:after="0"/>
              <w:rPr>
                <w:sz w:val="20"/>
                <w:szCs w:val="20"/>
                <w:color w:val="auto"/>
              </w:rPr>
            </w:pPr>
            <w:r>
              <w:rPr>
                <w:rFonts w:ascii="Arial" w:cs="Arial" w:eastAsia="Arial" w:hAnsi="Arial"/>
                <w:sz w:val="18"/>
                <w:szCs w:val="18"/>
                <w:color w:val="auto"/>
              </w:rPr>
              <w:t>$ per share</w:t>
            </w:r>
          </w:p>
        </w:tc>
      </w:tr>
      <w:tr>
        <w:trPr>
          <w:trHeight w:val="324"/>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Date of Grant:</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324"/>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Vesting Start Date:</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3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Exercise Schedule:</w:t>
            </w:r>
          </w:p>
        </w:tc>
        <w:tc>
          <w:tcPr>
            <w:tcW w:w="8200" w:type="dxa"/>
            <w:vAlign w:val="bottom"/>
            <w:gridSpan w:val="3"/>
          </w:tcPr>
          <w:p>
            <w:pPr>
              <w:ind w:left="620"/>
              <w:spacing w:after="0"/>
              <w:rPr>
                <w:sz w:val="20"/>
                <w:szCs w:val="20"/>
                <w:color w:val="auto"/>
              </w:rPr>
            </w:pPr>
            <w:r>
              <w:rPr>
                <w:rFonts w:ascii="Arial" w:cs="Arial" w:eastAsia="Arial" w:hAnsi="Arial"/>
                <w:sz w:val="18"/>
                <w:szCs w:val="18"/>
                <w:color w:val="auto"/>
                <w:w w:val="95"/>
              </w:rPr>
              <w:t>This Option is immediately exercisable for all of the Shares, subject to the terms of the Stock Option</w:t>
            </w: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200" w:type="dxa"/>
            <w:vAlign w:val="bottom"/>
            <w:gridSpan w:val="3"/>
          </w:tcPr>
          <w:p>
            <w:pPr>
              <w:ind w:left="620"/>
              <w:spacing w:after="0"/>
              <w:rPr>
                <w:sz w:val="20"/>
                <w:szCs w:val="20"/>
                <w:color w:val="auto"/>
              </w:rPr>
            </w:pPr>
            <w:r>
              <w:rPr>
                <w:rFonts w:ascii="Arial" w:cs="Arial" w:eastAsia="Arial" w:hAnsi="Arial"/>
                <w:sz w:val="18"/>
                <w:szCs w:val="18"/>
                <w:color w:val="auto"/>
              </w:rPr>
              <w:t>Agreement</w:t>
            </w:r>
          </w:p>
        </w:tc>
      </w:tr>
      <w:tr>
        <w:trPr>
          <w:trHeight w:val="3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Expiration Date:</w:t>
            </w:r>
          </w:p>
        </w:tc>
        <w:tc>
          <w:tcPr>
            <w:tcW w:w="8200" w:type="dxa"/>
            <w:vAlign w:val="bottom"/>
            <w:gridSpan w:val="3"/>
          </w:tcPr>
          <w:p>
            <w:pPr>
              <w:ind w:left="620"/>
              <w:spacing w:after="0"/>
              <w:rPr>
                <w:sz w:val="20"/>
                <w:szCs w:val="20"/>
                <w:color w:val="auto"/>
              </w:rPr>
            </w:pPr>
            <w:r>
              <w:rPr>
                <w:rFonts w:ascii="Arial" w:cs="Arial" w:eastAsia="Arial" w:hAnsi="Arial"/>
                <w:sz w:val="18"/>
                <w:szCs w:val="18"/>
                <w:color w:val="auto"/>
                <w:w w:val="90"/>
              </w:rPr>
              <w:t>The date ten (10) years after the Date of Grant set forth above, subject to earlier expiration in the event of</w:t>
            </w:r>
          </w:p>
        </w:tc>
      </w:t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200" w:type="dxa"/>
            <w:vAlign w:val="bottom"/>
            <w:gridSpan w:val="3"/>
          </w:tcPr>
          <w:p>
            <w:pPr>
              <w:ind w:left="620"/>
              <w:spacing w:after="0"/>
              <w:rPr>
                <w:sz w:val="20"/>
                <w:szCs w:val="20"/>
                <w:color w:val="auto"/>
              </w:rPr>
            </w:pPr>
            <w:r>
              <w:rPr>
                <w:rFonts w:ascii="Arial" w:cs="Arial" w:eastAsia="Arial" w:hAnsi="Arial"/>
                <w:sz w:val="18"/>
                <w:szCs w:val="18"/>
                <w:color w:val="auto"/>
              </w:rPr>
              <w:t>Termination as provided in Section 3 of the Stock Option Agreement.</w:t>
            </w:r>
          </w:p>
        </w:tc>
      </w:tr>
      <w:tr>
        <w:trPr>
          <w:trHeight w:val="27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Tax Status of Option:</w:t>
            </w:r>
          </w:p>
        </w:tc>
        <w:tc>
          <w:tcPr>
            <w:tcW w:w="8200" w:type="dxa"/>
            <w:vAlign w:val="bottom"/>
            <w:gridSpan w:val="3"/>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 (</w:t>
            </w:r>
            <w:r>
              <w:rPr>
                <w:rFonts w:ascii="Arial" w:cs="Arial" w:eastAsia="Arial" w:hAnsi="Arial"/>
                <w:sz w:val="18"/>
                <w:szCs w:val="18"/>
                <w:i w:val="1"/>
                <w:iCs w:val="1"/>
                <w:color w:val="auto"/>
              </w:rPr>
              <w:t>To the fullest extent permitted by the Code</w:t>
            </w:r>
            <w:r>
              <w:rPr>
                <w:rFonts w:ascii="Arial" w:cs="Arial" w:eastAsia="Arial" w:hAnsi="Arial"/>
                <w:sz w:val="18"/>
                <w:szCs w:val="18"/>
                <w:color w:val="auto"/>
              </w:rPr>
              <w:t>)</w:t>
            </w:r>
          </w:p>
        </w:tc>
      </w:tr>
      <w:tr>
        <w:trPr>
          <w:trHeight w:val="229"/>
        </w:trPr>
        <w:tc>
          <w:tcPr>
            <w:tcW w:w="2580" w:type="dxa"/>
            <w:vAlign w:val="bottom"/>
            <w:gridSpan w:val="3"/>
          </w:tcPr>
          <w:p>
            <w:pPr>
              <w:spacing w:after="0"/>
              <w:rPr>
                <w:sz w:val="20"/>
                <w:szCs w:val="20"/>
                <w:color w:val="auto"/>
              </w:rPr>
            </w:pPr>
            <w:r>
              <w:rPr>
                <w:rFonts w:ascii="Arial" w:cs="Arial" w:eastAsia="Arial" w:hAnsi="Arial"/>
                <w:sz w:val="18"/>
                <w:szCs w:val="18"/>
                <w:color w:val="auto"/>
              </w:rPr>
              <w:t xml:space="preserve">(Check </w:t>
            </w:r>
            <w:r>
              <w:rPr>
                <w:rFonts w:ascii="Arial" w:cs="Arial" w:eastAsia="Arial" w:hAnsi="Arial"/>
                <w:sz w:val="18"/>
                <w:szCs w:val="18"/>
                <w:i w:val="1"/>
                <w:iCs w:val="1"/>
                <w:color w:val="auto"/>
              </w:rPr>
              <w:t>Only</w:t>
            </w:r>
            <w:r>
              <w:rPr>
                <w:rFonts w:ascii="Arial" w:cs="Arial" w:eastAsia="Arial" w:hAnsi="Arial"/>
                <w:sz w:val="18"/>
                <w:szCs w:val="18"/>
                <w:color w:val="auto"/>
              </w:rPr>
              <w:t xml:space="preserve"> One Box):</w:t>
            </w:r>
          </w:p>
        </w:tc>
        <w:tc>
          <w:tcPr>
            <w:tcW w:w="8200" w:type="dxa"/>
            <w:vAlign w:val="bottom"/>
            <w:gridSpan w:val="3"/>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Stock Option.</w:t>
            </w:r>
          </w:p>
        </w:tc>
      </w:tr>
      <w:tr>
        <w:trPr>
          <w:trHeight w:val="196"/>
        </w:trPr>
        <w:tc>
          <w:tcPr>
            <w:tcW w:w="5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8200" w:type="dxa"/>
            <w:vAlign w:val="bottom"/>
            <w:gridSpan w:val="3"/>
          </w:tcPr>
          <w:p>
            <w:pPr>
              <w:ind w:left="6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neither box is checked, this Option is a Nonqualified Stock Option</w:t>
            </w:r>
            <w:r>
              <w:rPr>
                <w:rFonts w:ascii="Arial" w:cs="Arial" w:eastAsia="Arial" w:hAnsi="Arial"/>
                <w:sz w:val="18"/>
                <w:szCs w:val="18"/>
                <w:color w:val="auto"/>
              </w:rPr>
              <w:t>).</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Vesting Schedule [EXAMPLE ONLY]: </w:t>
      </w:r>
      <w:r>
        <w:rPr>
          <w:rFonts w:ascii="Arial" w:cs="Arial" w:eastAsia="Arial" w:hAnsi="Arial"/>
          <w:sz w:val="16"/>
          <w:szCs w:val="16"/>
          <w:color w:val="auto"/>
        </w:rPr>
        <w:t>For so long as Optionee continuously provides services to the Company (or any Subsidiary or Parent of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Company) as an employee, officer, director, contractor or consultant, the Shares subject to this Option will vest as follows: (a) prior to the first one</w:t>
      </w:r>
    </w:p>
    <w:p>
      <w:pPr>
        <w:spacing w:after="0" w:line="21" w:lineRule="exact"/>
        <w:rPr>
          <w:sz w:val="20"/>
          <w:szCs w:val="20"/>
          <w:color w:val="auto"/>
        </w:rPr>
      </w:pPr>
    </w:p>
    <w:p>
      <w:pPr>
        <w:ind w:left="4" w:right="120" w:hanging="4"/>
        <w:spacing w:after="0" w:line="277" w:lineRule="auto"/>
        <w:tabs>
          <w:tab w:leader="none" w:pos="259" w:val="left"/>
        </w:tabs>
        <w:numPr>
          <w:ilvl w:val="0"/>
          <w:numId w:val="446"/>
        </w:numPr>
        <w:rPr>
          <w:rFonts w:ascii="Arial" w:cs="Arial" w:eastAsia="Arial" w:hAnsi="Arial"/>
          <w:sz w:val="17"/>
          <w:szCs w:val="17"/>
          <w:color w:val="auto"/>
        </w:rPr>
      </w:pPr>
      <w:r>
        <w:rPr>
          <w:rFonts w:ascii="Arial" w:cs="Arial" w:eastAsia="Arial" w:hAnsi="Arial"/>
          <w:sz w:val="17"/>
          <w:szCs w:val="17"/>
          <w:color w:val="auto"/>
        </w:rPr>
        <w:t>year anniversary of the Vesting Start Date, none of the Shares will be vested; (b) [</w:t>
      </w:r>
      <w:r>
        <w:rPr>
          <w:rFonts w:ascii="Arial" w:cs="Arial" w:eastAsia="Arial" w:hAnsi="Arial"/>
          <w:sz w:val="17"/>
          <w:szCs w:val="17"/>
          <w:b w:val="1"/>
          <w:bCs w:val="1"/>
          <w:color w:val="auto"/>
        </w:rPr>
        <w:t>1/4th]</w:t>
      </w:r>
      <w:r>
        <w:rPr>
          <w:rFonts w:ascii="Arial" w:cs="Arial" w:eastAsia="Arial" w:hAnsi="Arial"/>
          <w:sz w:val="17"/>
          <w:szCs w:val="17"/>
          <w:color w:val="auto"/>
        </w:rPr>
        <w:t xml:space="preserve"> of the Shares will be vested on the one (1) year anniversary of the Vesting Start Date; and (c) thereafter, this Option will become vested and exercisable with respect to an additional [</w:t>
      </w:r>
      <w:r>
        <w:rPr>
          <w:rFonts w:ascii="Arial" w:cs="Arial" w:eastAsia="Arial" w:hAnsi="Arial"/>
          <w:sz w:val="17"/>
          <w:szCs w:val="17"/>
          <w:b w:val="1"/>
          <w:bCs w:val="1"/>
          <w:color w:val="auto"/>
        </w:rPr>
        <w:t>1/48th</w:t>
      </w:r>
      <w:r>
        <w:rPr>
          <w:rFonts w:ascii="Arial" w:cs="Arial" w:eastAsia="Arial" w:hAnsi="Arial"/>
          <w:sz w:val="17"/>
          <w:szCs w:val="17"/>
          <w:color w:val="auto"/>
        </w:rPr>
        <w:t>] of the Shares when Optionee completes each month of continuous service following the first one (1) year anniversary of the Vesting Start Date.</w:t>
      </w:r>
    </w:p>
    <w:p>
      <w:pPr>
        <w:spacing w:after="0" w:line="169"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b w:val="1"/>
          <w:bCs w:val="1"/>
          <w:color w:val="auto"/>
        </w:rPr>
        <w:t xml:space="preserve">General; Agreement: </w:t>
      </w:r>
      <w:r>
        <w:rPr>
          <w:rFonts w:ascii="Arial" w:cs="Arial" w:eastAsia="Arial" w:hAnsi="Arial"/>
          <w:sz w:val="17"/>
          <w:szCs w:val="17"/>
          <w:color w:val="auto"/>
        </w:rPr>
        <w:t>By their signatures below, Optionee and the Company agree that this Option is granted under and governed by this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Grant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w:t>
      </w:r>
    </w:p>
    <w:p>
      <w:pPr>
        <w:spacing w:after="0" w:line="172" w:lineRule="exact"/>
        <w:rPr>
          <w:sz w:val="20"/>
          <w:szCs w:val="20"/>
          <w:color w:val="auto"/>
        </w:rPr>
      </w:pPr>
    </w:p>
    <w:p>
      <w:pPr>
        <w:ind w:left="4" w:right="240"/>
        <w:spacing w:after="0" w:line="314" w:lineRule="auto"/>
        <w:rPr>
          <w:sz w:val="20"/>
          <w:szCs w:val="20"/>
          <w:color w:val="auto"/>
        </w:rPr>
      </w:pPr>
      <w:r>
        <w:rPr>
          <w:rFonts w:ascii="Arial" w:cs="Arial" w:eastAsia="Arial" w:hAnsi="Arial"/>
          <w:sz w:val="16"/>
          <w:szCs w:val="16"/>
          <w:b w:val="1"/>
          <w:bCs w:val="1"/>
          <w:color w:val="auto"/>
        </w:rPr>
        <w:t xml:space="preserve">Execution and Delivery: </w:t>
      </w:r>
      <w:r>
        <w:rPr>
          <w:rFonts w:ascii="Arial" w:cs="Arial" w:eastAsia="Arial" w:hAnsi="Arial"/>
          <w:sz w:val="16"/>
          <w:szCs w:val="16"/>
          <w:color w:val="auto"/>
        </w:rPr>
        <w:t>This Grant Notice may be executed and delivered electronically whether via the Company’s intranet or the Internet site of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w:t>
      </w:r>
    </w:p>
    <w:p>
      <w:pPr>
        <w:sectPr>
          <w:pgSz w:w="11900" w:h="16838" w:orient="portrait"/>
          <w:cols w:equalWidth="0" w:num="1">
            <w:col w:w="11024"/>
          </w:cols>
          <w:pgMar w:left="436" w:top="269" w:right="439" w:bottom="1440" w:gutter="0" w:footer="0" w:header="0"/>
        </w:sectPr>
      </w:pPr>
    </w:p>
    <w:bookmarkStart w:id="547" w:name="page548"/>
    <w:bookmarkEnd w:id="54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7"/>
          <w:szCs w:val="17"/>
          <w:b w:val="1"/>
          <w:bCs w:val="1"/>
          <w:i w:val="1"/>
          <w:iCs w:val="1"/>
          <w:color w:val="auto"/>
        </w:rPr>
        <w:t>701 Disclosures</w:t>
      </w:r>
      <w:r>
        <w:rPr>
          <w:rFonts w:ascii="Arial" w:cs="Arial" w:eastAsia="Arial" w:hAnsi="Arial"/>
          <w:sz w:val="17"/>
          <w:szCs w:val="17"/>
          <w:color w:val="auto"/>
        </w:rPr>
        <w:t>”), account statements, or other communications or information) whether via the Company’s intranet or the Internet site of such third party or via email or such other means of electronic delivery specified by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AEGLEA BIOTHERAPEUTICS, INC.</w:t>
            </w:r>
          </w:p>
        </w:tc>
        <w:tc>
          <w:tcPr>
            <w:tcW w:w="214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w w:val="98"/>
              </w:rPr>
              <w:t>By/Signature:</w:t>
            </w:r>
          </w:p>
        </w:tc>
        <w:tc>
          <w:tcPr>
            <w:tcW w:w="3740" w:type="dxa"/>
            <w:vAlign w:val="bottom"/>
            <w:tcBorders>
              <w:bottom w:val="single" w:sz="8" w:color="auto"/>
            </w:tcBorders>
          </w:tcPr>
          <w:p>
            <w:pPr>
              <w:spacing w:after="0"/>
              <w:rPr>
                <w:sz w:val="24"/>
                <w:szCs w:val="24"/>
                <w:color w:val="auto"/>
              </w:rPr>
            </w:pPr>
          </w:p>
        </w:tc>
        <w:tc>
          <w:tcPr>
            <w:tcW w:w="2140" w:type="dxa"/>
            <w:vAlign w:val="bottom"/>
          </w:tcPr>
          <w:p>
            <w:pPr>
              <w:ind w:left="700"/>
              <w:spacing w:after="0"/>
              <w:rPr>
                <w:sz w:val="20"/>
                <w:szCs w:val="20"/>
                <w:color w:val="auto"/>
              </w:rPr>
            </w:pPr>
            <w:r>
              <w:rPr>
                <w:rFonts w:ascii="Arial" w:cs="Arial" w:eastAsia="Arial" w:hAnsi="Arial"/>
                <w:sz w:val="18"/>
                <w:szCs w:val="18"/>
                <w:color w:val="auto"/>
                <w:w w:val="88"/>
              </w:rPr>
              <w:t>Optionee Signature:</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w w:val="98"/>
              </w:rPr>
              <w:t>Typed Name:</w:t>
            </w:r>
          </w:p>
        </w:tc>
        <w:tc>
          <w:tcPr>
            <w:tcW w:w="3740" w:type="dxa"/>
            <w:vAlign w:val="bottom"/>
            <w:tcBorders>
              <w:bottom w:val="single" w:sz="8" w:color="auto"/>
            </w:tcBorders>
          </w:tcPr>
          <w:p>
            <w:pPr>
              <w:spacing w:after="0"/>
              <w:rPr>
                <w:sz w:val="24"/>
                <w:szCs w:val="24"/>
                <w:color w:val="auto"/>
              </w:rPr>
            </w:pPr>
          </w:p>
        </w:tc>
        <w:tc>
          <w:tcPr>
            <w:tcW w:w="2140" w:type="dxa"/>
            <w:vAlign w:val="bottom"/>
          </w:tcPr>
          <w:p>
            <w:pPr>
              <w:ind w:left="700"/>
              <w:spacing w:after="0"/>
              <w:rPr>
                <w:sz w:val="20"/>
                <w:szCs w:val="20"/>
                <w:color w:val="auto"/>
              </w:rPr>
            </w:pPr>
            <w:r>
              <w:rPr>
                <w:rFonts w:ascii="Arial" w:cs="Arial" w:eastAsia="Arial" w:hAnsi="Arial"/>
                <w:sz w:val="18"/>
                <w:szCs w:val="18"/>
                <w:color w:val="auto"/>
                <w:w w:val="98"/>
              </w:rPr>
              <w:t>Optionee’s Name:</w:t>
            </w:r>
          </w:p>
        </w:tc>
      </w:tr>
      <w:tr>
        <w:trPr>
          <w:trHeight w:val="304"/>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42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w:t>
            </w:r>
            <w:r>
              <w:rPr>
                <w:rFonts w:ascii="Arial" w:cs="Arial" w:eastAsia="Arial" w:hAnsi="Arial"/>
                <w:sz w:val="18"/>
                <w:szCs w:val="18"/>
                <w:color w:val="auto"/>
              </w:rPr>
              <w:t>: Exhibit A – Stock Option Agreement</w:t>
            </w: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-488315</wp:posOffset>
            </wp:positionV>
            <wp:extent cx="244284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9">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-694055</wp:posOffset>
            </wp:positionV>
            <wp:extent cx="244284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0">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ectPr>
          <w:pgSz w:w="11900" w:h="16838" w:orient="portrait"/>
          <w:cols w:equalWidth="0" w:num="1">
            <w:col w:w="10800"/>
          </w:cols>
          <w:pgMar w:left="440" w:top="273" w:right="659" w:bottom="1440" w:gutter="0" w:footer="0" w:header="0"/>
        </w:sectPr>
      </w:pPr>
    </w:p>
    <w:bookmarkStart w:id="548" w:name="page549"/>
    <w:bookmarkEnd w:id="54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Agreement</w:t>
      </w:r>
    </w:p>
    <w:p>
      <w:pPr>
        <w:sectPr>
          <w:pgSz w:w="11900" w:h="16838" w:orient="portrait"/>
          <w:cols w:equalWidth="0" w:num="1">
            <w:col w:w="9019"/>
          </w:cols>
          <w:pgMar w:left="1440" w:top="269" w:right="1440"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EGLEA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11"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This Stock Option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the date of grant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set forth on the Notice of Stock Option Grant attached as the facing page to this Agreement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by and between Aeglea BioTherapeutics,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optionee named on the Grant Notice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Capitalized terms not defined in this Agreement shall have the meaning ascribed to them in the Company’s 2015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or in the Grant Notice, as applicable.</w:t>
      </w:r>
    </w:p>
    <w:p>
      <w:pPr>
        <w:spacing w:after="0" w:line="153" w:lineRule="exact"/>
        <w:rPr>
          <w:sz w:val="20"/>
          <w:szCs w:val="20"/>
          <w:color w:val="auto"/>
        </w:rPr>
      </w:pPr>
    </w:p>
    <w:p>
      <w:pPr>
        <w:ind w:left="4" w:right="160" w:hanging="4"/>
        <w:spacing w:after="0" w:line="256" w:lineRule="auto"/>
        <w:tabs>
          <w:tab w:leader="none" w:pos="184"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The Company hereby grants to Optionee an option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up to the total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the Company, $0.001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set forth in the Grant Notice as the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at the Exercise Price Per Share set forth in the Grant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subject to all of the terms and conditions of the Grant Notice, this Agreement and the Plan. If designated as an Incentive Stock Option in the Grant Notice, this Option is intended to qualify as an incentive stock option (the “</w:t>
      </w:r>
      <w:r>
        <w:rPr>
          <w:rFonts w:ascii="Arial" w:cs="Arial" w:eastAsia="Arial" w:hAnsi="Arial"/>
          <w:sz w:val="18"/>
          <w:szCs w:val="18"/>
          <w:b w:val="1"/>
          <w:bCs w:val="1"/>
          <w:i w:val="1"/>
          <w:iCs w:val="1"/>
          <w:color w:val="auto"/>
        </w:rPr>
        <w:t>ISO</w:t>
      </w:r>
      <w:r>
        <w:rPr>
          <w:rFonts w:ascii="Arial" w:cs="Arial" w:eastAsia="Arial" w:hAnsi="Arial"/>
          <w:sz w:val="18"/>
          <w:szCs w:val="18"/>
          <w:color w:val="auto"/>
        </w:rPr>
        <w:t>”) within the meaning of Section 422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except that if on the Date of Grant Optionee is not subject to U.S. income tax, then this Option shall be a NQSO.</w:t>
      </w:r>
    </w:p>
    <w:p>
      <w:pPr>
        <w:spacing w:after="0" w:line="187" w:lineRule="exact"/>
        <w:rPr>
          <w:rFonts w:ascii="Arial" w:cs="Arial" w:eastAsia="Arial" w:hAnsi="Arial"/>
          <w:sz w:val="18"/>
          <w:szCs w:val="18"/>
          <w:b w:val="1"/>
          <w:bCs w:val="1"/>
          <w:color w:val="auto"/>
        </w:rPr>
      </w:pPr>
    </w:p>
    <w:p>
      <w:pPr>
        <w:ind w:left="184" w:hanging="184"/>
        <w:spacing w:after="0"/>
        <w:tabs>
          <w:tab w:leader="none" w:pos="184"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PERIOD.</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Exercise Period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conditions set forth in this Agreement, all or part of this Option may be exercised at any time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Grant. Shares purchased by exercising this Option may be subject to the Repurchase Option as set forth in Section 7 below.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68"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Vesting of Option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with respect to which this Option is vested at a given time pursuant to the Vesting Schedule set forth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are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Shares with respect to which this Option is not vested at a given time pursuant to the Vesting Schedule set forth in the Grant Notice are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expire on the Expiration Date set forth in the Grant Notice or earlier as provided in Section 3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 TERMINATION.</w:t>
      </w:r>
    </w:p>
    <w:p>
      <w:pPr>
        <w:spacing w:after="0" w:line="225" w:lineRule="exact"/>
        <w:rPr>
          <w:sz w:val="20"/>
          <w:szCs w:val="20"/>
          <w:color w:val="auto"/>
        </w:rPr>
      </w:pPr>
    </w:p>
    <w:p>
      <w:pPr>
        <w:ind w:left="4" w:right="140"/>
        <w:spacing w:after="0" w:line="29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Termination for Any Reason Except Death, Disability 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in subsection 3.2 in a case in which Optionee dies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three (3) months after Optionee’s Termination Date (but in no event may this Option be exercised after the Expiration Date).</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Termination Because of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is Terminated because of Optionee’s death or Disability (or if Optionee dies within three</w:t>
      </w:r>
    </w:p>
    <w:p>
      <w:pPr>
        <w:spacing w:after="0" w:line="50" w:lineRule="exact"/>
        <w:rPr>
          <w:sz w:val="20"/>
          <w:szCs w:val="20"/>
          <w:color w:val="auto"/>
        </w:rPr>
      </w:pPr>
    </w:p>
    <w:p>
      <w:pPr>
        <w:ind w:left="4" w:right="220" w:hanging="4"/>
        <w:spacing w:after="0" w:line="253" w:lineRule="auto"/>
        <w:tabs>
          <w:tab w:leader="none" w:pos="259" w:val="left"/>
        </w:tabs>
        <w:numPr>
          <w:ilvl w:val="0"/>
          <w:numId w:val="448"/>
        </w:numPr>
        <w:rPr>
          <w:rFonts w:ascii="Arial" w:cs="Arial" w:eastAsia="Arial" w:hAnsi="Arial"/>
          <w:sz w:val="18"/>
          <w:szCs w:val="18"/>
          <w:color w:val="auto"/>
        </w:rPr>
      </w:pPr>
      <w:r>
        <w:rPr>
          <w:rFonts w:ascii="Arial" w:cs="Arial" w:eastAsia="Arial" w:hAnsi="Arial"/>
          <w:sz w:val="18"/>
          <w:szCs w:val="18"/>
          <w:color w:val="auto"/>
        </w:rPr>
        <w:t>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w:t>
      </w:r>
    </w:p>
    <w:p>
      <w:pPr>
        <w:sectPr>
          <w:pgSz w:w="11900" w:h="16838" w:orient="portrait"/>
          <w:cols w:equalWidth="0" w:num="1">
            <w:col w:w="11024"/>
          </w:cols>
          <w:pgMar w:left="436" w:top="273" w:right="439" w:bottom="1440" w:gutter="0" w:footer="0" w:header="0"/>
        </w:sectPr>
      </w:pPr>
    </w:p>
    <w:bookmarkStart w:id="550" w:name="page551"/>
    <w:bookmarkEnd w:id="550"/>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53" w:lineRule="exact"/>
        <w:rPr>
          <w:sz w:val="20"/>
          <w:szCs w:val="20"/>
          <w:color w:val="auto"/>
        </w:rPr>
      </w:pPr>
    </w:p>
    <w:p>
      <w:pPr>
        <w:ind w:left="4"/>
        <w:spacing w:after="0" w:line="303"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is Terminated for Cause, then Optionee may exercise this Option, but only with respect to any Shares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151"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this Agreement shall confer on Optionee any right to continue in the employ of,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MANNER OF EXERCISE.</w:t>
      </w:r>
    </w:p>
    <w:p>
      <w:pPr>
        <w:spacing w:after="0" w:line="225" w:lineRule="exact"/>
        <w:rPr>
          <w:sz w:val="20"/>
          <w:szCs w:val="20"/>
          <w:color w:val="auto"/>
        </w:rPr>
      </w:pPr>
    </w:p>
    <w:p>
      <w:pPr>
        <w:ind w:left="4" w:right="80"/>
        <w:spacing w:after="0" w:line="289"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Stock Option Exercise Notice and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 exercise this Option, Optionee (or in the case of exercise after Optionee’s death or incapacity,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Optionee’s executor, administrator, heir or legatee, as the case may be) must deliver to the Company an executed Stock Option Exercise Notice and Agreement in the form attached hereto as </w:t>
      </w:r>
      <w:r>
        <w:rPr>
          <w:rFonts w:ascii="Arial" w:cs="Arial" w:eastAsia="Arial" w:hAnsi="Arial"/>
          <w:sz w:val="16"/>
          <w:szCs w:val="16"/>
          <w:b w:val="1"/>
          <w:bCs w:val="1"/>
          <w:u w:val="single" w:color="auto"/>
          <w:color w:val="auto"/>
        </w:rPr>
        <w:t>Annex A</w:t>
      </w:r>
      <w:r>
        <w:rPr>
          <w:rFonts w:ascii="Arial" w:cs="Arial" w:eastAsia="Arial" w:hAnsi="Arial"/>
          <w:sz w:val="16"/>
          <w:szCs w:val="16"/>
          <w:color w:val="auto"/>
        </w:rPr>
        <w:t>, or in such other form as may be approved by the Committee from time to time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payment for the shares being purchased in accordance with this Agreement. The Exercise Agreement shall set forth,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to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66" w:lineRule="exact"/>
        <w:rPr>
          <w:sz w:val="20"/>
          <w:szCs w:val="20"/>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may not be exercised unless such exercise is in compliance with all applicable federal and state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laws, as they are in effect on the date of exercise.</w:t>
      </w:r>
    </w:p>
    <w:p>
      <w:pPr>
        <w:spacing w:after="0" w:line="162"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Agreement shall be accompanied by full payment of the Exercise Price for the shares being purchased in cash (by check or</w:t>
      </w:r>
      <w:r>
        <w:rPr>
          <w:rFonts w:ascii="Arial" w:cs="Arial" w:eastAsia="Arial" w:hAnsi="Arial"/>
          <w:sz w:val="18"/>
          <w:szCs w:val="18"/>
          <w:b w:val="1"/>
          <w:bCs w:val="1"/>
          <w:color w:val="auto"/>
        </w:rPr>
        <w:t xml:space="preserve"> </w:t>
      </w:r>
      <w:r>
        <w:rPr>
          <w:rFonts w:ascii="Arial" w:cs="Arial" w:eastAsia="Arial" w:hAnsi="Arial"/>
          <w:sz w:val="18"/>
          <w:szCs w:val="18"/>
          <w:color w:val="auto"/>
        </w:rPr>
        <w:t>wire transfer), or where permitted by law:</w:t>
      </w:r>
    </w:p>
    <w:p>
      <w:pPr>
        <w:spacing w:after="0" w:line="58" w:lineRule="exact"/>
        <w:rPr>
          <w:sz w:val="20"/>
          <w:szCs w:val="20"/>
          <w:color w:val="auto"/>
        </w:rPr>
      </w:pPr>
    </w:p>
    <w:p>
      <w:pPr>
        <w:ind w:left="244" w:hanging="244"/>
        <w:spacing w:after="0"/>
        <w:tabs>
          <w:tab w:leader="none" w:pos="2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Optionee;</w:t>
      </w:r>
    </w:p>
    <w:p>
      <w:pPr>
        <w:spacing w:after="0" w:line="225" w:lineRule="exact"/>
        <w:rPr>
          <w:rFonts w:ascii="Arial" w:cs="Arial" w:eastAsia="Arial" w:hAnsi="Arial"/>
          <w:sz w:val="18"/>
          <w:szCs w:val="18"/>
          <w:color w:val="auto"/>
        </w:rPr>
      </w:pPr>
    </w:p>
    <w:p>
      <w:pPr>
        <w:ind w:left="4" w:right="200" w:hanging="4"/>
        <w:spacing w:after="0" w:line="259" w:lineRule="auto"/>
        <w:tabs>
          <w:tab w:leader="none" w:pos="25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186" w:lineRule="exact"/>
        <w:rPr>
          <w:rFonts w:ascii="Arial" w:cs="Arial" w:eastAsia="Arial" w:hAnsi="Arial"/>
          <w:sz w:val="18"/>
          <w:szCs w:val="18"/>
          <w:color w:val="auto"/>
        </w:rPr>
      </w:pPr>
    </w:p>
    <w:p>
      <w:pPr>
        <w:ind w:left="244" w:hanging="244"/>
        <w:spacing w:after="0"/>
        <w:tabs>
          <w:tab w:leader="none" w:pos="2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by participating in a formal cashless exercise program implemented by the Committee in connection with the Plan;</w:t>
      </w:r>
    </w:p>
    <w:p>
      <w:pPr>
        <w:spacing w:after="0" w:line="225" w:lineRule="exact"/>
        <w:rPr>
          <w:rFonts w:ascii="Arial" w:cs="Arial" w:eastAsia="Arial" w:hAnsi="Arial"/>
          <w:sz w:val="18"/>
          <w:szCs w:val="18"/>
          <w:color w:val="auto"/>
        </w:rPr>
      </w:pPr>
    </w:p>
    <w:p>
      <w:pPr>
        <w:ind w:left="4" w:right="60" w:hanging="4"/>
        <w:spacing w:after="0" w:line="259" w:lineRule="auto"/>
        <w:tabs>
          <w:tab w:leader="none" w:pos="25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ectPr>
          <w:pgSz w:w="11900" w:h="16838" w:orient="portrait"/>
          <w:cols w:equalWidth="0" w:num="1">
            <w:col w:w="11004"/>
          </w:cols>
          <w:pgMar w:left="436" w:top="273" w:right="459" w:bottom="1440" w:gutter="0" w:footer="0" w:header="0"/>
        </w:sectPr>
      </w:pPr>
    </w:p>
    <w:bookmarkStart w:id="551" w:name="page552"/>
    <w:bookmarkEnd w:id="551"/>
    <w:p>
      <w:pPr>
        <w:ind w:left="4" w:hanging="4"/>
        <w:spacing w:after="0" w:line="277" w:lineRule="auto"/>
        <w:tabs>
          <w:tab w:leader="none" w:pos="249" w:val="left"/>
        </w:tabs>
        <w:numPr>
          <w:ilvl w:val="0"/>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any combination of the foregoing or any other method of payment approved by the Committee that constitutes legal consideration for the issuance of Shares.</w:t>
      </w:r>
    </w:p>
    <w:p>
      <w:pPr>
        <w:spacing w:after="0" w:line="166"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issuance of the Shares upon exercise of the Option, Optionee must pay or provide for any applicable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189" w:lineRule="exact"/>
        <w:rPr>
          <w:sz w:val="20"/>
          <w:szCs w:val="20"/>
          <w:color w:val="auto"/>
        </w:rPr>
      </w:pPr>
    </w:p>
    <w:p>
      <w:pPr>
        <w:jc w:val="both"/>
        <w:ind w:left="4" w:right="360"/>
        <w:spacing w:after="0" w:line="314"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the Exercise Agreement and payment are in form and substance satisfactory to counsel for the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42" w:lineRule="exact"/>
        <w:rPr>
          <w:sz w:val="20"/>
          <w:szCs w:val="20"/>
          <w:color w:val="auto"/>
        </w:rPr>
      </w:pPr>
    </w:p>
    <w:p>
      <w:pPr>
        <w:ind w:left="4" w:hanging="4"/>
        <w:spacing w:after="0" w:line="255" w:lineRule="auto"/>
        <w:tabs>
          <w:tab w:leader="none" w:pos="184"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AND REGULATIONS. </w:t>
      </w:r>
      <w:r>
        <w:rPr>
          <w:rFonts w:ascii="Arial" w:cs="Arial" w:eastAsia="Arial" w:hAnsi="Arial"/>
          <w:sz w:val="18"/>
          <w:szCs w:val="18"/>
          <w:color w:val="auto"/>
        </w:rPr>
        <w:t>The Plan and this Agreement are intended to comply with Section 25102(o) and Rule 701.</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88" w:lineRule="exact"/>
        <w:rPr>
          <w:rFonts w:ascii="Arial" w:cs="Arial" w:eastAsia="Arial" w:hAnsi="Arial"/>
          <w:sz w:val="18"/>
          <w:szCs w:val="18"/>
          <w:b w:val="1"/>
          <w:bCs w:val="1"/>
          <w:color w:val="auto"/>
        </w:rPr>
      </w:pPr>
    </w:p>
    <w:p>
      <w:pPr>
        <w:ind w:left="4" w:right="120" w:hanging="4"/>
        <w:spacing w:after="0" w:line="258" w:lineRule="auto"/>
        <w:tabs>
          <w:tab w:leader="none" w:pos="184"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OF OPTION. </w:t>
      </w:r>
      <w:r>
        <w:rPr>
          <w:rFonts w:ascii="Arial" w:cs="Arial" w:eastAsia="Arial" w:hAnsi="Arial"/>
          <w:sz w:val="18"/>
          <w:szCs w:val="18"/>
          <w:color w:val="auto"/>
        </w:rPr>
        <w:t>This Option may not be transferred in any manner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83" w:lineRule="exact"/>
        <w:rPr>
          <w:rFonts w:ascii="Arial" w:cs="Arial" w:eastAsia="Arial" w:hAnsi="Arial"/>
          <w:sz w:val="18"/>
          <w:szCs w:val="18"/>
          <w:b w:val="1"/>
          <w:bCs w:val="1"/>
          <w:color w:val="auto"/>
        </w:rPr>
      </w:pPr>
    </w:p>
    <w:p>
      <w:pPr>
        <w:ind w:left="4" w:right="120" w:hanging="4"/>
        <w:spacing w:after="0" w:line="258" w:lineRule="auto"/>
        <w:tabs>
          <w:tab w:leader="none" w:pos="184"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COMPANY’S REPURCHASE OPTION FOR UNVESTED SHARES. </w:t>
      </w:r>
      <w:r>
        <w:rPr>
          <w:rFonts w:ascii="Arial" w:cs="Arial" w:eastAsia="Arial" w:hAnsi="Arial"/>
          <w:sz w:val="18"/>
          <w:szCs w:val="18"/>
          <w:color w:val="auto"/>
        </w:rPr>
        <w:t>If Optionee is Terminated for any reason, or no reason,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Optionee’s death, Disability, voluntary resignation or termination by the Company with or without Cause and Optionee has acquired Unvested Shares by exercising this Option, then the Company and/or its assignee(s) shall have the option to repurchase all or a portion of Optionee’s Unvested Shares (as defined in Section 2.2 of this Agreement) as of the Termination Date on the terms and conditions set forth in this Section 7 (the “</w:t>
      </w:r>
      <w:r>
        <w:rPr>
          <w:rFonts w:ascii="Arial" w:cs="Arial" w:eastAsia="Arial" w:hAnsi="Arial"/>
          <w:sz w:val="18"/>
          <w:szCs w:val="18"/>
          <w:b w:val="1"/>
          <w:bCs w:val="1"/>
          <w:i w:val="1"/>
          <w:iCs w:val="1"/>
          <w:color w:val="auto"/>
        </w:rPr>
        <w:t>Repurchase Option</w:t>
      </w:r>
      <w:r>
        <w:rPr>
          <w:rFonts w:ascii="Arial" w:cs="Arial" w:eastAsia="Arial" w:hAnsi="Arial"/>
          <w:sz w:val="18"/>
          <w:szCs w:val="18"/>
          <w:color w:val="auto"/>
        </w:rPr>
        <w:t>”).</w:t>
      </w:r>
    </w:p>
    <w:p>
      <w:pPr>
        <w:spacing w:after="0" w:line="183" w:lineRule="exact"/>
        <w:rPr>
          <w:sz w:val="20"/>
          <w:szCs w:val="20"/>
          <w:color w:val="auto"/>
        </w:rPr>
      </w:pPr>
    </w:p>
    <w:p>
      <w:pPr>
        <w:ind w:left="4" w:right="740"/>
        <w:spacing w:after="0" w:line="312"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Termination and Termination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of any dispute as to whether Optionee is Terminated, the Committee shall have discretion to</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whether Optionee has been Terminated and the effective date of such Termination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140" w:lineRule="exact"/>
        <w:rPr>
          <w:sz w:val="20"/>
          <w:szCs w:val="20"/>
          <w:color w:val="auto"/>
        </w:rPr>
      </w:pPr>
    </w:p>
    <w:p>
      <w:pPr>
        <w:ind w:left="4" w:right="340"/>
        <w:spacing w:after="0" w:line="266"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Exercise of Repurchase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foregoing provisions of this Section, at any time within ninety (90) days after Optionee’s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the Company and/or its assignee(s), may elect to repurchase any or all of Optionee’s Unvested Shares by giving Optionee written notice of exercise of the Repurchase Option.</w:t>
      </w:r>
    </w:p>
    <w:p>
      <w:pPr>
        <w:spacing w:after="0" w:line="176" w:lineRule="exact"/>
        <w:rPr>
          <w:sz w:val="20"/>
          <w:szCs w:val="20"/>
          <w:color w:val="auto"/>
        </w:rPr>
      </w:pPr>
    </w:p>
    <w:p>
      <w:pPr>
        <w:ind w:left="4" w:right="140"/>
        <w:spacing w:after="0" w:line="314"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u w:val="single" w:color="auto"/>
          <w:color w:val="auto"/>
        </w:rPr>
        <w:t>Calculation of Repurchase Price for Unvested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its assignee shall have the option to repurchase from Optionee (or from</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personal representative as the case may be) the Unvested Shares at Optionee’s Exercise Price, as such may be proportionately adjusted for any stock split or similar change in the capital structure of the Company as set forth in Section 2.2 of the Plan (the “</w:t>
      </w:r>
      <w:r>
        <w:rPr>
          <w:rFonts w:ascii="Arial" w:cs="Arial" w:eastAsia="Arial" w:hAnsi="Arial"/>
          <w:sz w:val="16"/>
          <w:szCs w:val="16"/>
          <w:b w:val="1"/>
          <w:bCs w:val="1"/>
          <w:i w:val="1"/>
          <w:iCs w:val="1"/>
          <w:color w:val="auto"/>
        </w:rPr>
        <w:t>Repurchase Price</w:t>
      </w:r>
      <w:r>
        <w:rPr>
          <w:rFonts w:ascii="Arial" w:cs="Arial" w:eastAsia="Arial" w:hAnsi="Arial"/>
          <w:sz w:val="16"/>
          <w:szCs w:val="16"/>
          <w:color w:val="auto"/>
        </w:rPr>
        <w:t>”).</w:t>
      </w:r>
    </w:p>
    <w:p>
      <w:pPr>
        <w:sectPr>
          <w:pgSz w:w="11900" w:h="16838" w:orient="portrait"/>
          <w:cols w:equalWidth="0" w:num="1">
            <w:col w:w="11004"/>
          </w:cols>
          <w:pgMar w:left="436" w:top="273" w:right="459" w:bottom="1440" w:gutter="0" w:footer="0" w:header="0"/>
        </w:sectPr>
      </w:pPr>
    </w:p>
    <w:bookmarkStart w:id="552" w:name="page553"/>
    <w:bookmarkEnd w:id="552"/>
    <w:p>
      <w:pPr>
        <w:ind w:left="4" w:right="2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Arial" w:cs="Arial" w:eastAsia="Arial" w:hAnsi="Arial"/>
          <w:sz w:val="17"/>
          <w:szCs w:val="17"/>
          <w:b w:val="1"/>
          <w:bCs w:val="1"/>
          <w:u w:val="single" w:color="auto"/>
          <w:color w:val="auto"/>
        </w:rPr>
        <w:t>Payment of Repurchase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Repurchase Price shall be payable, at the option of the Company or its assignee, by check or by cancellation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 or a portion of any outstanding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owed by Optionee to the Company and/or such assignee, or by any combination thereof. The Repurchase Price shall be paid without interest within the term of the Repurchase Option as described in Section 7.2.</w:t>
      </w:r>
    </w:p>
    <w:p>
      <w:pPr>
        <w:spacing w:after="0" w:line="158" w:lineRule="exact"/>
        <w:rPr>
          <w:sz w:val="20"/>
          <w:szCs w:val="20"/>
          <w:color w:val="auto"/>
        </w:rPr>
      </w:pPr>
    </w:p>
    <w:p>
      <w:pPr>
        <w:jc w:val="both"/>
        <w:ind w:left="4" w:right="80"/>
        <w:spacing w:after="0" w:line="289"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u w:val="single" w:color="auto"/>
          <w:color w:val="auto"/>
        </w:rPr>
        <w:t>Right of Termination Unaffected</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be construed to limit 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affect in any manner whatsoever the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power of the Company (or any Parent or Subsidiary of the Company) to terminate Optionee’s employment or other relationship with Company (or any Parent or Subsidiary of the Company) at any time, for any reason or no reason, with or without Cause.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 RESTRICTIONS ON TRANSFER.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Disposition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hereby agrees that Optionee shall make no disposition of any of the Shares (other than as permitted by this</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unless and until:</w:t>
      </w:r>
    </w:p>
    <w:p>
      <w:pPr>
        <w:spacing w:after="0" w:line="103" w:lineRule="exact"/>
        <w:rPr>
          <w:sz w:val="20"/>
          <w:szCs w:val="20"/>
          <w:color w:val="auto"/>
        </w:rPr>
      </w:pPr>
    </w:p>
    <w:p>
      <w:pPr>
        <w:ind w:left="4" w:right="160" w:hanging="4"/>
        <w:spacing w:after="0" w:line="277" w:lineRule="auto"/>
        <w:tabs>
          <w:tab w:leader="none" w:pos="249" w:val="left"/>
        </w:tabs>
        <w:numPr>
          <w:ilvl w:val="0"/>
          <w:numId w:val="452"/>
        </w:numPr>
        <w:rPr>
          <w:rFonts w:ascii="Arial" w:cs="Arial" w:eastAsia="Arial" w:hAnsi="Arial"/>
          <w:sz w:val="18"/>
          <w:szCs w:val="18"/>
          <w:color w:val="auto"/>
        </w:rPr>
      </w:pPr>
      <w:r>
        <w:rPr>
          <w:rFonts w:ascii="Arial" w:cs="Arial" w:eastAsia="Arial" w:hAnsi="Arial"/>
          <w:sz w:val="18"/>
          <w:szCs w:val="18"/>
          <w:color w:val="auto"/>
        </w:rPr>
        <w:t>Optionee shall have notified the Company of the proposed disposition and provided a written summary of the terms and conditions of the proposed disposition;</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Optionee shall have complied with all requirements of this Agreement applicable to the disposition of the Shares;</w:t>
      </w:r>
    </w:p>
    <w:p>
      <w:pPr>
        <w:spacing w:after="0" w:line="225" w:lineRule="exact"/>
        <w:rPr>
          <w:rFonts w:ascii="Arial" w:cs="Arial" w:eastAsia="Arial" w:hAnsi="Arial"/>
          <w:sz w:val="18"/>
          <w:szCs w:val="18"/>
          <w:color w:val="auto"/>
        </w:rPr>
      </w:pPr>
    </w:p>
    <w:p>
      <w:pPr>
        <w:ind w:left="4" w:right="300" w:hanging="4"/>
        <w:spacing w:after="0" w:line="279" w:lineRule="auto"/>
        <w:tabs>
          <w:tab w:leader="none" w:pos="249" w:val="left"/>
        </w:tabs>
        <w:numPr>
          <w:ilvl w:val="0"/>
          <w:numId w:val="452"/>
        </w:numPr>
        <w:rPr>
          <w:rFonts w:ascii="Arial" w:cs="Arial" w:eastAsia="Arial" w:hAnsi="Arial"/>
          <w:sz w:val="17"/>
          <w:szCs w:val="17"/>
          <w:color w:val="auto"/>
        </w:rPr>
      </w:pPr>
      <w:r>
        <w:rPr>
          <w:rFonts w:ascii="Arial" w:cs="Arial" w:eastAsia="Arial" w:hAnsi="Arial"/>
          <w:sz w:val="17"/>
          <w:szCs w:val="17"/>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71" w:lineRule="exact"/>
        <w:rPr>
          <w:rFonts w:ascii="Arial" w:cs="Arial" w:eastAsia="Arial" w:hAnsi="Arial"/>
          <w:sz w:val="17"/>
          <w:szCs w:val="17"/>
          <w:color w:val="auto"/>
        </w:rPr>
      </w:pPr>
    </w:p>
    <w:p>
      <w:pPr>
        <w:ind w:left="4" w:hanging="4"/>
        <w:spacing w:after="0" w:line="257" w:lineRule="auto"/>
        <w:tabs>
          <w:tab w:leader="none" w:pos="259" w:val="left"/>
        </w:tabs>
        <w:numPr>
          <w:ilvl w:val="0"/>
          <w:numId w:val="452"/>
        </w:numPr>
        <w:rPr>
          <w:rFonts w:ascii="Arial" w:cs="Arial" w:eastAsia="Arial" w:hAnsi="Arial"/>
          <w:sz w:val="18"/>
          <w:szCs w:val="18"/>
          <w:color w:val="auto"/>
        </w:rPr>
      </w:pPr>
      <w:r>
        <w:rPr>
          <w:rFonts w:ascii="Arial" w:cs="Arial" w:eastAsia="Arial" w:hAnsi="Arial"/>
          <w:sz w:val="18"/>
          <w:szCs w:val="18"/>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84"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Restriction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shall not transfer, assign, grant a lien or security interest in, pledge, hypothecate, encumber or otherwise dispose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of the Shares which are subject to the Company’s Repurchase Option or the Right of First Refusal described below, except as permitted by this Agreement.</w:t>
      </w:r>
    </w:p>
    <w:p>
      <w:pPr>
        <w:spacing w:after="0" w:line="176" w:lineRule="exact"/>
        <w:rPr>
          <w:sz w:val="20"/>
          <w:szCs w:val="20"/>
          <w:color w:val="auto"/>
        </w:rPr>
      </w:pPr>
    </w:p>
    <w:p>
      <w:pPr>
        <w:ind w:left="4" w:right="80"/>
        <w:spacing w:after="0" w:line="258"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Transferee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person (other than the Company) to whom the Shares are transferred by means of one of the permitted 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this Agreement must, as a condition precedent to the validity of such transfer, acknowledge in writing to the Company that such person is bound by the provisions of this Agreement and that the transferred Shares are subject to (i) both the Company’s Repurchase Option and the Company’s Right of First Refusal granted hereunder and (ii) the market stand-off provisions of Section 9 below, to the same extent such Shares would be so subject if retained by Optionee.</w:t>
      </w:r>
    </w:p>
    <w:p>
      <w:pPr>
        <w:spacing w:after="0" w:line="183" w:lineRule="exact"/>
        <w:rPr>
          <w:sz w:val="20"/>
          <w:szCs w:val="20"/>
          <w:color w:val="auto"/>
        </w:rPr>
      </w:pPr>
    </w:p>
    <w:p>
      <w:pPr>
        <w:ind w:left="4" w:right="60" w:hanging="4"/>
        <w:spacing w:after="0" w:line="271" w:lineRule="auto"/>
        <w:tabs>
          <w:tab w:leader="none" w:pos="184" w:val="left"/>
        </w:tabs>
        <w:numPr>
          <w:ilvl w:val="0"/>
          <w:numId w:val="4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MARKET STANDOFF AGREEMENT. </w:t>
      </w:r>
      <w:r>
        <w:rPr>
          <w:rFonts w:ascii="Arial" w:cs="Arial" w:eastAsia="Arial" w:hAnsi="Arial"/>
          <w:sz w:val="17"/>
          <w:szCs w:val="17"/>
          <w:color w:val="auto"/>
        </w:rPr>
        <w:t>Optionee agrees that, subject to any early release provisions that apply pro rata to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xml:space="preserve">”), directly or indirectly sell, offer to sell, grant any option for the sale of, or otherwise dispose of any Common Stock or securities convertible into Common Stock, </w:t>
      </w:r>
      <w:r>
        <w:rPr>
          <w:rFonts w:ascii="Arial" w:cs="Arial" w:eastAsia="Arial" w:hAnsi="Arial"/>
          <w:sz w:val="17"/>
          <w:szCs w:val="17"/>
          <w:u w:val="single" w:color="auto"/>
          <w:color w:val="auto"/>
        </w:rPr>
        <w:t>except for</w:t>
      </w:r>
      <w:r>
        <w:rPr>
          <w:rFonts w:ascii="Arial" w:cs="Arial" w:eastAsia="Arial" w:hAnsi="Arial"/>
          <w:sz w:val="17"/>
          <w:szCs w:val="17"/>
          <w:color w:val="auto"/>
        </w:rPr>
        <w:t>: (i) transfers of Shares permitted under Section 10.6 hereof so long as such transferee furnishes to the Company and the managing underwriter their written consent to be bound by this Section 9 as a condition precedent to such transfer; and (ii)</w:t>
      </w:r>
    </w:p>
    <w:p>
      <w:pPr>
        <w:sectPr>
          <w:pgSz w:w="11900" w:h="16838" w:orient="portrait"/>
          <w:cols w:equalWidth="0" w:num="1">
            <w:col w:w="11004"/>
          </w:cols>
          <w:pgMar w:left="436" w:top="269" w:right="459" w:bottom="1440" w:gutter="0" w:footer="0" w:header="0"/>
        </w:sectPr>
      </w:pPr>
    </w:p>
    <w:bookmarkStart w:id="553" w:name="page554"/>
    <w:bookmarkEnd w:id="553"/>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91" w:lineRule="exact"/>
        <w:rPr>
          <w:sz w:val="20"/>
          <w:szCs w:val="20"/>
          <w:color w:val="auto"/>
        </w:rPr>
      </w:pPr>
    </w:p>
    <w:p>
      <w:pPr>
        <w:ind w:left="4" w:right="20" w:hanging="4"/>
        <w:spacing w:after="0" w:line="256" w:lineRule="auto"/>
        <w:tabs>
          <w:tab w:leader="none" w:pos="274"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COMPANY’S RIGHT OF FIRST REFUSAL</w:t>
      </w:r>
      <w:r>
        <w:rPr>
          <w:rFonts w:ascii="Arial" w:cs="Arial" w:eastAsia="Arial" w:hAnsi="Arial"/>
          <w:sz w:val="18"/>
          <w:szCs w:val="18"/>
          <w:color w:val="auto"/>
        </w:rPr>
        <w:t>. Unvested Shares may not be sold or otherwise transferred, or pledged by Optionee or made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a security interest, pledge or other lien without the Company’s prior written consent, which may be withheld in the Company’s sole and absolute discretion. Before any Vested Shares held by Optionee or any transferee of such Vested Shares (either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Arial" w:cs="Arial" w:eastAsia="Arial" w:hAnsi="Arial"/>
          <w:sz w:val="18"/>
          <w:szCs w:val="18"/>
          <w:b w:val="1"/>
          <w:bCs w:val="1"/>
          <w:i w:val="1"/>
          <w:iCs w:val="1"/>
          <w:color w:val="auto"/>
        </w:rPr>
        <w:t>Offered Shares”</w:t>
      </w:r>
      <w:r>
        <w:rPr>
          <w:rFonts w:ascii="Arial" w:cs="Arial" w:eastAsia="Arial" w:hAnsi="Arial"/>
          <w:sz w:val="18"/>
          <w:szCs w:val="18"/>
          <w:color w:val="auto"/>
        </w:rPr>
        <w:t>) on the terms and conditions set forth in this Section (the “</w:t>
      </w:r>
      <w:r>
        <w:rPr>
          <w:rFonts w:ascii="Arial" w:cs="Arial" w:eastAsia="Arial" w:hAnsi="Arial"/>
          <w:sz w:val="18"/>
          <w:szCs w:val="18"/>
          <w:b w:val="1"/>
          <w:bCs w:val="1"/>
          <w:i w:val="1"/>
          <w:iCs w:val="1"/>
          <w:color w:val="auto"/>
        </w:rPr>
        <w:t>Right of First Refusal”</w:t>
      </w:r>
      <w:r>
        <w:rPr>
          <w:rFonts w:ascii="Arial" w:cs="Arial" w:eastAsia="Arial" w:hAnsi="Arial"/>
          <w:sz w:val="18"/>
          <w:szCs w:val="18"/>
          <w:color w:val="auto"/>
        </w:rPr>
        <w:t>).</w:t>
      </w:r>
    </w:p>
    <w:p>
      <w:pPr>
        <w:spacing w:after="0" w:line="187" w:lineRule="exact"/>
        <w:rPr>
          <w:sz w:val="20"/>
          <w:szCs w:val="20"/>
          <w:color w:val="auto"/>
        </w:rPr>
      </w:pPr>
    </w:p>
    <w:p>
      <w:pPr>
        <w:ind w:left="4"/>
        <w:spacing w:after="0" w:line="256"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Notice of Proposed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the Offered Shares will deliver to the Company a written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(i)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bona fide intention to sell or otherwise transfer the Offered Shares; (ii) the name and address of each proposed purchaser or other transferee (the “</w:t>
      </w:r>
      <w:r>
        <w:rPr>
          <w:rFonts w:ascii="Arial" w:cs="Arial" w:eastAsia="Arial" w:hAnsi="Arial"/>
          <w:sz w:val="18"/>
          <w:szCs w:val="18"/>
          <w:b w:val="1"/>
          <w:bCs w:val="1"/>
          <w:i w:val="1"/>
          <w:iCs w:val="1"/>
          <w:color w:val="auto"/>
        </w:rPr>
        <w:t>Proposed Transferee”</w:t>
      </w:r>
      <w:r>
        <w:rPr>
          <w:rFonts w:ascii="Arial" w:cs="Arial" w:eastAsia="Arial" w:hAnsi="Arial"/>
          <w:sz w:val="18"/>
          <w:szCs w:val="18"/>
          <w:color w:val="auto"/>
        </w:rPr>
        <w:t>); (iii) the number of Offered Shares to be transferred to each Proposed Transferee; (iv) the bona fide cash price or other consideration for which the Holder proposes to transfer the Offered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187" w:lineRule="exact"/>
        <w:rPr>
          <w:sz w:val="20"/>
          <w:szCs w:val="20"/>
          <w:color w:val="auto"/>
        </w:rPr>
      </w:pPr>
    </w:p>
    <w:p>
      <w:pPr>
        <w:jc w:val="both"/>
        <w:ind w:left="4" w:right="140"/>
        <w:spacing w:after="0" w:line="28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Exercise of Right of First Refusal</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within thirty (30) days after the date of the Notice, the Company and/or its assignee(s) may, by</w:t>
      </w:r>
      <w:r>
        <w:rPr>
          <w:rFonts w:ascii="Arial" w:cs="Arial" w:eastAsia="Arial" w:hAnsi="Arial"/>
          <w:sz w:val="17"/>
          <w:szCs w:val="17"/>
          <w:b w:val="1"/>
          <w:bCs w:val="1"/>
          <w:color w:val="auto"/>
        </w:rPr>
        <w:t xml:space="preserve"> </w:t>
      </w:r>
      <w:r>
        <w:rPr>
          <w:rFonts w:ascii="Arial" w:cs="Arial" w:eastAsia="Arial" w:hAnsi="Arial"/>
          <w:sz w:val="17"/>
          <w:szCs w:val="17"/>
          <w:color w:val="auto"/>
        </w:rPr>
        <w:t>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58"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for the Offered Shares purchased under this Section will be the Offered Price,</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the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83"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purchase price for the Offered Shares will be payable, at the option of the Company and/or its assignee(s)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83"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Holder’s Right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If all of the Offered Shares proposed in the Notice to be transferred to a given Proposed Transferee are not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Company and/or its assignee(s) as provided in this Section, then the Holder may sell or otherwise transfer such Offered Shares to each Proposed Transferee at the Offered Price or at a higher price,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ectPr>
          <w:pgSz w:w="11900" w:h="16838" w:orient="portrait"/>
          <w:cols w:equalWidth="0" w:num="1">
            <w:col w:w="10984"/>
          </w:cols>
          <w:pgMar w:left="436" w:top="273" w:right="479" w:bottom="1440" w:gutter="0" w:footer="0" w:header="0"/>
        </w:sectPr>
      </w:pPr>
    </w:p>
    <w:bookmarkStart w:id="554" w:name="page555"/>
    <w:bookmarkEnd w:id="554"/>
    <w:p>
      <w:pPr>
        <w:ind w:left="4"/>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10.6. </w:t>
      </w:r>
      <w:r>
        <w:rPr>
          <w:rFonts w:ascii="Arial" w:cs="Arial" w:eastAsia="Arial" w:hAnsi="Arial"/>
          <w:sz w:val="16"/>
          <w:szCs w:val="16"/>
          <w:b w:val="1"/>
          <w:bCs w:val="1"/>
          <w:u w:val="single" w:color="auto"/>
          <w:color w:val="auto"/>
        </w:rPr>
        <w:t>Exempt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Section, the following transfers of Vested Shares will be exempt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 of First Refusal: (i) the transfer of any or all of the Vested Shares during Optionee’s lifetime by gift or on Optionee’s death by will or intestacy to any member(s) of Optionee’s “Immediate Family” (as defined below) or to a trust for the benefit of Optionee and/or member(s) of Optionee’s Immediate Family,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each transferee or other recipient agrees in a writing satisfactory to the Company that the provisions of this Section will continue to apply to the transferred Vested Shares in the hands of such transferee or other recipient; (ii) any transfer of Vested Shares made pursuant to a statutory merger, statutory consolidation of the Company with or into another corporation or corporations or a conversion of the Company into another form of legal entity (except that the Right of First Refusal will continue to apply thereafter to such Vested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Vested Shares pursuant to the winding up and dissolution of the Company. As used herein, the term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Arial" w:cs="Arial" w:eastAsia="Arial" w:hAnsi="Arial"/>
          <w:sz w:val="16"/>
          <w:szCs w:val="16"/>
          <w:b w:val="1"/>
          <w:bCs w:val="1"/>
          <w:i w:val="1"/>
          <w:iCs w:val="1"/>
          <w:color w:val="auto"/>
        </w:rPr>
        <w:t>Spousal Equivalent</w:t>
      </w:r>
      <w:r>
        <w:rPr>
          <w:rFonts w:ascii="Arial" w:cs="Arial" w:eastAsia="Arial" w:hAnsi="Arial"/>
          <w:sz w:val="16"/>
          <w:szCs w:val="16"/>
          <w:color w:val="auto"/>
        </w:rPr>
        <w:t>” provided the following circumstances are true:</w:t>
      </w:r>
    </w:p>
    <w:p>
      <w:pPr>
        <w:spacing w:after="0" w:line="7" w:lineRule="exact"/>
        <w:rPr>
          <w:sz w:val="20"/>
          <w:szCs w:val="20"/>
          <w:color w:val="auto"/>
        </w:rPr>
      </w:pPr>
    </w:p>
    <w:p>
      <w:pPr>
        <w:ind w:left="4" w:right="20" w:hanging="4"/>
        <w:spacing w:after="0" w:line="253" w:lineRule="auto"/>
        <w:tabs>
          <w:tab w:leader="none" w:pos="219"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87" w:lineRule="exact"/>
        <w:rPr>
          <w:sz w:val="20"/>
          <w:szCs w:val="20"/>
          <w:color w:val="auto"/>
        </w:rPr>
      </w:pPr>
    </w:p>
    <w:p>
      <w:pPr>
        <w:ind w:left="4" w:right="40"/>
        <w:spacing w:after="0" w:line="292" w:lineRule="auto"/>
        <w:rPr>
          <w:sz w:val="20"/>
          <w:szCs w:val="20"/>
          <w:color w:val="auto"/>
        </w:rPr>
      </w:pPr>
      <w:r>
        <w:rPr>
          <w:rFonts w:ascii="Arial" w:cs="Arial" w:eastAsia="Arial" w:hAnsi="Arial"/>
          <w:sz w:val="16"/>
          <w:szCs w:val="16"/>
          <w:b w:val="1"/>
          <w:bCs w:val="1"/>
          <w:color w:val="auto"/>
        </w:rPr>
        <w:t xml:space="preserve">10.7. </w:t>
      </w:r>
      <w:r>
        <w:rPr>
          <w:rFonts w:ascii="Arial" w:cs="Arial" w:eastAsia="Arial" w:hAnsi="Arial"/>
          <w:sz w:val="16"/>
          <w:szCs w:val="16"/>
          <w:b w:val="1"/>
          <w:bCs w:val="1"/>
          <w:u w:val="single" w:color="auto"/>
          <w:color w:val="auto"/>
        </w:rPr>
        <w:t>Termination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will terminate as to all Shares: (i) on the effective date of the first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161"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Encumbrances on Vested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grant a lien or security interest in, or pledge, hypothecate or encumber Vested Shares only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Vested Shares after they are acquired by the Company and/or its assignees under this Section; and (ii) the provisions of this Agreement will continue to apply to such Vested Shares in the hands of such party and any transferee of such party. Optionee may not grant a lien or security interest in, or pledge, hypothecate or encumber, any Unvested Shares.</w:t>
      </w:r>
    </w:p>
    <w:p>
      <w:pPr>
        <w:spacing w:after="0" w:line="189" w:lineRule="exact"/>
        <w:rPr>
          <w:sz w:val="20"/>
          <w:szCs w:val="20"/>
          <w:color w:val="auto"/>
        </w:rPr>
      </w:pPr>
    </w:p>
    <w:p>
      <w:pPr>
        <w:ind w:left="4" w:right="140" w:hanging="4"/>
        <w:spacing w:after="0" w:line="254" w:lineRule="auto"/>
        <w:tabs>
          <w:tab w:leader="none" w:pos="264"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Optionee shall not have any of the rights of a stockholder with respect to any Shares unless and until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the Right of First Refusal. Upon an exercise of the Repurchase Option or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ectPr>
          <w:pgSz w:w="11900" w:h="16838" w:orient="portrait"/>
          <w:cols w:equalWidth="0" w:num="1">
            <w:col w:w="11004"/>
          </w:cols>
          <w:pgMar w:left="436" w:top="269" w:right="459" w:bottom="1440" w:gutter="0" w:footer="0" w:header="0"/>
        </w:sectPr>
      </w:pPr>
    </w:p>
    <w:bookmarkStart w:id="555" w:name="page556"/>
    <w:bookmarkEnd w:id="555"/>
    <w:p>
      <w:pPr>
        <w:ind w:left="4" w:hanging="4"/>
        <w:spacing w:after="0" w:line="289" w:lineRule="auto"/>
        <w:tabs>
          <w:tab w:leader="none" w:pos="274" w:val="left"/>
        </w:tabs>
        <w:numPr>
          <w:ilvl w:val="0"/>
          <w:numId w:val="45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ESCROW. </w:t>
      </w:r>
      <w:r>
        <w:rPr>
          <w:rFonts w:ascii="Arial" w:cs="Arial" w:eastAsia="Arial" w:hAnsi="Arial"/>
          <w:sz w:val="16"/>
          <w:szCs w:val="16"/>
          <w:color w:val="auto"/>
        </w:rPr>
        <w:t>As security for Optionee’s faithful performance of this Agreement, Optionee agrees, immediately upon receipt of the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Shares, to deliver such certificate(s) to the Secretary of the Company or other designee of the Company (the “</w:t>
      </w:r>
      <w:r>
        <w:rPr>
          <w:rFonts w:ascii="Arial" w:cs="Arial" w:eastAsia="Arial" w:hAnsi="Arial"/>
          <w:sz w:val="16"/>
          <w:szCs w:val="16"/>
          <w:b w:val="1"/>
          <w:bCs w:val="1"/>
          <w:i w:val="1"/>
          <w:iCs w:val="1"/>
          <w:color w:val="auto"/>
        </w:rPr>
        <w:t>Escrow Holder</w:t>
      </w:r>
      <w:r>
        <w:rPr>
          <w:rFonts w:ascii="Arial" w:cs="Arial" w:eastAsia="Arial" w:hAnsi="Arial"/>
          <w:sz w:val="16"/>
          <w:szCs w:val="16"/>
          <w:color w:val="auto"/>
        </w:rPr>
        <w:t>”), who is hereby appointed to hold such certificate(s)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the Repurchase Option and the Right of First Refusal.</w:t>
      </w:r>
    </w:p>
    <w:p>
      <w:pPr>
        <w:spacing w:after="0" w:line="166" w:lineRule="exact"/>
        <w:rPr>
          <w:rFonts w:ascii="Arial" w:cs="Arial" w:eastAsia="Arial" w:hAnsi="Arial"/>
          <w:sz w:val="16"/>
          <w:szCs w:val="16"/>
          <w:b w:val="1"/>
          <w:bCs w:val="1"/>
          <w:color w:val="auto"/>
        </w:rPr>
      </w:pPr>
    </w:p>
    <w:p>
      <w:pPr>
        <w:ind w:left="264" w:hanging="264"/>
        <w:spacing w:after="0"/>
        <w:tabs>
          <w:tab w:leader="none" w:pos="264"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LEGENDS AND STOP-TRANSFER ORDERS.</w:t>
      </w:r>
    </w:p>
    <w:p>
      <w:pPr>
        <w:spacing w:after="0" w:line="225" w:lineRule="exact"/>
        <w:rPr>
          <w:sz w:val="20"/>
          <w:szCs w:val="20"/>
          <w:color w:val="auto"/>
        </w:rPr>
      </w:pPr>
    </w:p>
    <w:p>
      <w:pPr>
        <w:ind w:left="4" w:right="160"/>
        <w:spacing w:after="0" w:line="258"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understands and agrees that the Company will place the legends set forth below or similar legends on any stock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79" w:lineRule="exact"/>
        <w:rPr>
          <w:sz w:val="20"/>
          <w:szCs w:val="20"/>
          <w:color w:val="auto"/>
        </w:rPr>
      </w:pPr>
    </w:p>
    <w:p>
      <w:pPr>
        <w:ind w:left="4" w:right="80" w:hanging="4"/>
        <w:spacing w:after="0" w:line="254" w:lineRule="auto"/>
        <w:tabs>
          <w:tab w:leader="none" w:pos="249"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91" w:lineRule="exact"/>
        <w:rPr>
          <w:rFonts w:ascii="Arial" w:cs="Arial" w:eastAsia="Arial" w:hAnsi="Arial"/>
          <w:sz w:val="18"/>
          <w:szCs w:val="18"/>
          <w:color w:val="auto"/>
        </w:rPr>
      </w:pPr>
    </w:p>
    <w:p>
      <w:pPr>
        <w:ind w:left="4" w:right="220" w:hanging="4"/>
        <w:spacing w:after="0" w:line="275" w:lineRule="auto"/>
        <w:tabs>
          <w:tab w:leader="none" w:pos="259"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CERTAIN RESTRICTIONS ON RESALE AND TRANSFER, INCLUDING THE REPURCHASE OPTION AND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REPURCHASE OPTION AND RIGHT OF FIRST REFUSAL, ARE BINDING ON TRANSFEREES OF THESE SHARES.</w:t>
      </w:r>
    </w:p>
    <w:p>
      <w:pPr>
        <w:spacing w:after="0" w:line="176" w:lineRule="exact"/>
        <w:rPr>
          <w:rFonts w:ascii="Arial" w:cs="Arial" w:eastAsia="Arial" w:hAnsi="Arial"/>
          <w:sz w:val="17"/>
          <w:szCs w:val="17"/>
          <w:color w:val="auto"/>
        </w:rPr>
      </w:pPr>
    </w:p>
    <w:p>
      <w:pPr>
        <w:ind w:left="4" w:right="100" w:hanging="4"/>
        <w:spacing w:after="0" w:line="257" w:lineRule="auto"/>
        <w:tabs>
          <w:tab w:leader="none" w:pos="249"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84"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Stop-Transfer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agrees that, to ensure compliance with the restrictions imposed by this Agreement,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“stop-transfer” instructions to its transfer agent, if any, and if the Company transfers its own securities, it may make appropriate notations to the same effect in its own records.</w:t>
      </w:r>
    </w:p>
    <w:p>
      <w:pPr>
        <w:spacing w:after="0" w:line="176" w:lineRule="exact"/>
        <w:rPr>
          <w:sz w:val="20"/>
          <w:szCs w:val="20"/>
          <w:color w:val="auto"/>
        </w:rPr>
      </w:pPr>
    </w:p>
    <w:p>
      <w:pPr>
        <w:ind w:left="4" w:right="400"/>
        <w:spacing w:after="0" w:line="266"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have been so transferred.</w:t>
      </w:r>
    </w:p>
    <w:p>
      <w:pPr>
        <w:sectPr>
          <w:pgSz w:w="11900" w:h="16838" w:orient="portrait"/>
          <w:cols w:equalWidth="0" w:num="1">
            <w:col w:w="10984"/>
          </w:cols>
          <w:pgMar w:left="436" w:top="269" w:right="479" w:bottom="1440" w:gutter="0" w:footer="0" w:header="0"/>
        </w:sectPr>
      </w:pPr>
    </w:p>
    <w:bookmarkStart w:id="556" w:name="page557"/>
    <w:bookmarkEnd w:id="556"/>
    <w:p>
      <w:pPr>
        <w:ind w:left="4" w:right="60" w:hanging="4"/>
        <w:spacing w:after="0" w:line="261" w:lineRule="auto"/>
        <w:tabs>
          <w:tab w:leader="none" w:pos="274"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CERTAIN TAX CONSEQUENCES. </w:t>
      </w:r>
      <w:r>
        <w:rPr>
          <w:rFonts w:ascii="Arial" w:cs="Arial" w:eastAsia="Arial" w:hAnsi="Arial"/>
          <w:sz w:val="18"/>
          <w:szCs w:val="18"/>
          <w:color w:val="auto"/>
        </w:rPr>
        <w:t>Set forth below is a brief summary as of the Effective Date of the Plan of some of the federal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180" w:lineRule="exact"/>
        <w:rPr>
          <w:sz w:val="20"/>
          <w:szCs w:val="20"/>
          <w:color w:val="auto"/>
        </w:rPr>
      </w:pPr>
    </w:p>
    <w:p>
      <w:pPr>
        <w:ind w:left="4" w:right="140"/>
        <w:spacing w:after="0" w:line="289" w:lineRule="auto"/>
        <w:rPr>
          <w:sz w:val="20"/>
          <w:szCs w:val="20"/>
          <w:color w:val="auto"/>
        </w:rPr>
      </w:pPr>
      <w:r>
        <w:rPr>
          <w:rFonts w:ascii="Arial" w:cs="Arial" w:eastAsia="Arial" w:hAnsi="Arial"/>
          <w:sz w:val="17"/>
          <w:szCs w:val="17"/>
          <w:b w:val="1"/>
          <w:bCs w:val="1"/>
          <w:color w:val="auto"/>
        </w:rPr>
        <w:t xml:space="preserve">14.1. </w:t>
      </w:r>
      <w:r>
        <w:rPr>
          <w:rFonts w:ascii="Arial" w:cs="Arial" w:eastAsia="Arial" w:hAnsi="Arial"/>
          <w:sz w:val="17"/>
          <w:szCs w:val="17"/>
          <w:b w:val="1"/>
          <w:bCs w:val="1"/>
          <w:u w:val="single" w:color="auto"/>
          <w:color w:val="auto"/>
        </w:rPr>
        <w:t>Exercise of ISO</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qualifies as an ISO, there will be no regular federal income tax liability upon the exercise of the Option, although</w:t>
      </w:r>
      <w:r>
        <w:rPr>
          <w:rFonts w:ascii="Arial" w:cs="Arial" w:eastAsia="Arial" w:hAnsi="Arial"/>
          <w:sz w:val="17"/>
          <w:szCs w:val="17"/>
          <w:b w:val="1"/>
          <w:bCs w:val="1"/>
          <w:color w:val="auto"/>
        </w:rPr>
        <w:t xml:space="preserve"> </w:t>
      </w:r>
      <w:r>
        <w:rPr>
          <w:rFonts w:ascii="Arial" w:cs="Arial" w:eastAsia="Arial" w:hAnsi="Arial"/>
          <w:sz w:val="17"/>
          <w:szCs w:val="17"/>
          <w:color w:val="auto"/>
        </w:rPr>
        <w:t>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158" w:lineRule="exact"/>
        <w:rPr>
          <w:sz w:val="20"/>
          <w:szCs w:val="20"/>
          <w:color w:val="auto"/>
        </w:rPr>
      </w:pPr>
    </w:p>
    <w:p>
      <w:pPr>
        <w:ind w:left="4" w:right="40"/>
        <w:spacing w:after="0" w:line="277"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b w:val="1"/>
          <w:bCs w:val="1"/>
          <w:u w:val="single" w:color="auto"/>
          <w:color w:val="auto"/>
        </w:rPr>
        <w:t>Exercise of Nonqualified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does not qualify as an ISO, there may be a regular federal income tax liability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Disposition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tax consequences may apply upon disposition of the Shares.</w:t>
      </w:r>
    </w:p>
    <w:p>
      <w:pPr>
        <w:spacing w:after="0" w:line="229" w:lineRule="exact"/>
        <w:rPr>
          <w:sz w:val="20"/>
          <w:szCs w:val="20"/>
          <w:color w:val="auto"/>
        </w:rPr>
      </w:pPr>
    </w:p>
    <w:p>
      <w:pPr>
        <w:ind w:left="4" w:right="40" w:hanging="4"/>
        <w:spacing w:after="0" w:line="272" w:lineRule="auto"/>
        <w:tabs>
          <w:tab w:leader="none" w:pos="248" w:val="left"/>
        </w:tabs>
        <w:numPr>
          <w:ilvl w:val="0"/>
          <w:numId w:val="460"/>
        </w:numPr>
        <w:rPr>
          <w:rFonts w:ascii="Arial" w:cs="Arial" w:eastAsia="Arial" w:hAnsi="Arial"/>
          <w:sz w:val="17"/>
          <w:szCs w:val="17"/>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color w:val="auto"/>
        </w:rPr>
        <w:t xml:space="preserve">.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Vested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Arial" w:cs="Arial" w:eastAsia="Arial" w:hAnsi="Arial"/>
          <w:sz w:val="17"/>
          <w:szCs w:val="17"/>
          <w:u w:val="single" w:color="auto"/>
          <w:color w:val="auto"/>
        </w:rPr>
        <w:t>vesting</w:t>
      </w:r>
      <w:r>
        <w:rPr>
          <w:rFonts w:ascii="Arial" w:cs="Arial" w:eastAsia="Arial" w:hAnsi="Arial"/>
          <w:sz w:val="17"/>
          <w:szCs w:val="17"/>
          <w:color w:val="auto"/>
        </w:rPr>
        <w:t xml:space="preserve"> over the exercise price.</w:t>
      </w:r>
    </w:p>
    <w:p>
      <w:pPr>
        <w:spacing w:after="0" w:line="177" w:lineRule="exact"/>
        <w:rPr>
          <w:rFonts w:ascii="Arial" w:cs="Arial" w:eastAsia="Arial" w:hAnsi="Arial"/>
          <w:sz w:val="17"/>
          <w:szCs w:val="17"/>
          <w:color w:val="auto"/>
        </w:rPr>
      </w:pPr>
    </w:p>
    <w:p>
      <w:pPr>
        <w:ind w:left="4" w:hanging="4"/>
        <w:spacing w:after="0" w:line="277" w:lineRule="auto"/>
        <w:tabs>
          <w:tab w:leader="none" w:pos="259"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166" w:lineRule="exact"/>
        <w:rPr>
          <w:sz w:val="20"/>
          <w:szCs w:val="20"/>
          <w:color w:val="auto"/>
        </w:rPr>
      </w:pPr>
    </w:p>
    <w:p>
      <w:pPr>
        <w:ind w:left="4" w:right="40"/>
        <w:spacing w:after="0" w:line="294" w:lineRule="auto"/>
        <w:rPr>
          <w:sz w:val="20"/>
          <w:szCs w:val="20"/>
          <w:color w:val="auto"/>
        </w:rPr>
      </w:pPr>
      <w:r>
        <w:rPr>
          <w:rFonts w:ascii="Arial" w:cs="Arial" w:eastAsia="Arial" w:hAnsi="Arial"/>
          <w:sz w:val="16"/>
          <w:szCs w:val="16"/>
          <w:b w:val="1"/>
          <w:bCs w:val="1"/>
          <w:color w:val="auto"/>
        </w:rPr>
        <w:t xml:space="preserve">14.4. </w:t>
      </w:r>
      <w:r>
        <w:rPr>
          <w:rFonts w:ascii="Arial" w:cs="Arial" w:eastAsia="Arial" w:hAnsi="Arial"/>
          <w:sz w:val="16"/>
          <w:szCs w:val="16"/>
          <w:b w:val="1"/>
          <w:bCs w:val="1"/>
          <w:u w:val="single" w:color="auto"/>
          <w:color w:val="auto"/>
        </w:rPr>
        <w:t>Section 83(b) Election for Unvested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Unvested Shares, which are subject to the Repurchase Option, unless an election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filed by Optionee with the Internal Revenue Service (and, if necessary, the proper state taxing authorities), </w:t>
      </w:r>
      <w:r>
        <w:rPr>
          <w:rFonts w:ascii="Arial" w:cs="Arial" w:eastAsia="Arial" w:hAnsi="Arial"/>
          <w:sz w:val="16"/>
          <w:szCs w:val="16"/>
          <w:u w:val="single" w:color="auto"/>
          <w:color w:val="auto"/>
        </w:rPr>
        <w:t>within thirty (30) days</w:t>
      </w:r>
      <w:r>
        <w:rPr>
          <w:rFonts w:ascii="Arial" w:cs="Arial" w:eastAsia="Arial" w:hAnsi="Arial"/>
          <w:sz w:val="16"/>
          <w:szCs w:val="16"/>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Optionee, measured by the excess, if any, of the Fair Market Value of the Unvested Shares at the time they cease to be Unvested Shares, over the Exercise Price of the Unvested Shares.</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15. GENERAL PROVISIONS.</w:t>
      </w:r>
    </w:p>
    <w:p>
      <w:pPr>
        <w:spacing w:after="0" w:line="225"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regarding the interpretation of this Agreement shall be submitted by Optionee or the Company to the Committee for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The resolution of such a dispute by the Committee shall be final and binding on the Company and Optionee.</w:t>
      </w:r>
    </w:p>
    <w:p>
      <w:pPr>
        <w:spacing w:after="0" w:line="162"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Grant Notice and the Exercise Agreement are each incorporated herein by reference. This Agreement,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 Plan and the Exercise Agreement constitute the entire agreement of the parties with respect to the subject matter hereof and supersede all prior undertakings and agreements with respect to such subject matter.</w:t>
      </w:r>
    </w:p>
    <w:p>
      <w:pPr>
        <w:sectPr>
          <w:pgSz w:w="11900" w:h="16838" w:orient="portrait"/>
          <w:cols w:equalWidth="0" w:num="1">
            <w:col w:w="10964"/>
          </w:cols>
          <w:pgMar w:left="436" w:top="269" w:right="499" w:bottom="1440" w:gutter="0" w:footer="0" w:header="0"/>
        </w:sectPr>
      </w:pPr>
    </w:p>
    <w:bookmarkStart w:id="557" w:name="page558"/>
    <w:bookmarkEnd w:id="557"/>
    <w:p>
      <w:pPr>
        <w:ind w:left="4" w:hanging="4"/>
        <w:spacing w:after="0" w:line="287" w:lineRule="auto"/>
        <w:tabs>
          <w:tab w:leader="none" w:pos="274" w:val="left"/>
        </w:tabs>
        <w:numPr>
          <w:ilvl w:val="0"/>
          <w:numId w:val="46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w:t>
      </w:r>
      <w:r>
        <w:rPr>
          <w:rFonts w:ascii="Arial" w:cs="Arial" w:eastAsia="Arial" w:hAnsi="Arial"/>
          <w:sz w:val="16"/>
          <w:szCs w:val="16"/>
          <w:color w:val="auto"/>
        </w:rPr>
        <w:t>Any and all notices required or permitted to be given to a party pursuant to the provisions of this Agreement will be in writing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67" w:lineRule="exact"/>
        <w:rPr>
          <w:rFonts w:ascii="Arial" w:cs="Arial" w:eastAsia="Arial" w:hAnsi="Arial"/>
          <w:sz w:val="16"/>
          <w:szCs w:val="16"/>
          <w:b w:val="1"/>
          <w:bCs w:val="1"/>
          <w:color w:val="auto"/>
        </w:rPr>
      </w:pPr>
    </w:p>
    <w:p>
      <w:pPr>
        <w:ind w:left="4" w:right="180" w:hanging="4"/>
        <w:spacing w:after="0" w:line="261" w:lineRule="auto"/>
        <w:tabs>
          <w:tab w:leader="none" w:pos="27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may assign any of its rights under this Agreement including its rights to purchase Shares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both the Right of First Refusal and Repurchase Option.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79" w:lineRule="exact"/>
        <w:rPr>
          <w:rFonts w:ascii="Arial" w:cs="Arial" w:eastAsia="Arial" w:hAnsi="Arial"/>
          <w:sz w:val="18"/>
          <w:szCs w:val="18"/>
          <w:b w:val="1"/>
          <w:bCs w:val="1"/>
          <w:color w:val="auto"/>
        </w:rPr>
      </w:pPr>
    </w:p>
    <w:p>
      <w:pPr>
        <w:ind w:left="4" w:right="140" w:hanging="4"/>
        <w:spacing w:after="0" w:line="261" w:lineRule="auto"/>
        <w:tabs>
          <w:tab w:leader="none" w:pos="27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internal laws of the State of California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79" w:lineRule="exact"/>
        <w:rPr>
          <w:rFonts w:ascii="Arial" w:cs="Arial" w:eastAsia="Arial" w:hAnsi="Arial"/>
          <w:sz w:val="18"/>
          <w:szCs w:val="18"/>
          <w:b w:val="1"/>
          <w:bCs w:val="1"/>
          <w:color w:val="auto"/>
        </w:rPr>
      </w:pPr>
    </w:p>
    <w:p>
      <w:pPr>
        <w:ind w:left="4" w:right="520" w:hanging="4"/>
        <w:spacing w:after="0" w:line="282" w:lineRule="auto"/>
        <w:tabs>
          <w:tab w:leader="none" w:pos="27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161" w:lineRule="exact"/>
        <w:rPr>
          <w:rFonts w:ascii="Arial" w:cs="Arial" w:eastAsia="Arial" w:hAnsi="Arial"/>
          <w:sz w:val="18"/>
          <w:szCs w:val="18"/>
          <w:b w:val="1"/>
          <w:bCs w:val="1"/>
          <w:color w:val="auto"/>
        </w:rPr>
      </w:pPr>
    </w:p>
    <w:p>
      <w:pPr>
        <w:ind w:left="4" w:right="140" w:hanging="4"/>
        <w:spacing w:after="0" w:line="266" w:lineRule="auto"/>
        <w:tabs>
          <w:tab w:leader="none" w:pos="27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captions and headings of this Agreement are included for ease of reference only and will be disregarded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or construing this Agreement. Unless otherwise specifically stated, all references herein to “sections” and “exhibits” will mean “sections” and “exhibits” to this Agreement.</w:t>
      </w:r>
    </w:p>
    <w:p>
      <w:pPr>
        <w:spacing w:after="0" w:line="175" w:lineRule="exact"/>
        <w:rPr>
          <w:rFonts w:ascii="Arial" w:cs="Arial" w:eastAsia="Arial" w:hAnsi="Arial"/>
          <w:sz w:val="18"/>
          <w:szCs w:val="18"/>
          <w:b w:val="1"/>
          <w:bCs w:val="1"/>
          <w:color w:val="auto"/>
        </w:rPr>
      </w:pPr>
    </w:p>
    <w:p>
      <w:pPr>
        <w:ind w:left="4" w:right="560" w:hanging="4"/>
        <w:spacing w:after="0" w:line="282" w:lineRule="auto"/>
        <w:tabs>
          <w:tab w:leader="none" w:pos="27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161" w:lineRule="exact"/>
        <w:rPr>
          <w:rFonts w:ascii="Arial" w:cs="Arial" w:eastAsia="Arial" w:hAnsi="Arial"/>
          <w:sz w:val="18"/>
          <w:szCs w:val="18"/>
          <w:b w:val="1"/>
          <w:bCs w:val="1"/>
          <w:color w:val="auto"/>
        </w:rPr>
      </w:pPr>
    </w:p>
    <w:p>
      <w:pPr>
        <w:ind w:left="4" w:right="100" w:hanging="4"/>
        <w:spacing w:after="0" w:line="255" w:lineRule="auto"/>
        <w:tabs>
          <w:tab w:leader="none" w:pos="274"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is determined by any court or arbitrator of competent jurisdiction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Attachments: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Annex A</w:t>
      </w:r>
      <w:r>
        <w:rPr>
          <w:rFonts w:ascii="Arial" w:cs="Arial" w:eastAsia="Arial" w:hAnsi="Arial"/>
          <w:sz w:val="18"/>
          <w:szCs w:val="18"/>
          <w:color w:val="auto"/>
        </w:rPr>
        <w:t>: Form of Stock Option Exercise Notice and Agreement</w:t>
      </w:r>
    </w:p>
    <w:p>
      <w:pPr>
        <w:sectPr>
          <w:pgSz w:w="11900" w:h="16838" w:orient="portrait"/>
          <w:cols w:equalWidth="0" w:num="1">
            <w:col w:w="11004"/>
          </w:cols>
          <w:pgMar w:left="436" w:top="269" w:right="459" w:bottom="1440" w:gutter="0" w:footer="0" w:header="0"/>
        </w:sectPr>
      </w:pPr>
    </w:p>
    <w:bookmarkStart w:id="558" w:name="page559"/>
    <w:bookmarkEnd w:id="55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STOCK OPTION EXERCISE NOTICE AND AGREEMENT</w:t>
      </w:r>
    </w:p>
    <w:p>
      <w:pPr>
        <w:sectPr>
          <w:pgSz w:w="11900" w:h="16838" w:orient="portrait"/>
          <w:cols w:equalWidth="0" w:num="1">
            <w:col w:w="9019"/>
          </w:cols>
          <w:pgMar w:left="1440" w:top="269" w:right="1440" w:bottom="1440" w:gutter="0" w:footer="0" w:header="0"/>
        </w:sectPr>
      </w:pPr>
    </w:p>
    <w:bookmarkStart w:id="559" w:name="page560"/>
    <w:bookmarkEnd w:id="559"/>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OPTION EXERCISE NOTICE AND AGREEMENT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EGLEA</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2015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52" w:lineRule="exact"/>
        <w:rPr>
          <w:sz w:val="20"/>
          <w:szCs w:val="20"/>
          <w:color w:val="auto"/>
        </w:rPr>
      </w:pPr>
    </w:p>
    <w:p>
      <w:pPr>
        <w:ind w:left="424" w:hanging="424"/>
        <w:spacing w:after="0"/>
        <w:tabs>
          <w:tab w:leader="none" w:pos="424" w:val="left"/>
        </w:tabs>
        <w:numPr>
          <w:ilvl w:val="0"/>
          <w:numId w:val="462"/>
        </w:numPr>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NOTE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You</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sign this Notice on Page 3 before submitting it to Aeglea BioTherapeutics, Inc.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the following information about yourself (“</w:t>
      </w:r>
      <w:r>
        <w:rPr>
          <w:rFonts w:ascii="Arial" w:cs="Arial" w:eastAsia="Arial" w:hAnsi="Arial"/>
          <w:sz w:val="18"/>
          <w:szCs w:val="18"/>
          <w:b w:val="1"/>
          <w:bCs w:val="1"/>
          <w:i w:val="1"/>
          <w:iCs w:val="1"/>
          <w:color w:val="auto"/>
        </w:rPr>
        <w:t>Optionee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Borders>
              <w:bottom w:val="single" w:sz="8" w:color="auto"/>
            </w:tcBorders>
          </w:tcPr>
          <w:p>
            <w:pPr>
              <w:spacing w:after="0"/>
              <w:rPr>
                <w:sz w:val="20"/>
                <w:szCs w:val="20"/>
                <w:color w:val="auto"/>
              </w:rPr>
            </w:pPr>
          </w:p>
        </w:tc>
        <w:tc>
          <w:tcPr>
            <w:tcW w:w="2080" w:type="dxa"/>
            <w:vAlign w:val="bottom"/>
          </w:tcPr>
          <w:p>
            <w:pPr>
              <w:ind w:left="100"/>
              <w:spacing w:after="0"/>
              <w:rPr>
                <w:sz w:val="20"/>
                <w:szCs w:val="20"/>
                <w:color w:val="auto"/>
              </w:rPr>
            </w:pPr>
            <w:r>
              <w:rPr>
                <w:rFonts w:ascii="Arial" w:cs="Arial" w:eastAsia="Arial" w:hAnsi="Arial"/>
                <w:sz w:val="18"/>
                <w:szCs w:val="18"/>
                <w:color w:val="auto"/>
              </w:rPr>
              <w:t>Social Security Number:</w:t>
            </w:r>
          </w:p>
        </w:tc>
        <w:tc>
          <w:tcPr>
            <w:tcW w:w="3960" w:type="dxa"/>
            <w:vAlign w:val="bottom"/>
            <w:tcBorders>
              <w:bottom w:val="single" w:sz="8" w:color="auto"/>
            </w:tcBorders>
          </w:tcPr>
          <w:p>
            <w:pPr>
              <w:spacing w:after="0"/>
              <w:rPr>
                <w:sz w:val="20"/>
                <w:szCs w:val="20"/>
                <w:color w:val="auto"/>
              </w:rPr>
            </w:pPr>
          </w:p>
        </w:tc>
      </w:tr>
      <w:tr>
        <w:trPr>
          <w:trHeight w:val="304"/>
        </w:trPr>
        <w:tc>
          <w:tcPr>
            <w:tcW w:w="49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6040" w:type="dxa"/>
            <w:vAlign w:val="bottom"/>
            <w:gridSpan w:val="2"/>
          </w:tcPr>
          <w:p>
            <w:pPr>
              <w:ind w:left="100"/>
              <w:spacing w:after="0"/>
              <w:rPr>
                <w:sz w:val="20"/>
                <w:szCs w:val="20"/>
                <w:color w:val="auto"/>
              </w:rPr>
            </w:pPr>
            <w:r>
              <w:rPr>
                <w:rFonts w:ascii="Arial" w:cs="Arial" w:eastAsia="Arial" w:hAnsi="Arial"/>
                <w:sz w:val="18"/>
                <w:szCs w:val="18"/>
                <w:color w:val="auto"/>
              </w:rPr>
              <w:t>Employee Number:</w:t>
            </w:r>
          </w:p>
        </w:tc>
      </w:tr>
      <w:tr>
        <w:trPr>
          <w:trHeight w:val="304"/>
        </w:trPr>
        <w:tc>
          <w:tcPr>
            <w:tcW w:w="780" w:type="dxa"/>
            <w:vAlign w:val="bottom"/>
          </w:tcPr>
          <w:p>
            <w:pPr>
              <w:spacing w:after="0"/>
              <w:rPr>
                <w:sz w:val="24"/>
                <w:szCs w:val="24"/>
                <w:color w:val="auto"/>
              </w:rPr>
            </w:pPr>
          </w:p>
        </w:tc>
        <w:tc>
          <w:tcPr>
            <w:tcW w:w="4200" w:type="dxa"/>
            <w:vAlign w:val="bottom"/>
            <w:tcBorders>
              <w:top w:val="single" w:sz="8" w:color="auto"/>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r>
      <w:tr>
        <w:trPr>
          <w:trHeight w:val="425"/>
        </w:trPr>
        <w:tc>
          <w:tcPr>
            <w:tcW w:w="11020" w:type="dxa"/>
            <w:vAlign w:val="bottom"/>
            <w:gridSpan w:val="4"/>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this information on the option being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the “</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459"/>
        </w:trPr>
        <w:tc>
          <w:tcPr>
            <w:tcW w:w="4980" w:type="dxa"/>
            <w:vAlign w:val="bottom"/>
            <w:gridSpan w:val="2"/>
          </w:tcPr>
          <w:p>
            <w:pPr>
              <w:spacing w:after="0"/>
              <w:rPr>
                <w:sz w:val="20"/>
                <w:szCs w:val="20"/>
                <w:color w:val="auto"/>
              </w:rPr>
            </w:pPr>
            <w:r>
              <w:rPr>
                <w:rFonts w:ascii="Arial" w:cs="Arial" w:eastAsia="Arial" w:hAnsi="Arial"/>
                <w:sz w:val="18"/>
                <w:szCs w:val="18"/>
                <w:color w:val="auto"/>
              </w:rPr>
              <w:t>Grant No.</w:t>
            </w:r>
          </w:p>
        </w:tc>
        <w:tc>
          <w:tcPr>
            <w:tcW w:w="20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24"/>
        </w:trPr>
        <w:tc>
          <w:tcPr>
            <w:tcW w:w="4980" w:type="dxa"/>
            <w:vAlign w:val="bottom"/>
            <w:gridSpan w:val="2"/>
          </w:tcPr>
          <w:p>
            <w:pPr>
              <w:spacing w:after="0"/>
              <w:rPr>
                <w:sz w:val="20"/>
                <w:szCs w:val="20"/>
                <w:color w:val="auto"/>
              </w:rPr>
            </w:pPr>
            <w:r>
              <w:rPr>
                <w:rFonts w:ascii="Arial" w:cs="Arial" w:eastAsia="Arial" w:hAnsi="Arial"/>
                <w:sz w:val="18"/>
                <w:szCs w:val="18"/>
                <w:color w:val="auto"/>
              </w:rPr>
              <w:t>Date of Grant:</w:t>
            </w:r>
          </w:p>
        </w:tc>
        <w:tc>
          <w:tcPr>
            <w:tcW w:w="2080" w:type="dxa"/>
            <w:vAlign w:val="bottom"/>
          </w:tcPr>
          <w:p>
            <w:pPr>
              <w:spacing w:after="0"/>
              <w:rPr>
                <w:sz w:val="24"/>
                <w:szCs w:val="24"/>
                <w:color w:val="auto"/>
              </w:rPr>
            </w:pPr>
          </w:p>
        </w:tc>
        <w:tc>
          <w:tcPr>
            <w:tcW w:w="3960" w:type="dxa"/>
            <w:vAlign w:val="bottom"/>
          </w:tcPr>
          <w:p>
            <w:pPr>
              <w:ind w:left="1760"/>
              <w:spacing w:after="0"/>
              <w:rPr>
                <w:sz w:val="20"/>
                <w:szCs w:val="20"/>
                <w:color w:val="auto"/>
              </w:rPr>
            </w:pPr>
            <w:r>
              <w:rPr>
                <w:rFonts w:ascii="Arial" w:cs="Arial" w:eastAsia="Arial" w:hAnsi="Arial"/>
                <w:sz w:val="18"/>
                <w:szCs w:val="18"/>
                <w:color w:val="auto"/>
              </w:rPr>
              <w:t>Type of Stock Option:</w:t>
            </w:r>
          </w:p>
        </w:tc>
      </w:tr>
      <w:tr>
        <w:trPr>
          <w:trHeight w:val="352"/>
        </w:trPr>
        <w:tc>
          <w:tcPr>
            <w:tcW w:w="4980" w:type="dxa"/>
            <w:vAlign w:val="bottom"/>
            <w:gridSpan w:val="2"/>
          </w:tcPr>
          <w:p>
            <w:pPr>
              <w:spacing w:after="0"/>
              <w:rPr>
                <w:sz w:val="20"/>
                <w:szCs w:val="20"/>
                <w:color w:val="auto"/>
              </w:rPr>
            </w:pPr>
            <w:r>
              <w:rPr>
                <w:rFonts w:ascii="Arial" w:cs="Arial" w:eastAsia="Arial" w:hAnsi="Arial"/>
                <w:sz w:val="18"/>
                <w:szCs w:val="18"/>
                <w:color w:val="auto"/>
              </w:rPr>
              <w:t>Option Price per Share: $</w:t>
            </w:r>
          </w:p>
        </w:tc>
        <w:tc>
          <w:tcPr>
            <w:tcW w:w="2080" w:type="dxa"/>
            <w:vAlign w:val="bottom"/>
          </w:tcPr>
          <w:p>
            <w:pPr>
              <w:spacing w:after="0"/>
              <w:rPr>
                <w:sz w:val="24"/>
                <w:szCs w:val="24"/>
                <w:color w:val="auto"/>
              </w:rPr>
            </w:pPr>
          </w:p>
        </w:tc>
        <w:tc>
          <w:tcPr>
            <w:tcW w:w="3960" w:type="dxa"/>
            <w:vAlign w:val="bottom"/>
          </w:tcPr>
          <w:p>
            <w:pPr>
              <w:ind w:left="17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(NQSO)</w:t>
            </w:r>
          </w:p>
        </w:tc>
      </w:tr>
      <w:tr>
        <w:trPr>
          <w:trHeight w:val="282"/>
        </w:trPr>
        <w:tc>
          <w:tcPr>
            <w:tcW w:w="4980" w:type="dxa"/>
            <w:vAlign w:val="bottom"/>
            <w:gridSpan w:val="2"/>
          </w:tcPr>
          <w:p>
            <w:pPr>
              <w:spacing w:after="0"/>
              <w:rPr>
                <w:sz w:val="20"/>
                <w:szCs w:val="20"/>
                <w:color w:val="auto"/>
              </w:rPr>
            </w:pPr>
            <w:r>
              <w:rPr>
                <w:rFonts w:ascii="Arial" w:cs="Arial" w:eastAsia="Arial" w:hAnsi="Arial"/>
                <w:sz w:val="18"/>
                <w:szCs w:val="18"/>
                <w:color w:val="auto"/>
              </w:rPr>
              <w:t>Total number of shares of</w:t>
            </w:r>
          </w:p>
        </w:tc>
        <w:tc>
          <w:tcPr>
            <w:tcW w:w="2080" w:type="dxa"/>
            <w:vAlign w:val="bottom"/>
          </w:tcPr>
          <w:p>
            <w:pPr>
              <w:spacing w:after="0"/>
              <w:rPr>
                <w:sz w:val="24"/>
                <w:szCs w:val="24"/>
                <w:color w:val="auto"/>
              </w:rPr>
            </w:pPr>
          </w:p>
        </w:tc>
        <w:tc>
          <w:tcPr>
            <w:tcW w:w="3960" w:type="dxa"/>
            <w:vAlign w:val="bottom"/>
          </w:tcPr>
          <w:p>
            <w:pPr>
              <w:ind w:left="17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Common Stock of the Company subject to the Option:</w:t>
            </w:r>
          </w:p>
        </w:tc>
        <w:tc>
          <w:tcPr>
            <w:tcW w:w="2080" w:type="dxa"/>
            <w:vAlign w:val="bottom"/>
          </w:tcPr>
          <w:p>
            <w:pPr>
              <w:spacing w:after="0"/>
              <w:rPr>
                <w:sz w:val="20"/>
                <w:szCs w:val="20"/>
                <w:color w:val="auto"/>
              </w:rPr>
            </w:pPr>
          </w:p>
        </w:tc>
        <w:tc>
          <w:tcPr>
            <w:tcW w:w="3960" w:type="dxa"/>
            <w:vAlign w:val="bottom"/>
          </w:tcPr>
          <w:p>
            <w:pPr>
              <w:spacing w:after="0"/>
              <w:rPr>
                <w:sz w:val="20"/>
                <w:szCs w:val="20"/>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Number of shares of Common Stock of the Company for which the Option is now being exercised [ ]. (These shares are referred to below as the “</w:t>
      </w:r>
      <w:r>
        <w:rPr>
          <w:rFonts w:ascii="Arial" w:cs="Arial" w:eastAsia="Arial" w:hAnsi="Arial"/>
          <w:sz w:val="18"/>
          <w:szCs w:val="18"/>
          <w:b w:val="1"/>
          <w:bCs w:val="1"/>
          <w:i w:val="1"/>
          <w:iCs w:val="1"/>
          <w:color w:val="auto"/>
        </w:rPr>
        <w:t>Purchased Shares</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 Exercise Price Being Paid for the Purchased Shares: $</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463"/>
        </w:numPr>
        <w:rPr>
          <w:rFonts w:ascii="MS PGothic" w:cs="MS PGothic" w:eastAsia="MS PGothic" w:hAnsi="MS PGothic"/>
          <w:sz w:val="18"/>
          <w:szCs w:val="18"/>
          <w:color w:val="auto"/>
        </w:rPr>
      </w:pPr>
      <w:r>
        <w:rPr>
          <w:rFonts w:ascii="Arial" w:cs="Arial" w:eastAsia="Arial" w:hAnsi="Arial"/>
          <w:sz w:val="18"/>
          <w:szCs w:val="18"/>
          <w:color w:val="auto"/>
        </w:rPr>
        <w:t>Check for $ , payable to “</w:t>
      </w:r>
      <w:r>
        <w:rPr>
          <w:rFonts w:ascii="Arial" w:cs="Arial" w:eastAsia="Arial" w:hAnsi="Arial"/>
          <w:sz w:val="18"/>
          <w:szCs w:val="18"/>
          <w:b w:val="1"/>
          <w:bCs w:val="1"/>
          <w:i w:val="1"/>
          <w:iCs w:val="1"/>
          <w:color w:val="auto"/>
        </w:rPr>
        <w:t>Aeglea BioTherapeutics, Inc.</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5" w:lineRule="exact"/>
        <w:rPr>
          <w:rFonts w:ascii="MS PGothic" w:cs="MS PGothic" w:eastAsia="MS PGothic" w:hAnsi="MS PGothic"/>
          <w:sz w:val="18"/>
          <w:szCs w:val="18"/>
          <w:color w:val="auto"/>
        </w:rPr>
      </w:pPr>
    </w:p>
    <w:p>
      <w:pPr>
        <w:ind w:left="424" w:hanging="424"/>
        <w:spacing w:after="0"/>
        <w:tabs>
          <w:tab w:leader="none" w:pos="424" w:val="left"/>
        </w:tabs>
        <w:numPr>
          <w:ilvl w:val="0"/>
          <w:numId w:val="463"/>
        </w:numPr>
        <w:rPr>
          <w:rFonts w:ascii="MS PGothic" w:cs="MS PGothic" w:eastAsia="MS PGothic" w:hAnsi="MS PGothic"/>
          <w:sz w:val="16"/>
          <w:szCs w:val="16"/>
          <w:color w:val="auto"/>
        </w:rPr>
      </w:pPr>
      <w:r>
        <w:rPr>
          <w:rFonts w:ascii="Arial" w:cs="Arial" w:eastAsia="Arial" w:hAnsi="Arial"/>
          <w:sz w:val="16"/>
          <w:szCs w:val="16"/>
          <w:color w:val="auto"/>
        </w:rPr>
        <w:t>Certificate(s) for shares of Common Stock of the Company. These shares will be valued as of the date this notice is received by the Company.</w:t>
      </w:r>
    </w:p>
    <w:p>
      <w:pPr>
        <w:spacing w:after="0" w:line="32" w:lineRule="exact"/>
        <w:rPr>
          <w:rFonts w:ascii="MS PGothic" w:cs="MS PGothic" w:eastAsia="MS PGothic" w:hAnsi="MS PGothic"/>
          <w:sz w:val="16"/>
          <w:szCs w:val="16"/>
          <w:color w:val="auto"/>
        </w:rPr>
      </w:pPr>
    </w:p>
    <w:p>
      <w:pPr>
        <w:ind w:left="424"/>
        <w:spacing w:after="0"/>
        <w:rPr>
          <w:rFonts w:ascii="MS PGothic" w:cs="MS PGothic" w:eastAsia="MS PGothic" w:hAnsi="MS PGothic"/>
          <w:sz w:val="16"/>
          <w:szCs w:val="16"/>
          <w:color w:val="auto"/>
        </w:rPr>
      </w:pPr>
      <w:r>
        <w:rPr>
          <w:rFonts w:ascii="Arial" w:cs="Arial" w:eastAsia="Arial" w:hAnsi="Arial"/>
          <w:sz w:val="18"/>
          <w:szCs w:val="18"/>
          <w:b w:val="1"/>
          <w:bCs w:val="1"/>
          <w:i w:val="1"/>
          <w:iCs w:val="1"/>
          <w:color w:val="auto"/>
        </w:rPr>
        <w:t>[Requires Company consent.]</w:t>
      </w:r>
    </w:p>
    <w:p>
      <w:pPr>
        <w:spacing w:after="0" w:line="205" w:lineRule="exact"/>
        <w:rPr>
          <w:sz w:val="20"/>
          <w:szCs w:val="20"/>
          <w:color w:val="auto"/>
        </w:rPr>
      </w:pPr>
    </w:p>
    <w:p>
      <w:pPr>
        <w:ind w:left="4" w:right="58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GREEMENTS</w:t>
      </w:r>
      <w:r>
        <w:rPr>
          <w:rFonts w:ascii="Arial" w:cs="Arial" w:eastAsia="Arial" w:hAnsi="Arial"/>
          <w:sz w:val="18"/>
          <w:szCs w:val="18"/>
          <w:b w:val="1"/>
          <w:bCs w:val="1"/>
          <w:color w:val="auto"/>
        </w:rPr>
        <w:t>,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CKNOWLEDGMENTS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8"/>
          <w:szCs w:val="18"/>
          <w:color w:val="auto"/>
        </w:rPr>
        <w:t>: By signing this Stock Option Exercise Notice and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hereby agrees with, and represents to, the Company as follows:</w:t>
      </w:r>
    </w:p>
    <w:p>
      <w:pPr>
        <w:spacing w:after="0" w:line="67" w:lineRule="exact"/>
        <w:rPr>
          <w:sz w:val="20"/>
          <w:szCs w:val="20"/>
          <w:color w:val="auto"/>
        </w:rPr>
      </w:pPr>
    </w:p>
    <w:p>
      <w:pPr>
        <w:ind w:left="424" w:right="140" w:hanging="424"/>
        <w:spacing w:after="0" w:line="266" w:lineRule="auto"/>
        <w:tabs>
          <w:tab w:leader="none" w:pos="424"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Terms Governing. </w:t>
      </w:r>
      <w:r>
        <w:rPr>
          <w:rFonts w:ascii="Arial" w:cs="Arial" w:eastAsia="Arial" w:hAnsi="Arial"/>
          <w:sz w:val="18"/>
          <w:szCs w:val="18"/>
          <w:color w:val="auto"/>
        </w:rPr>
        <w:t>I acknowledge and agree with the Company that I am acquiring the Purchased Shares by exercise of this Option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terms and conditions of the Notice of Stock Option Grant and the Stock Option Agreement that govern the Option, including without limitation the terms of the Company’s 2015 Equity Incentive Plan, as it may be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424" w:right="80" w:hanging="424"/>
        <w:spacing w:after="0" w:line="273" w:lineRule="auto"/>
        <w:tabs>
          <w:tab w:leader="none" w:pos="424" w:val="left"/>
        </w:tabs>
        <w:numPr>
          <w:ilvl w:val="0"/>
          <w:numId w:val="4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Intent; Securities Law Restrictions. </w:t>
      </w:r>
      <w:r>
        <w:rPr>
          <w:rFonts w:ascii="Arial" w:cs="Arial" w:eastAsia="Arial" w:hAnsi="Arial"/>
          <w:sz w:val="17"/>
          <w:szCs w:val="17"/>
          <w:color w:val="auto"/>
        </w:rPr>
        <w:t>I represent and warrant to the Company that I am acquiring and will hold the Purchased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for investment for my account only, and not with a view to, or for resale in connection with, any “distribution” of the Purchased Shares within the meaning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ectPr>
          <w:pgSz w:w="11900" w:h="16838" w:orient="portrait"/>
          <w:cols w:equalWidth="0" w:num="1">
            <w:col w:w="11024"/>
          </w:cols>
          <w:pgMar w:left="436" w:top="269" w:right="439" w:bottom="1440" w:gutter="0" w:footer="0" w:header="0"/>
        </w:sectPr>
      </w:pPr>
    </w:p>
    <w:bookmarkStart w:id="560" w:name="page561"/>
    <w:bookmarkEnd w:id="560"/>
    <w:p>
      <w:pPr>
        <w:ind w:left="424" w:right="80" w:hanging="424"/>
        <w:spacing w:after="0" w:line="272" w:lineRule="auto"/>
        <w:tabs>
          <w:tab w:leader="none" w:pos="424" w:val="left"/>
        </w:tabs>
        <w:numPr>
          <w:ilvl w:val="0"/>
          <w:numId w:val="46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Restrictions on Transfer: Rule 144. </w:t>
      </w:r>
      <w:r>
        <w:rPr>
          <w:rFonts w:ascii="Arial" w:cs="Arial" w:eastAsia="Arial" w:hAnsi="Arial"/>
          <w:sz w:val="17"/>
          <w:szCs w:val="17"/>
          <w:color w:val="auto"/>
        </w:rPr>
        <w:t>I will not sell, transfer or otherwise dispose of the Purchased Shares in violation of the Securities Act,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77" w:lineRule="exact"/>
        <w:rPr>
          <w:rFonts w:ascii="Arial" w:cs="Arial" w:eastAsia="Arial" w:hAnsi="Arial"/>
          <w:sz w:val="17"/>
          <w:szCs w:val="17"/>
          <w:b w:val="1"/>
          <w:bCs w:val="1"/>
          <w:color w:val="auto"/>
        </w:rPr>
      </w:pPr>
    </w:p>
    <w:p>
      <w:pPr>
        <w:ind w:left="424" w:hanging="424"/>
        <w:spacing w:after="0" w:line="298" w:lineRule="auto"/>
        <w:tabs>
          <w:tab w:leader="none" w:pos="424" w:val="left"/>
        </w:tabs>
        <w:numPr>
          <w:ilvl w:val="0"/>
          <w:numId w:val="4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Access to Information; Understanding of Risk in Investment. </w:t>
      </w:r>
      <w:r>
        <w:rPr>
          <w:rFonts w:ascii="Arial" w:cs="Arial" w:eastAsia="Arial" w:hAnsi="Arial"/>
          <w:sz w:val="16"/>
          <w:szCs w:val="16"/>
          <w:color w:val="auto"/>
        </w:rPr>
        <w:t>I acknowledge that I have received and had access to such information as I</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59" w:lineRule="exact"/>
        <w:rPr>
          <w:rFonts w:ascii="Arial" w:cs="Arial" w:eastAsia="Arial" w:hAnsi="Arial"/>
          <w:sz w:val="16"/>
          <w:szCs w:val="16"/>
          <w:b w:val="1"/>
          <w:bCs w:val="1"/>
          <w:color w:val="auto"/>
        </w:rPr>
      </w:pPr>
    </w:p>
    <w:p>
      <w:pPr>
        <w:ind w:left="424" w:right="40" w:hanging="424"/>
        <w:spacing w:after="0" w:line="261" w:lineRule="auto"/>
        <w:tabs>
          <w:tab w:leader="none" w:pos="42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First Refusal; Repurchase Options; Market Stand-off. </w:t>
      </w:r>
      <w:r>
        <w:rPr>
          <w:rFonts w:ascii="Arial" w:cs="Arial" w:eastAsia="Arial" w:hAnsi="Arial"/>
          <w:sz w:val="18"/>
          <w:szCs w:val="18"/>
          <w:color w:val="auto"/>
        </w:rPr>
        <w:t>I acknowledge that the Purchased Shares remain subject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Refusal, the Company’s Repurchase Option (with respect to unvested Purchased Shares) and the market stand-off covenants (sometimes referred to as the “lock-up”), all in accordance with the applicable Notice of Stock Option Grant and the Stock Option Agreement that govern the Option</w:t>
      </w:r>
    </w:p>
    <w:p>
      <w:pPr>
        <w:spacing w:after="0" w:line="85" w:lineRule="exact"/>
        <w:rPr>
          <w:rFonts w:ascii="Arial" w:cs="Arial" w:eastAsia="Arial" w:hAnsi="Arial"/>
          <w:sz w:val="18"/>
          <w:szCs w:val="18"/>
          <w:b w:val="1"/>
          <w:bCs w:val="1"/>
          <w:color w:val="auto"/>
        </w:rPr>
      </w:pPr>
    </w:p>
    <w:p>
      <w:pPr>
        <w:ind w:left="424" w:right="100" w:hanging="424"/>
        <w:spacing w:after="0" w:line="258" w:lineRule="auto"/>
        <w:tabs>
          <w:tab w:leader="none" w:pos="42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Ownership. </w:t>
      </w:r>
      <w:r>
        <w:rPr>
          <w:rFonts w:ascii="Arial" w:cs="Arial" w:eastAsia="Arial" w:hAnsi="Arial"/>
          <w:sz w:val="18"/>
          <w:szCs w:val="18"/>
          <w:color w:val="auto"/>
        </w:rPr>
        <w:t>I acknowledge that the Company has encouraged me to consult my own adviser to determine the form of ownership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8" w:lineRule="exact"/>
        <w:rPr>
          <w:rFonts w:ascii="Arial" w:cs="Arial" w:eastAsia="Arial" w:hAnsi="Arial"/>
          <w:sz w:val="18"/>
          <w:szCs w:val="18"/>
          <w:b w:val="1"/>
          <w:bCs w:val="1"/>
          <w:color w:val="auto"/>
        </w:rPr>
      </w:pPr>
    </w:p>
    <w:p>
      <w:pPr>
        <w:ind w:left="424" w:right="600" w:hanging="424"/>
        <w:spacing w:after="0" w:line="282" w:lineRule="auto"/>
        <w:tabs>
          <w:tab w:leader="none" w:pos="42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Investigation of Tax Consequences. </w:t>
      </w:r>
      <w:r>
        <w:rPr>
          <w:rFonts w:ascii="Arial" w:cs="Arial" w:eastAsia="Arial" w:hAnsi="Arial"/>
          <w:sz w:val="18"/>
          <w:szCs w:val="18"/>
          <w:color w:val="auto"/>
        </w:rPr>
        <w:t>I acknowledge that the Company has encouraged me to consult my own adviser to determine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acquiring the Purchased Shares at this time.</w:t>
      </w:r>
    </w:p>
    <w:p>
      <w:pPr>
        <w:spacing w:after="0" w:line="67" w:lineRule="exact"/>
        <w:rPr>
          <w:rFonts w:ascii="Arial" w:cs="Arial" w:eastAsia="Arial" w:hAnsi="Arial"/>
          <w:sz w:val="18"/>
          <w:szCs w:val="18"/>
          <w:b w:val="1"/>
          <w:bCs w:val="1"/>
          <w:color w:val="auto"/>
        </w:rPr>
      </w:pPr>
    </w:p>
    <w:p>
      <w:pPr>
        <w:ind w:left="424" w:right="40" w:hanging="424"/>
        <w:spacing w:after="0" w:line="291" w:lineRule="auto"/>
        <w:tabs>
          <w:tab w:leader="none" w:pos="424" w:val="left"/>
        </w:tabs>
        <w:numPr>
          <w:ilvl w:val="0"/>
          <w:numId w:val="4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Tax Matters. </w:t>
      </w:r>
      <w:r>
        <w:rPr>
          <w:rFonts w:ascii="Arial" w:cs="Arial" w:eastAsia="Arial" w:hAnsi="Arial"/>
          <w:sz w:val="16"/>
          <w:szCs w:val="16"/>
          <w:color w:val="auto"/>
        </w:rPr>
        <w:t>I agree that the Company does not have a duty to design or administer the Plan or its other compensation programs in a</w:t>
      </w:r>
      <w:r>
        <w:rPr>
          <w:rFonts w:ascii="Arial" w:cs="Arial" w:eastAsia="Arial" w:hAnsi="Arial"/>
          <w:sz w:val="16"/>
          <w:szCs w:val="16"/>
          <w:b w:val="1"/>
          <w:bCs w:val="1"/>
          <w:color w:val="auto"/>
        </w:rPr>
        <w:t xml:space="preserve"> </w:t>
      </w:r>
      <w:r>
        <w:rPr>
          <w:rFonts w:ascii="Arial" w:cs="Arial" w:eastAsia="Arial" w:hAnsi="Arial"/>
          <w:sz w:val="16"/>
          <w:szCs w:val="16"/>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64" w:lineRule="exact"/>
        <w:rPr>
          <w:rFonts w:ascii="Arial" w:cs="Arial" w:eastAsia="Arial" w:hAnsi="Arial"/>
          <w:sz w:val="16"/>
          <w:szCs w:val="16"/>
          <w:b w:val="1"/>
          <w:bCs w:val="1"/>
          <w:color w:val="auto"/>
        </w:rPr>
      </w:pPr>
    </w:p>
    <w:p>
      <w:pPr>
        <w:ind w:left="424" w:hanging="424"/>
        <w:spacing w:after="0"/>
        <w:tabs>
          <w:tab w:leader="none" w:pos="42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Spouse Consent. </w:t>
      </w:r>
      <w:r>
        <w:rPr>
          <w:rFonts w:ascii="Arial" w:cs="Arial" w:eastAsia="Arial" w:hAnsi="Arial"/>
          <w:sz w:val="18"/>
          <w:szCs w:val="18"/>
          <w:color w:val="auto"/>
        </w:rPr>
        <w:t>I agree to seek the consent of my spouse to the extent required by the Company to enforce the foregoing.</w:t>
      </w:r>
    </w:p>
    <w:p>
      <w:pPr>
        <w:spacing w:after="0" w:line="130" w:lineRule="exact"/>
        <w:rPr>
          <w:rFonts w:ascii="Arial" w:cs="Arial" w:eastAsia="Arial" w:hAnsi="Arial"/>
          <w:sz w:val="18"/>
          <w:szCs w:val="18"/>
          <w:b w:val="1"/>
          <w:bCs w:val="1"/>
          <w:color w:val="auto"/>
        </w:rPr>
      </w:pPr>
    </w:p>
    <w:p>
      <w:pPr>
        <w:jc w:val="both"/>
        <w:ind w:left="424" w:right="80" w:hanging="424"/>
        <w:spacing w:after="0" w:line="266" w:lineRule="auto"/>
        <w:tabs>
          <w:tab w:leader="none" w:pos="42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As a condition of exercising this Option, I agree to make adequate provision for foreign, federal, state or other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if any, which arise upon the grant, vesting or exercise of this Option, or disposition of the Purchased Shares, whether by withholding, direct payment to the Company, or otherwise.</w:t>
      </w:r>
    </w:p>
    <w:p>
      <w:pPr>
        <w:spacing w:after="0" w:line="176"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xml:space="preserve">: </w:t>
      </w:r>
      <w:r>
        <w:rPr>
          <w:rFonts w:ascii="Arial" w:cs="Arial" w:eastAsia="Arial" w:hAnsi="Arial"/>
          <w:sz w:val="18"/>
          <w:szCs w:val="18"/>
          <w:color w:val="auto"/>
        </w:rPr>
        <w:t>UNVESTED PURCHASED SHARES ARE SUBJECT TO REPURCHASE BY THE COMPANY. PLEASE CONSULT WITH</w:t>
      </w:r>
      <w:r>
        <w:rPr>
          <w:rFonts w:ascii="Arial" w:cs="Arial" w:eastAsia="Arial" w:hAnsi="Arial"/>
          <w:sz w:val="18"/>
          <w:szCs w:val="18"/>
          <w:b w:val="1"/>
          <w:bCs w:val="1"/>
          <w:color w:val="auto"/>
        </w:rPr>
        <w:t xml:space="preserve"> </w:t>
      </w:r>
      <w:r>
        <w:rPr>
          <w:rFonts w:ascii="Arial" w:cs="Arial" w:eastAsia="Arial" w:hAnsi="Arial"/>
          <w:sz w:val="18"/>
          <w:szCs w:val="18"/>
          <w:color w:val="auto"/>
        </w:rPr>
        <w:t>YOUR TAX ADVISER CONCERNING THE ADVISABILITY OF FILING AN 83(b) ELECTION WITH THE INTERNAL REVENUE SERVICE WHICH MUST BE FILED WITHIN THIRTY (30) DAYS AFTER THE PURCHASE OF SHARES TO BE EFFECTIVE.</w:t>
      </w:r>
    </w:p>
    <w:p>
      <w:pPr>
        <w:sectPr>
          <w:pgSz w:w="11900" w:h="16838" w:orient="portrait"/>
          <w:cols w:equalWidth="0" w:num="1">
            <w:col w:w="11004"/>
          </w:cols>
          <w:pgMar w:left="436" w:top="269" w:right="459" w:bottom="1440" w:gutter="0" w:footer="0" w:header="0"/>
        </w:sectPr>
      </w:pPr>
    </w:p>
    <w:bookmarkStart w:id="561" w:name="page562"/>
    <w:bookmarkEnd w:id="561"/>
    <w:p>
      <w:pPr>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form of Election under Section 83(b) is attached hereto as </w:t>
      </w:r>
      <w:r>
        <w:rPr>
          <w:rFonts w:ascii="Arial" w:cs="Arial" w:eastAsia="Arial" w:hAnsi="Arial"/>
          <w:sz w:val="16"/>
          <w:szCs w:val="16"/>
          <w:b w:val="1"/>
          <w:bCs w:val="1"/>
          <w:u w:val="single" w:color="auto"/>
          <w:color w:val="auto"/>
        </w:rPr>
        <w:t>Exhibit 1</w:t>
      </w:r>
      <w:r>
        <w:rPr>
          <w:rFonts w:ascii="Arial" w:cs="Arial" w:eastAsia="Arial" w:hAnsi="Arial"/>
          <w:sz w:val="16"/>
          <w:szCs w:val="16"/>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executes and delivers this Stock Option Exercise Notice and Agreement and agrees to be bound by its terms</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Optionee’s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98627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 </w:t>
      </w:r>
      <w:r>
        <w:rPr>
          <w:rFonts w:ascii="Arial" w:cs="Arial" w:eastAsia="Arial" w:hAnsi="Arial"/>
          <w:sz w:val="18"/>
          <w:szCs w:val="18"/>
          <w:color w:val="auto"/>
        </w:rPr>
        <w:t>– Section 83(b) Election Form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to Stock Option Exercise Notice and Agreement]</w:t>
      </w:r>
    </w:p>
    <w:p>
      <w:pPr>
        <w:sectPr>
          <w:pgSz w:w="11900" w:h="16838" w:orient="portrait"/>
          <w:cols w:equalWidth="0" w:num="1">
            <w:col w:w="10960"/>
          </w:cols>
          <w:pgMar w:left="440" w:top="269" w:right="499" w:bottom="1440" w:gutter="0" w:footer="0" w:header="0"/>
        </w:sectPr>
      </w:pPr>
    </w:p>
    <w:bookmarkStart w:id="562" w:name="page563"/>
    <w:bookmarkEnd w:id="562"/>
    <w:p>
      <w:pPr>
        <w:ind w:left="50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117" w:lineRule="exact"/>
        <w:rPr>
          <w:sz w:val="20"/>
          <w:szCs w:val="20"/>
          <w:color w:val="auto"/>
        </w:rPr>
      </w:pPr>
    </w:p>
    <w:p>
      <w:pPr>
        <w:ind w:left="4384"/>
        <w:spacing w:after="0"/>
        <w:rPr>
          <w:sz w:val="20"/>
          <w:szCs w:val="20"/>
          <w:color w:val="auto"/>
        </w:rPr>
      </w:pPr>
      <w:r>
        <w:rPr>
          <w:rFonts w:ascii="Arial" w:cs="Arial" w:eastAsia="Arial" w:hAnsi="Arial"/>
          <w:sz w:val="18"/>
          <w:szCs w:val="18"/>
          <w:b w:val="1"/>
          <w:bCs w:val="1"/>
          <w:u w:val="single" w:color="auto"/>
          <w:color w:val="auto"/>
        </w:rPr>
        <w:t>SECTION 83(b) ELECTION</w:t>
      </w:r>
    </w:p>
    <w:p>
      <w:pPr>
        <w:spacing w:after="0" w:line="117" w:lineRule="exact"/>
        <w:rPr>
          <w:sz w:val="20"/>
          <w:szCs w:val="20"/>
          <w:color w:val="auto"/>
        </w:rPr>
      </w:pPr>
    </w:p>
    <w:p>
      <w:pPr>
        <w:ind w:left="3684"/>
        <w:spacing w:after="0"/>
        <w:rPr>
          <w:sz w:val="20"/>
          <w:szCs w:val="20"/>
          <w:color w:val="auto"/>
        </w:rPr>
      </w:pPr>
      <w:r>
        <w:rPr>
          <w:rFonts w:ascii="Arial" w:cs="Arial" w:eastAsia="Arial" w:hAnsi="Arial"/>
          <w:sz w:val="18"/>
          <w:szCs w:val="18"/>
          <w:b w:val="1"/>
          <w:bCs w:val="1"/>
          <w:color w:val="auto"/>
        </w:rPr>
        <w:t>ELECTION UNDER SECTION 83(b) OF THE</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INTERNAL REVENUE CODE</w:t>
      </w:r>
    </w:p>
    <w:p>
      <w:pPr>
        <w:spacing w:after="0" w:line="211" w:lineRule="exact"/>
        <w:rPr>
          <w:sz w:val="20"/>
          <w:szCs w:val="20"/>
          <w:color w:val="auto"/>
        </w:rPr>
      </w:pPr>
    </w:p>
    <w:p>
      <w:pPr>
        <w:jc w:val="both"/>
        <w:ind w:left="4" w:right="120"/>
        <w:spacing w:after="0" w:line="311"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76" w:lineRule="exact"/>
        <w:rPr>
          <w:sz w:val="20"/>
          <w:szCs w:val="20"/>
          <w:color w:val="auto"/>
        </w:rPr>
      </w:pPr>
    </w:p>
    <w:p>
      <w:pPr>
        <w:ind w:left="444" w:right="8580" w:hanging="444"/>
        <w:spacing w:after="0" w:line="308" w:lineRule="auto"/>
        <w:tabs>
          <w:tab w:leader="none" w:pos="444"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TAXPAYER’S NAME: TAXPAYER’S ADDRESS:</w:t>
      </w:r>
    </w:p>
    <w:p>
      <w:pPr>
        <w:spacing w:after="0" w:line="173" w:lineRule="exact"/>
        <w:rPr>
          <w:rFonts w:ascii="Arial" w:cs="Arial" w:eastAsia="Arial" w:hAnsi="Arial"/>
          <w:sz w:val="17"/>
          <w:szCs w:val="17"/>
          <w:color w:val="auto"/>
        </w:rPr>
      </w:pPr>
    </w:p>
    <w:p>
      <w:pPr>
        <w:ind w:left="444" w:right="8980"/>
        <w:spacing w:after="0" w:line="308" w:lineRule="auto"/>
        <w:rPr>
          <w:rFonts w:ascii="Arial" w:cs="Arial" w:eastAsia="Arial" w:hAnsi="Arial"/>
          <w:sz w:val="17"/>
          <w:szCs w:val="17"/>
          <w:color w:val="auto"/>
        </w:rPr>
      </w:pPr>
      <w:r>
        <w:rPr>
          <w:rFonts w:ascii="Arial" w:cs="Arial" w:eastAsia="Arial" w:hAnsi="Arial"/>
          <w:sz w:val="17"/>
          <w:szCs w:val="17"/>
          <w:color w:val="auto"/>
        </w:rPr>
        <w:t>SOCIAL SECURITY NUMBER:</w:t>
      </w:r>
    </w:p>
    <w:p>
      <w:pPr>
        <w:spacing w:after="0" w:line="186" w:lineRule="exact"/>
        <w:rPr>
          <w:rFonts w:ascii="Arial" w:cs="Arial" w:eastAsia="Arial" w:hAnsi="Arial"/>
          <w:sz w:val="17"/>
          <w:szCs w:val="17"/>
          <w:color w:val="auto"/>
        </w:rPr>
      </w:pPr>
    </w:p>
    <w:p>
      <w:pPr>
        <w:ind w:left="424" w:right="200" w:hanging="424"/>
        <w:spacing w:after="0" w:line="263" w:lineRule="auto"/>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 shares of Common Stock, par value $0.001 per share, of Aeglea BioTherapeutics,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were transferred upon exercise of an option by the Company, which is Taxpayer’s employer or the corporation for whom the Taxpayer performs services.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The date on which the shares were transferred was pursuant to the exercise of the option was , and this election is made for calendar year .</w:t>
      </w:r>
    </w:p>
    <w:p>
      <w:pPr>
        <w:spacing w:after="0" w:line="142"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shares are subject to the following restrictions: The Company may repurchase all or a portion of the shares at the Taxpayer’s original purchase price under certain conditions at the time of Taxpayer’s termination of employment or services.</w:t>
      </w:r>
    </w:p>
    <w:p>
      <w:pPr>
        <w:spacing w:after="0" w:line="75"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fair market value of the shares (without regard to restrictions other than restrictions which by their terms will never lapse) was $ per share x shares = $ at the time of exercise of the option.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amount paid for such shares upon exercise of the option was $ per share x shares = $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Taxpayer has submitted a copy of this statement to the Company.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amount to include in gross income is $ .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-2118995</wp:posOffset>
            </wp:positionV>
            <wp:extent cx="538353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7">
                      <a:extLst>
                        <a:ext uri="{28A0092B-C50C-407E-A947-70E740481C1C}"/>
                      </a:extLst>
                    </a:blip>
                    <a:srcRect/>
                    <a:stretch>
                      <a:fillRect/>
                    </a:stretch>
                  </pic:blipFill>
                  <pic:spPr bwMode="auto">
                    <a:xfrm>
                      <a:off x="0" y="0"/>
                      <a:ext cx="5383530" cy="825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-2393315</wp:posOffset>
            </wp:positionV>
            <wp:extent cx="538353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8">
                      <a:extLst>
                        <a:ext uri="{28A0092B-C50C-407E-A947-70E740481C1C}"/>
                      </a:extLst>
                    </a:blip>
                    <a:srcRect/>
                    <a:stretch>
                      <a:fillRect/>
                    </a:stretch>
                  </pic:blipFill>
                  <pic:spPr bwMode="auto">
                    <a:xfrm>
                      <a:off x="0" y="0"/>
                      <a:ext cx="5383530" cy="825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-2539365</wp:posOffset>
            </wp:positionV>
            <wp:extent cx="538353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9">
                      <a:extLst>
                        <a:ext uri="{28A0092B-C50C-407E-A947-70E740481C1C}"/>
                      </a:extLst>
                    </a:blip>
                    <a:srcRect/>
                    <a:stretch>
                      <a:fillRect/>
                    </a:stretch>
                  </pic:blipFill>
                  <pic:spPr bwMode="auto">
                    <a:xfrm>
                      <a:off x="0" y="0"/>
                      <a:ext cx="5383530" cy="8890"/>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-2684780</wp:posOffset>
            </wp:positionV>
            <wp:extent cx="538353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0">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205" w:lineRule="exact"/>
        <w:rPr>
          <w:sz w:val="20"/>
          <w:szCs w:val="20"/>
          <w:color w:val="auto"/>
        </w:rPr>
      </w:pPr>
    </w:p>
    <w:p>
      <w:pPr>
        <w:ind w:left="4"/>
        <w:spacing w:after="0" w:line="259" w:lineRule="auto"/>
        <w:rPr>
          <w:sz w:val="20"/>
          <w:szCs w:val="20"/>
          <w:color w:val="auto"/>
        </w:rPr>
      </w:pPr>
      <w:r>
        <w:rPr>
          <w:rFonts w:ascii="Arial" w:cs="Arial" w:eastAsia="Arial" w:hAnsi="Arial"/>
          <w:sz w:val="18"/>
          <w:szCs w:val="18"/>
          <w:i w:val="1"/>
          <w:iCs w:val="1"/>
          <w:color w:val="auto"/>
        </w:rPr>
        <w:t>THIS ELECTION MUST BE FILED WITH THE INTERNAL REVENUE SERVICE (“</w:t>
      </w:r>
      <w:r>
        <w:rPr>
          <w:rFonts w:ascii="Arial" w:cs="Arial" w:eastAsia="Arial" w:hAnsi="Arial"/>
          <w:sz w:val="18"/>
          <w:szCs w:val="18"/>
          <w:b w:val="1"/>
          <w:bCs w:val="1"/>
          <w:i w:val="1"/>
          <w:iCs w:val="1"/>
          <w:color w:val="auto"/>
        </w:rPr>
        <w:t>IRS</w:t>
      </w:r>
      <w:r>
        <w:rPr>
          <w:rFonts w:ascii="Arial" w:cs="Arial" w:eastAsia="Arial" w:hAnsi="Arial"/>
          <w:sz w:val="18"/>
          <w:szCs w:val="18"/>
          <w:i w:val="1"/>
          <w:iCs w:val="1"/>
          <w:color w:val="auto"/>
        </w:rPr>
        <w:t xml:space="preserve">”), AT THE OFFICE WHERE THE TAXPAYER FILES ANNUAL INCOME TAX RETURNS, </w:t>
      </w:r>
      <w:r>
        <w:rPr>
          <w:rFonts w:ascii="Arial" w:cs="Arial" w:eastAsia="Arial" w:hAnsi="Arial"/>
          <w:sz w:val="18"/>
          <w:szCs w:val="18"/>
          <w:i w:val="1"/>
          <w:iCs w:val="1"/>
          <w:u w:val="single" w:color="auto"/>
          <w:color w:val="auto"/>
        </w:rPr>
        <w:t>WITHIN 30 DAYS</w:t>
      </w:r>
      <w:r>
        <w:rPr>
          <w:rFonts w:ascii="Arial" w:cs="Arial" w:eastAsia="Arial" w:hAnsi="Arial"/>
          <w:sz w:val="18"/>
          <w:szCs w:val="18"/>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342011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Taxpayer’s Signature</w:t>
      </w:r>
    </w:p>
    <w:p>
      <w:pPr>
        <w:sectPr>
          <w:pgSz w:w="11900" w:h="16838" w:orient="portrait"/>
          <w:cols w:equalWidth="0" w:num="1">
            <w:col w:w="11004"/>
          </w:cols>
          <w:pgMar w:left="436" w:top="269" w:right="459" w:bottom="1440" w:gutter="0" w:footer="0" w:header="0"/>
        </w:sectPr>
      </w:pPr>
    </w:p>
    <w:bookmarkStart w:id="563" w:name="page564"/>
    <w:bookmarkEnd w:id="56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2015 EQUITY INCENTIVE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RESTRICTED STOCK PURCHASE AGREEMENT</w:t>
      </w:r>
    </w:p>
    <w:p>
      <w:pPr>
        <w:spacing w:after="0" w:line="229" w:lineRule="exact"/>
        <w:rPr>
          <w:sz w:val="20"/>
          <w:szCs w:val="20"/>
          <w:color w:val="auto"/>
        </w:rPr>
      </w:pPr>
    </w:p>
    <w:p>
      <w:pPr>
        <w:ind w:left="4" w:right="460"/>
        <w:spacing w:after="0" w:line="286" w:lineRule="auto"/>
        <w:rPr>
          <w:sz w:val="20"/>
          <w:szCs w:val="20"/>
          <w:color w:val="auto"/>
        </w:rPr>
      </w:pPr>
      <w:r>
        <w:rPr>
          <w:rFonts w:ascii="Arial" w:cs="Arial" w:eastAsia="Arial" w:hAnsi="Arial"/>
          <w:sz w:val="17"/>
          <w:szCs w:val="17"/>
          <w:color w:val="auto"/>
        </w:rPr>
        <w:t>This Restricted Stock Purchase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Aeglea BioTherapeutics,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Capitalized terms not defined herein shall have the meanings ascribed to them in the Company’s 2015 Equity Incentive Plan, as may be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 PURCHASE OF SHARES.</w:t>
      </w:r>
    </w:p>
    <w:p>
      <w:pPr>
        <w:spacing w:after="0" w:line="225" w:lineRule="exact"/>
        <w:rPr>
          <w:sz w:val="20"/>
          <w:szCs w:val="20"/>
          <w:color w:val="auto"/>
        </w:rPr>
      </w:pPr>
    </w:p>
    <w:p>
      <w:pPr>
        <w:ind w:left="4" w:right="40"/>
        <w:spacing w:after="0" w:line="25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Agreement to Purchase and Sell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Effective Date and subject to the terms and conditions of this Agreement and the Plan,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purchases from the Company, and the Company hereby sells to Purchaser, </w:t>
      </w:r>
      <w:r>
        <w:rPr>
          <w:rFonts w:ascii="Arial" w:cs="Arial" w:eastAsia="Arial" w:hAnsi="Arial"/>
          <w:sz w:val="18"/>
          <w:szCs w:val="18"/>
          <w:b w:val="1"/>
          <w:bCs w:val="1"/>
          <w:color w:val="auto"/>
        </w:rPr>
        <w:t>( )</w:t>
      </w:r>
      <w:r>
        <w:rPr>
          <w:rFonts w:ascii="Arial" w:cs="Arial" w:eastAsia="Arial" w:hAnsi="Arial"/>
          <w:sz w:val="18"/>
          <w:szCs w:val="18"/>
          <w:color w:val="auto"/>
        </w:rPr>
        <w:t xml:space="preserve"> shares of the Company’s Common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at the price of (</w:t>
      </w:r>
      <w:r>
        <w:rPr>
          <w:rFonts w:ascii="Arial" w:cs="Arial" w:eastAsia="Arial" w:hAnsi="Arial"/>
          <w:sz w:val="18"/>
          <w:szCs w:val="18"/>
          <w:b w:val="1"/>
          <w:bCs w:val="1"/>
          <w:color w:val="auto"/>
        </w:rPr>
        <w:t>$ )</w:t>
      </w:r>
      <w:r>
        <w:rPr>
          <w:rFonts w:ascii="Arial" w:cs="Arial" w:eastAsia="Arial" w:hAnsi="Arial"/>
          <w:sz w:val="18"/>
          <w:szCs w:val="18"/>
          <w:color w:val="auto"/>
        </w:rPr>
        <w:t xml:space="preserve"> per share (the “</w:t>
      </w:r>
      <w:r>
        <w:rPr>
          <w:rFonts w:ascii="Arial" w:cs="Arial" w:eastAsia="Arial" w:hAnsi="Arial"/>
          <w:sz w:val="18"/>
          <w:szCs w:val="18"/>
          <w:b w:val="1"/>
          <w:bCs w:val="1"/>
          <w:i w:val="1"/>
          <w:iCs w:val="1"/>
          <w:color w:val="auto"/>
        </w:rPr>
        <w:t>Purchase Price Per Share</w:t>
      </w:r>
      <w:r>
        <w:rPr>
          <w:rFonts w:ascii="Arial" w:cs="Arial" w:eastAsia="Arial" w:hAnsi="Arial"/>
          <w:sz w:val="18"/>
          <w:szCs w:val="18"/>
          <w:color w:val="auto"/>
        </w:rPr>
        <w:t xml:space="preserve">”) for a Total Purchase Price of </w:t>
      </w:r>
      <w:r>
        <w:rPr>
          <w:rFonts w:ascii="Arial" w:cs="Arial" w:eastAsia="Arial" w:hAnsi="Arial"/>
          <w:sz w:val="18"/>
          <w:szCs w:val="18"/>
          <w:b w:val="1"/>
          <w:bCs w:val="1"/>
          <w:color w:val="auto"/>
        </w:rPr>
        <w:t>($ )</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As used in this Agreement, the term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includes the Shares purchased under this Agreement and all securities received (a) in replacement of the Shares, (b) as a result of stock dividends or stock splits with respect to the Shares, and (c) in replacement of the Shares in a merger, recapitalization, reorganization or similar corporate transaction.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hereby delivers payment of the Purchase Price as follows (check and complete as appropriate):</w:t>
      </w:r>
    </w:p>
    <w:p>
      <w:pPr>
        <w:spacing w:after="0" w:line="135" w:lineRule="exact"/>
        <w:rPr>
          <w:sz w:val="20"/>
          <w:szCs w:val="20"/>
          <w:color w:val="auto"/>
        </w:rPr>
      </w:pPr>
    </w:p>
    <w:p>
      <w:pPr>
        <w:ind w:left="424" w:hanging="424"/>
        <w:spacing w:after="0"/>
        <w:tabs>
          <w:tab w:leader="none" w:pos="424" w:val="left"/>
        </w:tabs>
        <w:numPr>
          <w:ilvl w:val="0"/>
          <w:numId w:val="467"/>
        </w:numPr>
        <w:rPr>
          <w:rFonts w:ascii="MS PGothic" w:cs="MS PGothic" w:eastAsia="MS PGothic" w:hAnsi="MS PGothic"/>
          <w:sz w:val="18"/>
          <w:szCs w:val="18"/>
          <w:color w:val="auto"/>
        </w:rPr>
      </w:pPr>
      <w:r>
        <w:rPr>
          <w:rFonts w:ascii="Arial" w:cs="Arial" w:eastAsia="Arial" w:hAnsi="Arial"/>
          <w:sz w:val="18"/>
          <w:szCs w:val="18"/>
          <w:color w:val="auto"/>
        </w:rPr>
        <w:t>in cash (by check) in the amount of $ , receipt of which is acknowledged by the Company.</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467"/>
        </w:numPr>
        <w:rPr>
          <w:rFonts w:ascii="MS PGothic" w:cs="MS PGothic" w:eastAsia="MS PGothic" w:hAnsi="MS PGothic"/>
          <w:sz w:val="18"/>
          <w:szCs w:val="18"/>
          <w:color w:val="auto"/>
        </w:rPr>
      </w:pPr>
      <w:r>
        <w:rPr>
          <w:rFonts w:ascii="Arial" w:cs="Arial" w:eastAsia="Arial" w:hAnsi="Arial"/>
          <w:sz w:val="18"/>
          <w:szCs w:val="18"/>
          <w:color w:val="auto"/>
        </w:rPr>
        <w:t>by cancellation of indebtedness of the Company owed to Purchaser in the amount of $ .</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467"/>
        </w:numPr>
        <w:rPr>
          <w:rFonts w:ascii="MS PGothic" w:cs="MS PGothic" w:eastAsia="MS PGothic" w:hAnsi="MS PGothic"/>
          <w:sz w:val="18"/>
          <w:szCs w:val="18"/>
          <w:color w:val="auto"/>
        </w:rPr>
      </w:pPr>
      <w:r>
        <w:rPr>
          <w:rFonts w:ascii="Arial" w:cs="Arial" w:eastAsia="Arial" w:hAnsi="Arial"/>
          <w:sz w:val="18"/>
          <w:szCs w:val="18"/>
          <w:color w:val="auto"/>
        </w:rPr>
        <w:t>by the waiver hereby of compensation due or accrued for services rendered in the amount of $ .</w:t>
      </w:r>
    </w:p>
    <w:p>
      <w:pPr>
        <w:spacing w:after="0" w:line="130" w:lineRule="exact"/>
        <w:rPr>
          <w:rFonts w:ascii="MS PGothic" w:cs="MS PGothic" w:eastAsia="MS PGothic" w:hAnsi="MS PGothic"/>
          <w:sz w:val="18"/>
          <w:szCs w:val="18"/>
          <w:color w:val="auto"/>
        </w:rPr>
      </w:pPr>
    </w:p>
    <w:p>
      <w:pPr>
        <w:ind w:left="424" w:hanging="424"/>
        <w:spacing w:after="0" w:line="279" w:lineRule="auto"/>
        <w:tabs>
          <w:tab w:leader="none" w:pos="424" w:val="left"/>
        </w:tabs>
        <w:numPr>
          <w:ilvl w:val="0"/>
          <w:numId w:val="467"/>
        </w:numPr>
        <w:rPr>
          <w:rFonts w:ascii="MS PGothic" w:cs="MS PGothic" w:eastAsia="MS PGothic" w:hAnsi="MS PGothic"/>
          <w:sz w:val="17"/>
          <w:szCs w:val="17"/>
          <w:color w:val="auto"/>
        </w:rPr>
      </w:pPr>
      <w:r>
        <w:rPr>
          <w:rFonts w:ascii="Arial" w:cs="Arial" w:eastAsia="Arial" w:hAnsi="Arial"/>
          <w:sz w:val="17"/>
          <w:szCs w:val="17"/>
          <w:color w:val="auto"/>
        </w:rPr>
        <w:t>by delivery of fully-paid, nonassessable and vested shares of the Common Stock of the Company owned by Purchaser free and clear of all liens, claims, encumbrances or security interests, valued at the current Fair Market Value of $ per share (a) for which the Company has received “full payment of the purchase price” within the meaning of SEC Rule 144, (if purchased by use of a promissory note, such note has been fully paid with respect to such vested shares), or (b) that were obtained by Purchaser in the open public market.</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 DELIVERIES.</w:t>
      </w:r>
    </w:p>
    <w:p>
      <w:pPr>
        <w:spacing w:after="0" w:line="225"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Deliveries by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hereby delivers to the Company at its principal executive offices: (a) this completed and signed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(b) the Purchase Price, paid by delivery of the form of payment specified in Section 1.2.</w:t>
      </w:r>
    </w:p>
    <w:p>
      <w:pPr>
        <w:spacing w:after="0" w:line="162"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Deliveries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Upon its receipt of the Purchase Price, payment or other provision for any applicable tax obligations, if any, and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to be executed and delivered by Purchaser to the Company as provided herein, the Company will issue a duly executed stock certificate evidencing the Shares in the name of Purchaser with the appropriate legends affixed thereto, to be placed in escrow as provided in Section 7.2 to secure performance of Purchaser’s obligations under Sections 5 and 6 until expiration or termination of the Company’s Repurchase Option and Refusal Right (as such terms are defined in Sections 5 and 6, respectively).</w:t>
      </w:r>
    </w:p>
    <w:p>
      <w:pPr>
        <w:spacing w:after="0" w:line="183" w:lineRule="exact"/>
        <w:rPr>
          <w:sz w:val="20"/>
          <w:szCs w:val="20"/>
          <w:color w:val="auto"/>
        </w:rPr>
      </w:pPr>
    </w:p>
    <w:p>
      <w:pPr>
        <w:ind w:left="184" w:hanging="184"/>
        <w:spacing w:after="0"/>
        <w:tabs>
          <w:tab w:leader="none" w:pos="184"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OF PURCHASER. </w:t>
      </w:r>
      <w:r>
        <w:rPr>
          <w:rFonts w:ascii="Arial" w:cs="Arial" w:eastAsia="Arial" w:hAnsi="Arial"/>
          <w:sz w:val="18"/>
          <w:szCs w:val="18"/>
          <w:color w:val="auto"/>
        </w:rPr>
        <w:t>Purchaser represents and warrants to the Company as follows.</w:t>
      </w:r>
    </w:p>
    <w:p>
      <w:pPr>
        <w:spacing w:after="0" w:line="225" w:lineRule="exact"/>
        <w:rPr>
          <w:sz w:val="20"/>
          <w:szCs w:val="20"/>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Agrees to Terms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has received a copy of the Plan, has read and understands the terms of the Plan and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be bound by their terms and conditions.</w:t>
      </w:r>
    </w:p>
    <w:p>
      <w:pPr>
        <w:sectPr>
          <w:pgSz w:w="11900" w:h="16838" w:orient="portrait"/>
          <w:cols w:equalWidth="0" w:num="1">
            <w:col w:w="11004"/>
          </w:cols>
          <w:pgMar w:left="436" w:top="269" w:right="459" w:bottom="1440" w:gutter="0" w:footer="0" w:header="0"/>
        </w:sectPr>
      </w:pPr>
    </w:p>
    <w:bookmarkStart w:id="564" w:name="page565"/>
    <w:bookmarkEnd w:id="564"/>
    <w:p>
      <w:pPr>
        <w:ind w:right="8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8"/>
          <w:szCs w:val="18"/>
          <w:b w:val="1"/>
          <w:bCs w:val="1"/>
          <w:u w:val="single" w:color="auto"/>
          <w:color w:val="auto"/>
        </w:rPr>
        <w:t>Acknowledgment of Tax Risks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acknowledges that there may be adverse tax consequences upon the purchase and the disposition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 that Purchaser has been advised by the Company to consult a tax adviser prior to such purchase or disposition. Purchaser further acknowledges that Purchaser is not relying on the Company or its counsel for tax advice regarding Purchaser’s purchaser or disposition of the Shares or the tax consequences to Purchaser of this Agreement.</w:t>
      </w:r>
    </w:p>
    <w:p>
      <w:pPr>
        <w:spacing w:after="0" w:line="180"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Shares Not Registered or 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understands and acknowledges that the Shares have not been registered with the SEC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or with any securities regulatory agency administering any state securities laws, and that, notwithstanding any other provision of this Agreement to the contrary, the purchase of any Shares is expressly conditioned upon compliance with the Securities Act and all applicable state securities laws. Purchaser agrees to cooperate with the Company to ensure compliance with such laws.</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No Transfer Unless Registered or Exempt; Contractual Restrictions on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Purchaser may not transfer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unless such Shares are registered under the Securities Act or qualified under applicable state securities laws or unless, in the opinion of counsel to the Company, exemptions from such registration and qualification requirements are available. Purchaser understands that only the Company may file a registration statement with the SEC and that the Company is under no obligation to do so with respect to the Shares. Purchaser has also been advised that exemptions from registration and qualification may not be available or may not permit Purchaser to transfer all or any of the Shares in the amounts or at the times proposed by Purchaser. Purchaser further acknowledges that this Agreement imposes additional restrictions on transfer of the Shares.</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SEC Rule 701</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are issued pursuant to SEC Rule 701 promulgated under the Securities Act may become freely tradable by non-affiliates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limited conditions regarding the method of sale) ninety (90) days after the first sale of Common Stock of the Company to the general public pursuant to a registration statement filed with and declared effective by the SEC, subject to the lengthier market standoff agreement contained in Section 4 of this Agreement or any other agreement entered into by Purchaser. Affiliates must comply with the provisions (other than the holding period requirements) of Rule 144 which permits certain limited sales of unregistered securities. Rule 144 is not presently available with respect to the Shares and, in any event, requires that the Shares be held for a minimum of six (6) months, and in certain cases one (1) year, after they have been purchased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paid for</w:t>
      </w:r>
      <w:r>
        <w:rPr>
          <w:rFonts w:ascii="Arial" w:cs="Arial" w:eastAsia="Arial" w:hAnsi="Arial"/>
          <w:sz w:val="17"/>
          <w:szCs w:val="17"/>
          <w:color w:val="auto"/>
        </w:rPr>
        <w:t xml:space="preserve"> (within the meaning of Rule 144). Purchaser understands that use of a promissory note as payment for the Shares may not be deemed to be “full payment of the purchase price” within the meaning of Rule 144 unless certain conditions are met and that, accordingly, the Rule 144 holding period of such Shares may not begin to run until such Shares are fully paid for within the meaning of Rule 144.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182"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 xml:space="preserve">3.6 </w:t>
      </w:r>
      <w:r>
        <w:rPr>
          <w:rFonts w:ascii="Arial" w:cs="Arial" w:eastAsia="Arial" w:hAnsi="Arial"/>
          <w:sz w:val="17"/>
          <w:szCs w:val="17"/>
          <w:b w:val="1"/>
          <w:bCs w:val="1"/>
          <w:u w:val="single" w:color="auto"/>
          <w:color w:val="auto"/>
        </w:rPr>
        <w:t>Access to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has had access to all information regarding the Company and its present and prospective business, assets,</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and financial condition that Purchaser reasonably considers important in making the decision to purchase the Shares, and Purchaser has had ample opportunity to ask questions of the Company’s representatives concerning such matters and this investment.</w:t>
      </w:r>
    </w:p>
    <w:p>
      <w:pPr>
        <w:spacing w:after="0" w:line="15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b w:val="1"/>
          <w:bCs w:val="1"/>
          <w:u w:val="single" w:color="auto"/>
          <w:color w:val="auto"/>
        </w:rPr>
        <w:t>Understanding of Risks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is fully aware of: (a) the highly speculative nature of the investment in the Shares; (b) the financial hazards</w:t>
      </w:r>
      <w:r>
        <w:rPr>
          <w:rFonts w:ascii="Arial" w:cs="Arial" w:eastAsia="Arial" w:hAnsi="Arial"/>
          <w:sz w:val="18"/>
          <w:szCs w:val="18"/>
          <w:b w:val="1"/>
          <w:bCs w:val="1"/>
          <w:color w:val="auto"/>
        </w:rPr>
        <w:t xml:space="preserve"> </w:t>
      </w:r>
      <w:r>
        <w:rPr>
          <w:rFonts w:ascii="Arial" w:cs="Arial" w:eastAsia="Arial" w:hAnsi="Arial"/>
          <w:sz w:val="18"/>
          <w:szCs w:val="18"/>
          <w:color w:val="auto"/>
        </w:rPr>
        <w:t>involved; (c) the lack of liquidity of the Shares and the restrictions on transferability of the Shares (</w:t>
      </w:r>
      <w:r>
        <w:rPr>
          <w:rFonts w:ascii="Arial" w:cs="Arial" w:eastAsia="Arial" w:hAnsi="Arial"/>
          <w:sz w:val="18"/>
          <w:szCs w:val="18"/>
          <w:u w:val="single" w:color="auto"/>
          <w:color w:val="auto"/>
        </w:rPr>
        <w:t>e.g.</w:t>
      </w:r>
      <w:r>
        <w:rPr>
          <w:rFonts w:ascii="Arial" w:cs="Arial" w:eastAsia="Arial" w:hAnsi="Arial"/>
          <w:sz w:val="18"/>
          <w:szCs w:val="18"/>
          <w:color w:val="auto"/>
        </w:rPr>
        <w:t>, that Purchaser may not be able to sell or dispose of the Shares or use them as collateral for loans); (d) the qualifications and backgrounds of the management of the Company; and (e) the tax consequences of investment in, and disposition of, the Shares.</w:t>
      </w:r>
    </w:p>
    <w:p>
      <w:pPr>
        <w:spacing w:after="0" w:line="180" w:lineRule="exact"/>
        <w:rPr>
          <w:sz w:val="20"/>
          <w:szCs w:val="20"/>
          <w:color w:val="auto"/>
        </w:rPr>
      </w:pPr>
    </w:p>
    <w:p>
      <w:pPr>
        <w:jc w:val="both"/>
        <w:ind w:right="40"/>
        <w:spacing w:after="0" w:line="314" w:lineRule="auto"/>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u w:val="single" w:color="auto"/>
          <w:color w:val="auto"/>
        </w:rPr>
        <w:t>Purchase for Own Account for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is purchasing the Shares for Purchaser’s own account for investment purposes only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with a view to, or for sale in connection with, a distribution of the Shares within the meaning of the Securities Act. Purchaser has no present intention of selling or otherwise disposing of all or any portion of the Shares and no one other than Purchaser has any beneficial ownership of any of the Shares.</w:t>
      </w:r>
    </w:p>
    <w:p>
      <w:pPr>
        <w:spacing w:after="0" w:line="142" w:lineRule="exact"/>
        <w:rPr>
          <w:sz w:val="20"/>
          <w:szCs w:val="20"/>
          <w:color w:val="auto"/>
        </w:rPr>
      </w:pPr>
    </w:p>
    <w:p>
      <w:pPr>
        <w:ind w:right="720"/>
        <w:spacing w:after="0" w:line="312" w:lineRule="auto"/>
        <w:rPr>
          <w:sz w:val="20"/>
          <w:szCs w:val="20"/>
          <w:color w:val="auto"/>
        </w:rPr>
      </w:pPr>
      <w:r>
        <w:rPr>
          <w:rFonts w:ascii="Arial" w:cs="Arial" w:eastAsia="Arial" w:hAnsi="Arial"/>
          <w:sz w:val="17"/>
          <w:szCs w:val="17"/>
          <w:b w:val="1"/>
          <w:bCs w:val="1"/>
          <w:color w:val="auto"/>
        </w:rPr>
        <w:t xml:space="preserve">3.9 </w:t>
      </w:r>
      <w:r>
        <w:rPr>
          <w:rFonts w:ascii="Arial" w:cs="Arial" w:eastAsia="Arial" w:hAnsi="Arial"/>
          <w:sz w:val="17"/>
          <w:szCs w:val="17"/>
          <w:b w:val="1"/>
          <w:bCs w:val="1"/>
          <w:u w:val="single" w:color="auto"/>
          <w:color w:val="auto"/>
        </w:rPr>
        <w:t>No General 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At no time was Purchaser presented with or solicited by any publicly issued or circulated newspaper, mail, radio,</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or other form of general advertising or solicitation in connection with the offer, sale and purchase of the Shares.</w:t>
      </w:r>
    </w:p>
    <w:p>
      <w:pPr>
        <w:sectPr>
          <w:pgSz w:w="11900" w:h="16838" w:orient="portrait"/>
          <w:cols w:equalWidth="0" w:num="1">
            <w:col w:w="11000"/>
          </w:cols>
          <w:pgMar w:left="440" w:top="269" w:right="459" w:bottom="1440" w:gutter="0" w:footer="0" w:header="0"/>
        </w:sectPr>
      </w:pPr>
    </w:p>
    <w:bookmarkStart w:id="565" w:name="page566"/>
    <w:bookmarkEnd w:id="565"/>
    <w:p>
      <w:pPr>
        <w:ind w:left="4" w:right="40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3.10 </w:t>
      </w:r>
      <w:r>
        <w:rPr>
          <w:rFonts w:ascii="Arial" w:cs="Arial" w:eastAsia="Arial" w:hAnsi="Arial"/>
          <w:sz w:val="16"/>
          <w:szCs w:val="16"/>
          <w:b w:val="1"/>
          <w:bCs w:val="1"/>
          <w:u w:val="single" w:color="auto"/>
          <w:color w:val="auto"/>
        </w:rPr>
        <w:t>SEC Rule 144.</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has been advised that SEC Rule 144 promulgated under the Securities Act, which permits certain limited sales of</w:t>
      </w:r>
      <w:r>
        <w:rPr>
          <w:rFonts w:ascii="Arial" w:cs="Arial" w:eastAsia="Arial" w:hAnsi="Arial"/>
          <w:sz w:val="16"/>
          <w:szCs w:val="16"/>
          <w:b w:val="1"/>
          <w:bCs w:val="1"/>
          <w:color w:val="auto"/>
        </w:rPr>
        <w:t xml:space="preserve"> </w:t>
      </w:r>
      <w:r>
        <w:rPr>
          <w:rFonts w:ascii="Arial" w:cs="Arial" w:eastAsia="Arial" w:hAnsi="Arial"/>
          <w:sz w:val="16"/>
          <w:szCs w:val="16"/>
          <w:color w:val="auto"/>
        </w:rPr>
        <w:t>unregistered securities, is not presently available with respect to the Shares and, in any event, requires that the Shares be held for a minimum of six</w:t>
      </w:r>
    </w:p>
    <w:p>
      <w:pPr>
        <w:spacing w:after="0" w:line="1" w:lineRule="exact"/>
        <w:rPr>
          <w:sz w:val="20"/>
          <w:szCs w:val="20"/>
          <w:color w:val="auto"/>
        </w:rPr>
      </w:pPr>
    </w:p>
    <w:p>
      <w:pPr>
        <w:ind w:left="4" w:right="80" w:hanging="4"/>
        <w:spacing w:after="0" w:line="253" w:lineRule="auto"/>
        <w:tabs>
          <w:tab w:leader="none" w:pos="259"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months, and in certain cases one (1) year, after they have been purchased </w:t>
      </w:r>
      <w:r>
        <w:rPr>
          <w:rFonts w:ascii="Arial" w:cs="Arial" w:eastAsia="Arial" w:hAnsi="Arial"/>
          <w:sz w:val="18"/>
          <w:szCs w:val="18"/>
          <w:u w:val="single" w:color="auto"/>
          <w:color w:val="auto"/>
        </w:rPr>
        <w:t>and paid for</w:t>
      </w:r>
      <w:r>
        <w:rPr>
          <w:rFonts w:ascii="Arial" w:cs="Arial" w:eastAsia="Arial" w:hAnsi="Arial"/>
          <w:sz w:val="18"/>
          <w:szCs w:val="18"/>
          <w:color w:val="auto"/>
        </w:rPr>
        <w:t xml:space="preserve"> (within the meaning of Rule 144), subject to the lengthier market standoff agreement contained in Section 4 of this Agreement or any other agreement entered into by Purchaser.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189" w:lineRule="exact"/>
        <w:rPr>
          <w:sz w:val="20"/>
          <w:szCs w:val="20"/>
          <w:color w:val="auto"/>
        </w:rPr>
      </w:pPr>
    </w:p>
    <w:p>
      <w:pPr>
        <w:ind w:left="4" w:hanging="4"/>
        <w:spacing w:after="0" w:line="268" w:lineRule="auto"/>
        <w:tabs>
          <w:tab w:leader="none" w:pos="184" w:val="left"/>
        </w:tabs>
        <w:numPr>
          <w:ilvl w:val="0"/>
          <w:numId w:val="4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MARKET STANDOFF AGREEMENT. </w:t>
      </w:r>
      <w:r>
        <w:rPr>
          <w:rFonts w:ascii="Arial" w:cs="Arial" w:eastAsia="Arial" w:hAnsi="Arial"/>
          <w:sz w:val="17"/>
          <w:szCs w:val="17"/>
          <w:color w:val="auto"/>
        </w:rPr>
        <w:t>Subject to the provisions of this Section, Purchaser agrees in connection with any registration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Company’s securities under the Securities Act or other registered public offering that, Purchaser will not sell or otherwise dispose of any Shares without the prior written consent of the Company or such managing underwriters, as the case may be, for a period of time (not to exceed one hundred eighty (180) days) after the effective date of such registration requested by such managing underwriters and subject to all restrictions as the Company or the managing underwriters may specify for employee-stockholders generally;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sixteen (16)-day period beginning on the last day of the restricted period, </w:t>
      </w:r>
      <w:r>
        <w:rPr>
          <w:rFonts w:ascii="Arial" w:cs="Arial" w:eastAsia="Arial" w:hAnsi="Arial"/>
          <w:sz w:val="17"/>
          <w:szCs w:val="17"/>
          <w:u w:val="single" w:color="auto"/>
          <w:color w:val="auto"/>
        </w:rPr>
        <w:t>then,</w:t>
      </w:r>
      <w:r>
        <w:rPr>
          <w:rFonts w:ascii="Arial" w:cs="Arial" w:eastAsia="Arial" w:hAnsi="Arial"/>
          <w:sz w:val="17"/>
          <w:szCs w:val="17"/>
          <w:color w:val="auto"/>
        </w:rPr>
        <w:t xml:space="preserve"> if required by the underwriters or the Company, for so long as, and to the extent that, Rule 2711 or any successor rule of the Financial Industry Regulatory Authority applies, the restrictions imposed by this Section 4 shall continue to apply until the expiration of the 18-day period beginning on the issuance of the earnings release or the occurrence of the material news or material event. The restricted period shall in any event terminate two (2) years after the closing date of the Company’s initial public offering. For purposes of this Section 4,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Purchaser further agrees that the underwriters of any such registered public offering shall be third party beneficiaries of this Section 4 and agrees to enter into any agreement reasonably required by the underwriters to implement the foregoing. Notwithstanding anything in this Section to the contrary,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74" w:lineRule="exact"/>
        <w:rPr>
          <w:rFonts w:ascii="Arial" w:cs="Arial" w:eastAsia="Arial" w:hAnsi="Arial"/>
          <w:sz w:val="17"/>
          <w:szCs w:val="17"/>
          <w:b w:val="1"/>
          <w:bCs w:val="1"/>
          <w:color w:val="auto"/>
        </w:rPr>
      </w:pPr>
    </w:p>
    <w:p>
      <w:pPr>
        <w:ind w:left="4" w:right="20" w:hanging="4"/>
        <w:spacing w:after="0" w:line="303" w:lineRule="auto"/>
        <w:tabs>
          <w:tab w:leader="none" w:pos="184" w:val="left"/>
        </w:tabs>
        <w:numPr>
          <w:ilvl w:val="0"/>
          <w:numId w:val="4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COMPANY’S REPURCHASE OPTION FOR UNVESTED SHARES. </w:t>
      </w:r>
      <w:r>
        <w:rPr>
          <w:rFonts w:ascii="Arial" w:cs="Arial" w:eastAsia="Arial" w:hAnsi="Arial"/>
          <w:sz w:val="16"/>
          <w:szCs w:val="16"/>
          <w:color w:val="auto"/>
        </w:rPr>
        <w:t>The Company, or (subject to Section 5.6) its assignee,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to repurchase all or a portion of the Purchaser’s Shares that are Unvested Shares (as defined below) on the Termination Date on the terms and conditions set forth in this Section (the “</w:t>
      </w:r>
      <w:r>
        <w:rPr>
          <w:rFonts w:ascii="Arial" w:cs="Arial" w:eastAsia="Arial" w:hAnsi="Arial"/>
          <w:sz w:val="16"/>
          <w:szCs w:val="16"/>
          <w:b w:val="1"/>
          <w:bCs w:val="1"/>
          <w:i w:val="1"/>
          <w:iCs w:val="1"/>
          <w:color w:val="auto"/>
        </w:rPr>
        <w:t>Repurchase Option</w:t>
      </w:r>
      <w:r>
        <w:rPr>
          <w:rFonts w:ascii="Arial" w:cs="Arial" w:eastAsia="Arial" w:hAnsi="Arial"/>
          <w:sz w:val="16"/>
          <w:szCs w:val="16"/>
          <w:color w:val="auto"/>
        </w:rPr>
        <w:t>”) if Purchaser is Terminated (as defined in the Plan) for any reason, or no reason, including without limitation, Purchaser’s death, Disability (as defined in the Plan), voluntary resignation or termination by the Company with or without Cause.</w:t>
      </w:r>
    </w:p>
    <w:p>
      <w:pPr>
        <w:spacing w:after="0" w:line="151" w:lineRule="exact"/>
        <w:rPr>
          <w:sz w:val="20"/>
          <w:szCs w:val="20"/>
          <w:color w:val="auto"/>
        </w:rPr>
      </w:pPr>
    </w:p>
    <w:p>
      <w:pPr>
        <w:ind w:left="4" w:right="720"/>
        <w:spacing w:after="0" w:line="347"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Termination and Termination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of any dispute as to whether Purchaser is Terminated, the Committee shall have discretion to</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 good faith whether Purchaser has been Terminated and the effective date of such Termination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116"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Vested and Unvested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that are vested pursuant to the schedule set forth in this Section 5.2 are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 Shares that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vested pursuant to such schedule are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On the Effective Date, of the Shares will be Unvested Shares (the “</w:t>
      </w:r>
      <w:r>
        <w:rPr>
          <w:rFonts w:ascii="Arial" w:cs="Arial" w:eastAsia="Arial" w:hAnsi="Arial"/>
          <w:sz w:val="17"/>
          <w:szCs w:val="17"/>
          <w:b w:val="1"/>
          <w:bCs w:val="1"/>
          <w:i w:val="1"/>
          <w:iCs w:val="1"/>
          <w:color w:val="auto"/>
        </w:rPr>
        <w:t>Initial Unvested Shares</w:t>
      </w:r>
      <w:r>
        <w:rPr>
          <w:rFonts w:ascii="Arial" w:cs="Arial" w:eastAsia="Arial" w:hAnsi="Arial"/>
          <w:sz w:val="17"/>
          <w:szCs w:val="17"/>
          <w:color w:val="auto"/>
        </w:rPr>
        <w:t>”). Provided Purchaser continues to provide services to the Company or any Subsidiary or Parent of the Company at all times from the Effective Date until (the “</w:t>
      </w:r>
      <w:r>
        <w:rPr>
          <w:rFonts w:ascii="Arial" w:cs="Arial" w:eastAsia="Arial" w:hAnsi="Arial"/>
          <w:sz w:val="17"/>
          <w:szCs w:val="17"/>
          <w:b w:val="1"/>
          <w:bCs w:val="1"/>
          <w:i w:val="1"/>
          <w:iCs w:val="1"/>
          <w:color w:val="auto"/>
        </w:rPr>
        <w:t>First Vesting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then</w:t>
      </w:r>
      <w:r>
        <w:rPr>
          <w:rFonts w:ascii="Arial" w:cs="Arial" w:eastAsia="Arial" w:hAnsi="Arial"/>
          <w:sz w:val="17"/>
          <w:szCs w:val="17"/>
          <w:color w:val="auto"/>
        </w:rPr>
        <w:t xml:space="preserve"> on the First Vesting Date one-fourth (1/4th) of the Initial Unvested Shares will become Vested Shares, and on the same day of each succeeding calendar month thereafter (or if there is no such day in any month, then the last day of such calendar month), an additional one forty-eighth 1/48th of the Initial Unvested Shares shall vest until the earliest to occur of (a) the date all of the Shares are Vested Shares, (b) the Termination Date or (c) the date vesting otherwise terminates pursuant to this Agreement or the Plan. No fractional Shares shall be issued. No Shares will become Vested Shares after the Termination Date. The number of the Shares that are Vested Shares or Unvested Shares will be proportionally adjusted to reflect any stock split, reverse stock split or similar change in the capital structure of the Company as set forth in Section 2.2 of the Plan occurring after the Effective Date.</w:t>
      </w:r>
    </w:p>
    <w:p>
      <w:pPr>
        <w:sectPr>
          <w:pgSz w:w="11900" w:h="16838" w:orient="portrait"/>
          <w:cols w:equalWidth="0" w:num="1">
            <w:col w:w="10984"/>
          </w:cols>
          <w:pgMar w:left="436" w:top="269" w:right="479" w:bottom="1440" w:gutter="0" w:footer="0" w:header="0"/>
        </w:sectPr>
      </w:pPr>
    </w:p>
    <w:bookmarkStart w:id="566" w:name="page567"/>
    <w:bookmarkEnd w:id="566"/>
    <w:p>
      <w:pPr>
        <w:ind w:left="4" w:right="2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5.3 </w:t>
      </w:r>
      <w:r>
        <w:rPr>
          <w:rFonts w:ascii="Arial" w:cs="Arial" w:eastAsia="Arial" w:hAnsi="Arial"/>
          <w:sz w:val="17"/>
          <w:szCs w:val="17"/>
          <w:b w:val="1"/>
          <w:bCs w:val="1"/>
          <w:u w:val="single" w:color="auto"/>
          <w:color w:val="auto"/>
        </w:rPr>
        <w:t>Exercise of Repurchase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within ninety (90) days after the Purchaser’s Termination Date, the Company, or its assignee, may, at</w:t>
      </w:r>
      <w:r>
        <w:rPr>
          <w:rFonts w:ascii="Arial" w:cs="Arial" w:eastAsia="Arial" w:hAnsi="Arial"/>
          <w:sz w:val="17"/>
          <w:szCs w:val="17"/>
          <w:b w:val="1"/>
          <w:bCs w:val="1"/>
          <w:color w:val="auto"/>
        </w:rPr>
        <w:t xml:space="preserve"> </w:t>
      </w:r>
      <w:r>
        <w:rPr>
          <w:rFonts w:ascii="Arial" w:cs="Arial" w:eastAsia="Arial" w:hAnsi="Arial"/>
          <w:sz w:val="17"/>
          <w:szCs w:val="17"/>
          <w:color w:val="auto"/>
        </w:rPr>
        <w:t>its option, elect to repurchase any or all the Purchaser’s Shares that are Unvested Shares on the Termination Date by giving Purchaser written notice of exercise of the Repurchase Option, specifying the number of Unvested Shares to be repurchased. Such Unvested Shares shall be repurchased at the Purchase Price Per Share, proportionately adjusted for any stock split, reverse stock split or similar change in the capital structure of the Company as set forth in Section 2.2 of the Plan occurring after the Effective Date (the “</w:t>
      </w:r>
      <w:r>
        <w:rPr>
          <w:rFonts w:ascii="Arial" w:cs="Arial" w:eastAsia="Arial" w:hAnsi="Arial"/>
          <w:sz w:val="17"/>
          <w:szCs w:val="17"/>
          <w:b w:val="1"/>
          <w:bCs w:val="1"/>
          <w:i w:val="1"/>
          <w:iCs w:val="1"/>
          <w:color w:val="auto"/>
        </w:rPr>
        <w:t>Repurchase Price</w:t>
      </w:r>
      <w:r>
        <w:rPr>
          <w:rFonts w:ascii="Arial" w:cs="Arial" w:eastAsia="Arial" w:hAnsi="Arial"/>
          <w:sz w:val="17"/>
          <w:szCs w:val="17"/>
          <w:color w:val="auto"/>
        </w:rPr>
        <w:t>”). The Repurchase Price shall be payable, at the option of the Company or its assignee, by check or by cancellation of all or a portion of any outstanding indebtedness owed by Purchaser to the Company and/or such assignee, or by any combination thereof. The Repurchase Price shall be paid without interest within the term of the Repurchase Option as described in the first sentence of this Section 5.3. The Company may, at its option, decline to exercise its Repurchase Option or may exercise its Repurchase Option only with respect to a portion of the Unvested Shares.</w:t>
      </w:r>
    </w:p>
    <w:p>
      <w:pPr>
        <w:spacing w:after="0" w:line="173" w:lineRule="exact"/>
        <w:rPr>
          <w:sz w:val="20"/>
          <w:szCs w:val="20"/>
          <w:color w:val="auto"/>
        </w:rPr>
      </w:pPr>
    </w:p>
    <w:p>
      <w:pPr>
        <w:jc w:val="both"/>
        <w:ind w:left="4" w:right="120"/>
        <w:spacing w:after="0" w:line="289"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b w:val="1"/>
          <w:bCs w:val="1"/>
          <w:u w:val="single" w:color="auto"/>
          <w:color w:val="auto"/>
        </w:rPr>
        <w:t>Right of Termination Unaffected</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be construed to limit or otherwise affect in any manner whatsoever the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power of the Company (or any Parent or Subsidiary of the Company) to terminate Purchaser’s employment or other relationship with Company (or the Parent or Subsidiary of the Company) at any time, for any reason or no reason, with or without Cause.</w:t>
      </w:r>
    </w:p>
    <w:p>
      <w:pPr>
        <w:spacing w:after="0" w:line="158" w:lineRule="exact"/>
        <w:rPr>
          <w:sz w:val="20"/>
          <w:szCs w:val="20"/>
          <w:color w:val="auto"/>
        </w:rPr>
      </w:pPr>
    </w:p>
    <w:p>
      <w:pPr>
        <w:ind w:left="4" w:right="80"/>
        <w:spacing w:after="0" w:line="270"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b w:val="1"/>
          <w:bCs w:val="1"/>
          <w:u w:val="single" w:color="auto"/>
          <w:color w:val="auto"/>
        </w:rPr>
        <w:t>Additional or Exchanged Securities and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5.2 above, in the event of a merger or consolidation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with or into another entity, any other corporate reorganization, a stock split, the declaration of a stock dividend, the declaration of an extraordinary dividend payable in a form other than stock, a spin-off, a recapitalization or a similar transaction affecting the Company’s outstanding securities, any securities or other property (including cash or cash equivalents) that are by reason of such transaction exchanged for, or distributed or issued with respect to, any Unvested Shares shall immediately be subject to the Repurchase Option. Appropriate adjustments shall be made to the price per share to be paid for Unvested Shares upon the exercise of the Repurchase Option (by allocating such price among the Unvested Shares and such other securities or property),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aggregate purchase price payable for the Unvested Shares and all such other securities and property shall remain the same price that was original payable under the Repurchase Option to repurchase such Unvested Shares. Subject to the provisions of Section 5.2 above, in the event of a merger or consolidation of the Company with or into another entity or any other corporate reorganization, the Repurchase Option may be exercised by the Company’s successor.</w:t>
      </w:r>
    </w:p>
    <w:p>
      <w:pPr>
        <w:spacing w:after="0" w:line="177"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Assignment of Repurchase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freely assign the Company’s Repurchase Option, in whole or in part, provided that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accepts an assignment of the Repurchase Option from the Company shall assume all of the Company’s rights and obligations with respect to the Repurchase Option (to the extent so assigned) under this Agreement.</w:t>
      </w:r>
    </w:p>
    <w:p>
      <w:pPr>
        <w:spacing w:after="0" w:line="176" w:lineRule="exact"/>
        <w:rPr>
          <w:sz w:val="20"/>
          <w:szCs w:val="20"/>
          <w:color w:val="auto"/>
        </w:rPr>
      </w:pPr>
    </w:p>
    <w:p>
      <w:pPr>
        <w:ind w:left="4" w:hanging="4"/>
        <w:spacing w:after="0" w:line="258" w:lineRule="auto"/>
        <w:tabs>
          <w:tab w:leader="none" w:pos="184"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COMPANY’S REFUSAL RIGHT. </w:t>
      </w:r>
      <w:r>
        <w:rPr>
          <w:rFonts w:ascii="Arial" w:cs="Arial" w:eastAsia="Arial" w:hAnsi="Arial"/>
          <w:sz w:val="18"/>
          <w:szCs w:val="18"/>
          <w:color w:val="auto"/>
        </w:rPr>
        <w:t>Unvested Shares shall be subject to the restrictions on transfer and the granting of encumbrances thereon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Section 7 hereof. Before any Vested Shares (as defined in Section 5 hereof) held by Purchaser or any transferee of such Vested Shares (either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Arial" w:cs="Arial" w:eastAsia="Arial" w:hAnsi="Arial"/>
          <w:sz w:val="18"/>
          <w:szCs w:val="18"/>
          <w:b w:val="1"/>
          <w:bCs w:val="1"/>
          <w:i w:val="1"/>
          <w:iCs w:val="1"/>
          <w:color w:val="auto"/>
        </w:rPr>
        <w:t>Offered Shares</w:t>
      </w:r>
      <w:r>
        <w:rPr>
          <w:rFonts w:ascii="Arial" w:cs="Arial" w:eastAsia="Arial" w:hAnsi="Arial"/>
          <w:sz w:val="18"/>
          <w:szCs w:val="18"/>
          <w:color w:val="auto"/>
        </w:rPr>
        <w:t>”) on the terms and conditions set forth in this Section (the “</w:t>
      </w:r>
      <w:r>
        <w:rPr>
          <w:rFonts w:ascii="Arial" w:cs="Arial" w:eastAsia="Arial" w:hAnsi="Arial"/>
          <w:sz w:val="18"/>
          <w:szCs w:val="18"/>
          <w:b w:val="1"/>
          <w:bCs w:val="1"/>
          <w:i w:val="1"/>
          <w:iCs w:val="1"/>
          <w:color w:val="auto"/>
        </w:rPr>
        <w:t>Refusal Right</w:t>
      </w:r>
      <w:r>
        <w:rPr>
          <w:rFonts w:ascii="Arial" w:cs="Arial" w:eastAsia="Arial" w:hAnsi="Arial"/>
          <w:sz w:val="18"/>
          <w:szCs w:val="18"/>
          <w:color w:val="auto"/>
        </w:rPr>
        <w:t>”).</w:t>
      </w:r>
    </w:p>
    <w:p>
      <w:pPr>
        <w:spacing w:after="0" w:line="183" w:lineRule="exact"/>
        <w:rPr>
          <w:sz w:val="20"/>
          <w:szCs w:val="20"/>
          <w:color w:val="auto"/>
        </w:rPr>
      </w:pPr>
    </w:p>
    <w:p>
      <w:pPr>
        <w:ind w:left="4" w:right="20"/>
        <w:spacing w:after="0" w:line="256"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Notice of Proposed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the Offered Shares will deliver to the Company a written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(a)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bona fide intention to sell or otherwise transfer the Offered Shares; (b) the name and address of each proposed purchaser or other transferee of Offered Shares (“</w:t>
      </w:r>
      <w:r>
        <w:rPr>
          <w:rFonts w:ascii="Arial" w:cs="Arial" w:eastAsia="Arial" w:hAnsi="Arial"/>
          <w:sz w:val="18"/>
          <w:szCs w:val="18"/>
          <w:b w:val="1"/>
          <w:bCs w:val="1"/>
          <w:i w:val="1"/>
          <w:iCs w:val="1"/>
          <w:color w:val="auto"/>
        </w:rPr>
        <w:t>Proposed Transferee</w:t>
      </w:r>
      <w:r>
        <w:rPr>
          <w:rFonts w:ascii="Arial" w:cs="Arial" w:eastAsia="Arial" w:hAnsi="Arial"/>
          <w:sz w:val="18"/>
          <w:szCs w:val="18"/>
          <w:color w:val="auto"/>
        </w:rPr>
        <w:t>”); (c) the number of Offered Shares to be transferred to each Proposed Transferee; (d) the bona fide cash price or other consideration for which the Holder proposes to transfer the Offered Shares to each Proposed Transferee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(e) that the Holder acknowledges this Notice is an offer to sell the Offered Shares to the Company and/or its assignee(s) pursuant to the Company’s Refusal Right at the Offered Price as provided for in this Agreement.</w:t>
      </w:r>
    </w:p>
    <w:p>
      <w:pPr>
        <w:sectPr>
          <w:pgSz w:w="11900" w:h="16838" w:orient="portrait"/>
          <w:cols w:equalWidth="0" w:num="1">
            <w:col w:w="11004"/>
          </w:cols>
          <w:pgMar w:left="436" w:top="269" w:right="459" w:bottom="1440" w:gutter="0" w:footer="0" w:header="0"/>
        </w:sectPr>
      </w:pPr>
    </w:p>
    <w:bookmarkStart w:id="567" w:name="page568"/>
    <w:bookmarkEnd w:id="567"/>
    <w:p>
      <w:pPr>
        <w:ind w:left="4" w:right="10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Arial" w:cs="Arial" w:eastAsia="Arial" w:hAnsi="Arial"/>
          <w:sz w:val="18"/>
          <w:szCs w:val="18"/>
          <w:b w:val="1"/>
          <w:bCs w:val="1"/>
          <w:u w:val="single" w:color="auto"/>
          <w:color w:val="auto"/>
        </w:rPr>
        <w:t>Exercise of Refusal Right</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within thirty (30) days after the date the Notice is effective pursuant to Section 9.2,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assignee(s) may, by giving written notice to the Holder, elect to purchase all (or, with the consent of the Holder, less than all) the Offered Shares proposed to be transferred to any one or more of the Proposed Transferees named in the Notice, at the purchase price, determined as provided in Section 6.3 below.</w:t>
      </w:r>
    </w:p>
    <w:p>
      <w:pPr>
        <w:spacing w:after="0" w:line="180"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for the Offered Shares purchased under this Section will be the Offered Price,</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the Offered Price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no legal consideration (as, for example, in the case of a transfer by gift), then the purchase price will be the fair market value of the Offered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183" w:lineRule="exact"/>
        <w:rPr>
          <w:sz w:val="20"/>
          <w:szCs w:val="20"/>
          <w:color w:val="auto"/>
        </w:rPr>
      </w:pPr>
    </w:p>
    <w:p>
      <w:pPr>
        <w:ind w:left="4" w:right="40"/>
        <w:spacing w:after="0" w:line="303"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price for the Offered Shares will be paid, at the option of the Company and/or its assignee(s) (as applicable), by check or by</w:t>
      </w:r>
      <w:r>
        <w:rPr>
          <w:rFonts w:ascii="Arial" w:cs="Arial" w:eastAsia="Arial" w:hAnsi="Arial"/>
          <w:sz w:val="16"/>
          <w:szCs w:val="16"/>
          <w:b w:val="1"/>
          <w:bCs w:val="1"/>
          <w:color w:val="auto"/>
        </w:rPr>
        <w:t xml:space="preserve"> </w:t>
      </w:r>
      <w:r>
        <w:rPr>
          <w:rFonts w:ascii="Arial" w:cs="Arial" w:eastAsia="Arial" w:hAnsi="Arial"/>
          <w:sz w:val="16"/>
          <w:szCs w:val="16"/>
          <w:color w:val="auto"/>
        </w:rPr>
        <w:t>cancellation of all or a portion of any outstanding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51"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b w:val="1"/>
          <w:bCs w:val="1"/>
          <w:u w:val="single" w:color="auto"/>
          <w:color w:val="auto"/>
        </w:rPr>
        <w:t>Holder’s Right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If all of the Offered Shares proposed in the Notice to be transferred to a given Proposed Transferee are not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Company and/or its assignee(s) as provided in this Section, then the Holder may sell or otherwise transfer such Offered Shares to such Proposed Transferee at the Offered Price or at a higher price,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 such sale or other transfer is consummated within one hundred twenty (120) days after the date the Notice is effective pursuant to Section 9.2, (b) any such sale or other transfer is effected in compliance with all applicable securities laws, and (c) such Proposed Transferee agrees in writing that the provisions of this Section will continue to apply to the Offered Shares in the hands of such Proposed Transferee. If the Offered Shares described in the Notice are not transferred to such Proposed Transferee within such one hundred twenty</w:t>
      </w:r>
    </w:p>
    <w:p>
      <w:pPr>
        <w:spacing w:after="0" w:line="3" w:lineRule="exact"/>
        <w:rPr>
          <w:sz w:val="20"/>
          <w:szCs w:val="20"/>
          <w:color w:val="auto"/>
        </w:rPr>
      </w:pPr>
    </w:p>
    <w:p>
      <w:pPr>
        <w:ind w:left="4" w:right="160" w:hanging="4"/>
        <w:spacing w:after="0" w:line="260" w:lineRule="auto"/>
        <w:tabs>
          <w:tab w:leader="none" w:pos="439" w:val="left"/>
        </w:tabs>
        <w:numPr>
          <w:ilvl w:val="0"/>
          <w:numId w:val="472"/>
        </w:numPr>
        <w:rPr>
          <w:rFonts w:ascii="Arial" w:cs="Arial" w:eastAsia="Arial" w:hAnsi="Arial"/>
          <w:sz w:val="18"/>
          <w:szCs w:val="18"/>
          <w:color w:val="auto"/>
        </w:rPr>
      </w:pPr>
      <w:r>
        <w:rPr>
          <w:rFonts w:ascii="Arial" w:cs="Arial" w:eastAsia="Arial" w:hAnsi="Arial"/>
          <w:sz w:val="18"/>
          <w:szCs w:val="18"/>
          <w:color w:val="auto"/>
        </w:rPr>
        <w:t>day period, then a new Notice must be given to the Company pursuant to which the Company will again be offered the Refusal Right before any Shares held by the Holder may be sold or otherwise transferred.</w:t>
      </w:r>
    </w:p>
    <w:p>
      <w:pPr>
        <w:spacing w:after="0" w:line="181" w:lineRule="exact"/>
        <w:rPr>
          <w:sz w:val="20"/>
          <w:szCs w:val="20"/>
          <w:color w:val="auto"/>
        </w:rPr>
      </w:pPr>
    </w:p>
    <w:p>
      <w:pPr>
        <w:ind w:left="4"/>
        <w:spacing w:after="0" w:line="285" w:lineRule="auto"/>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b w:val="1"/>
          <w:bCs w:val="1"/>
          <w:u w:val="single" w:color="auto"/>
          <w:color w:val="auto"/>
        </w:rPr>
        <w:t>Exempt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the following transfers of Vested Shares will be exempt from the Refusal Right: (a)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or all of the Vested Shares during Purchaser’s lifetime by gift or on Purchaser’s death by will or intestacy to Purchaser’s “Immediate Family” (as defined below) or to a trust for the benefit of Purchaser or Purchaser’s Immediate Family,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each transferee agrees in a writing satisfactory to the Company that the provisions of this Section will continue to apply to the transferred Vested Shares in the hands of such transferee; (b) any transfer of Vested Shares made pursuant to a statutory merger or statutory consolidation of the Company with or into another entity or entities (except that, subject to Section 6.7, unless the agreement of merger or consolidation expressly otherwise provides, the Refusal Right will continue to apply thereafter to such Vested Shares, in which case the surviving entity of such merger or consolidation shall succeed to the rights of the Company under this Section); or</w:t>
      </w:r>
    </w:p>
    <w:p>
      <w:pPr>
        <w:spacing w:after="0" w:line="1" w:lineRule="exact"/>
        <w:rPr>
          <w:sz w:val="20"/>
          <w:szCs w:val="20"/>
          <w:color w:val="auto"/>
        </w:rPr>
      </w:pPr>
    </w:p>
    <w:p>
      <w:pPr>
        <w:ind w:left="4" w:right="40" w:hanging="4"/>
        <w:spacing w:after="0" w:line="287" w:lineRule="auto"/>
        <w:tabs>
          <w:tab w:leader="none" w:pos="249"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any transfer of Vested Shares pursuant to the winding up and dissolution of the Company. As used herein, the term “</w:t>
      </w:r>
      <w:r>
        <w:rPr>
          <w:rFonts w:ascii="Arial" w:cs="Arial" w:eastAsia="Arial" w:hAnsi="Arial"/>
          <w:sz w:val="16"/>
          <w:szCs w:val="16"/>
          <w:b w:val="1"/>
          <w:bCs w:val="1"/>
          <w:i w:val="1"/>
          <w:iCs w:val="1"/>
          <w:color w:val="auto"/>
        </w:rPr>
        <w:t>Immediate Family</w:t>
      </w:r>
      <w:r>
        <w:rPr>
          <w:rFonts w:ascii="Arial" w:cs="Arial" w:eastAsia="Arial" w:hAnsi="Arial"/>
          <w:sz w:val="16"/>
          <w:szCs w:val="16"/>
          <w:i w:val="1"/>
          <w:iCs w:val="1"/>
          <w:color w:val="auto"/>
        </w:rPr>
        <w:t>”</w:t>
      </w:r>
      <w:r>
        <w:rPr>
          <w:rFonts w:ascii="Arial" w:cs="Arial" w:eastAsia="Arial" w:hAnsi="Arial"/>
          <w:sz w:val="16"/>
          <w:szCs w:val="16"/>
          <w:color w:val="auto"/>
        </w:rPr>
        <w:t xml:space="preserve"> will mean Purchaser’s spouse, the lineal descendant or antecedent, father, mother, brother or sister, child, adopted child, grandchild or adopted grandchild of Purchaser or Purchaser’s spouse, or the spouse of any of the above or Spousal Equivalent, as defined herein. As used herein, a person is deemed to be a “</w:t>
      </w:r>
      <w:r>
        <w:rPr>
          <w:rFonts w:ascii="Arial" w:cs="Arial" w:eastAsia="Arial" w:hAnsi="Arial"/>
          <w:sz w:val="16"/>
          <w:szCs w:val="16"/>
          <w:b w:val="1"/>
          <w:bCs w:val="1"/>
          <w:i w:val="1"/>
          <w:iCs w:val="1"/>
          <w:color w:val="auto"/>
        </w:rPr>
        <w:t>Spousal Equivalent</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 the following circumstances are true: (i) irrespective of whether or not the Purchaser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66" w:lineRule="exact"/>
        <w:rPr>
          <w:sz w:val="20"/>
          <w:szCs w:val="20"/>
          <w:color w:val="auto"/>
        </w:rPr>
      </w:pPr>
    </w:p>
    <w:p>
      <w:pPr>
        <w:ind w:left="4" w:right="160"/>
        <w:spacing w:after="0" w:line="261"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Termination of Refusal Right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Refusal Right will terminate as to all Shares: (a) on the effective date of the first sale of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the public pursuant to a registration statement filed with and declared effective by the SEC under the Securities Act or, if expressly approved by the Board as terminating the Refusal Right, under the laws of any other country having substantially the same effect (other than a registration statement</w:t>
      </w:r>
    </w:p>
    <w:p>
      <w:pPr>
        <w:sectPr>
          <w:pgSz w:w="11900" w:h="16838" w:orient="portrait"/>
          <w:cols w:equalWidth="0" w:num="1">
            <w:col w:w="11004"/>
          </w:cols>
          <w:pgMar w:left="436" w:top="269" w:right="459" w:bottom="1440" w:gutter="0" w:footer="0" w:header="0"/>
        </w:sectPr>
      </w:pPr>
    </w:p>
    <w:bookmarkStart w:id="568" w:name="page569"/>
    <w:bookmarkEnd w:id="568"/>
    <w:p>
      <w:pPr>
        <w:ind w:left="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solely to the issuance of Common Stock pursuant to a business combination or an employee incentive or benefit plan) or (b) on any transfer or conversion of Shares made pursuant to a statutory merger or statutory consolidation of the Company with or into another entity or entities if the common stock of the surviving entity or any direct or indirect parent entity thereof is registered under the Securities Exchange Act of 1934, as amended.</w:t>
      </w:r>
    </w:p>
    <w:p>
      <w:pPr>
        <w:spacing w:after="0" w:line="1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 ADDITIONAL RESTRICTIONS UPON SHARE OWNERSHIP OR TRANSFER.</w:t>
      </w:r>
    </w:p>
    <w:p>
      <w:pPr>
        <w:spacing w:after="0" w:line="225" w:lineRule="exact"/>
        <w:rPr>
          <w:sz w:val="20"/>
          <w:szCs w:val="20"/>
          <w:color w:val="auto"/>
        </w:rPr>
      </w:pPr>
    </w:p>
    <w:p>
      <w:pPr>
        <w:ind w:left="4" w:right="20"/>
        <w:spacing w:after="0" w:line="25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Rights as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Purchaser will have all of the rights of a Stockholder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Shares from and after the date that Shares are issued to Purchaser until such time as Purchaser disposes of the Shares or the Company and/or its assignee(s) exercise(s) the Refusal Right or the Repurchase Option. Upon an exercise of the Refusal Right or the Repurchase Option, Purchaser will have no further rights as a holder of the Shares so purchased upon such exercise, other than the right to receive payment for the Shares so purchased in accordance with the provisions of this Agreement, and Purchaser will promptly surrender the stock certificate(s) evidencing the Shares so purchased to the Company for transfer or cancellation.</w:t>
      </w:r>
    </w:p>
    <w:p>
      <w:pPr>
        <w:spacing w:after="0" w:line="187" w:lineRule="exact"/>
        <w:rPr>
          <w:sz w:val="20"/>
          <w:szCs w:val="20"/>
          <w:color w:val="auto"/>
        </w:rPr>
      </w:pPr>
    </w:p>
    <w:p>
      <w:pPr>
        <w:ind w:left="4" w:right="180"/>
        <w:spacing w:after="0" w:line="291"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Escrow</w:t>
      </w:r>
      <w:r>
        <w:rPr>
          <w:rFonts w:ascii="Arial" w:cs="Arial" w:eastAsia="Arial" w:hAnsi="Arial"/>
          <w:sz w:val="16"/>
          <w:szCs w:val="16"/>
          <w:b w:val="1"/>
          <w:bCs w:val="1"/>
          <w:color w:val="auto"/>
        </w:rPr>
        <w:t xml:space="preserve">. </w:t>
      </w:r>
      <w:r>
        <w:rPr>
          <w:rFonts w:ascii="Arial" w:cs="Arial" w:eastAsia="Arial" w:hAnsi="Arial"/>
          <w:sz w:val="16"/>
          <w:szCs w:val="16"/>
          <w:color w:val="auto"/>
        </w:rPr>
        <w:t>As security for Purchaser’s faithful performance of this Agreement, Purchaser agrees, immediately upon receipt of the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Shares, to deliver such certificate(s) to the Secretary of the Company or other designee of the Company (the “</w:t>
      </w:r>
      <w:r>
        <w:rPr>
          <w:rFonts w:ascii="Arial" w:cs="Arial" w:eastAsia="Arial" w:hAnsi="Arial"/>
          <w:sz w:val="16"/>
          <w:szCs w:val="16"/>
          <w:b w:val="1"/>
          <w:bCs w:val="1"/>
          <w:i w:val="1"/>
          <w:iCs w:val="1"/>
          <w:color w:val="auto"/>
        </w:rPr>
        <w:t>Escrow Holder</w:t>
      </w:r>
      <w:r>
        <w:rPr>
          <w:rFonts w:ascii="Arial" w:cs="Arial" w:eastAsia="Arial" w:hAnsi="Arial"/>
          <w:sz w:val="16"/>
          <w:szCs w:val="16"/>
          <w:color w:val="auto"/>
        </w:rPr>
        <w:t>”), who is hereby appointed to hold such certificate(s) in escrow and to take all such actions and to effectuate all such transfers and/or releases of such Shares as are in accordance with the terms of this Agreement. Purchaser and the Company agree that Escrow Holder will not be liable to any party to this Agreement (or to any other person or entity)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The Shares will be released from escrow upon termination of both the Refusal Right and the Repurchase Option.</w:t>
      </w:r>
    </w:p>
    <w:p>
      <w:pPr>
        <w:spacing w:after="0" w:line="159"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Encumbrances 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Company’s prior written consent given with the approval of the Company’s Board of Directors,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grant a lien or security interest in, or pledge, hypothecate or encumber, any Unvested Shares.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u w:val="single" w:color="auto"/>
          <w:color w:val="auto"/>
        </w:rPr>
        <w:t>Restrictions on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Unvested Shares may not be sold or otherwise transferred by Purchaser without the Company’s prior written consent.</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Purchaser hereby agrees that Purchaser shall make no disposition of the Shares (other than as permitted by this Agreement) unless and until:</w:t>
      </w:r>
    </w:p>
    <w:p>
      <w:pPr>
        <w:spacing w:after="0" w:line="222" w:lineRule="exact"/>
        <w:rPr>
          <w:sz w:val="20"/>
          <w:szCs w:val="20"/>
          <w:color w:val="auto"/>
        </w:rPr>
      </w:pPr>
    </w:p>
    <w:p>
      <w:pPr>
        <w:ind w:left="4" w:right="120" w:hanging="4"/>
        <w:spacing w:after="0" w:line="277" w:lineRule="auto"/>
        <w:tabs>
          <w:tab w:leader="none" w:pos="24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Purchaser shall have notified the Company of the proposed disposition and provided a written summary of the terms and conditions of the proposed disposition;</w:t>
      </w:r>
    </w:p>
    <w:p>
      <w:pPr>
        <w:spacing w:after="0" w:line="170" w:lineRule="exact"/>
        <w:rPr>
          <w:rFonts w:ascii="Arial" w:cs="Arial" w:eastAsia="Arial" w:hAnsi="Arial"/>
          <w:sz w:val="18"/>
          <w:szCs w:val="18"/>
          <w:color w:val="auto"/>
        </w:rPr>
      </w:pPr>
    </w:p>
    <w:p>
      <w:pPr>
        <w:ind w:left="4" w:right="260" w:hanging="4"/>
        <w:spacing w:after="0" w:line="277" w:lineRule="auto"/>
        <w:tabs>
          <w:tab w:leader="none" w:pos="25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Purchaser shall have complied with all requirements of this Agreement applicable to the disposition of the Shares, including but not limited to the Refusal Right, the Market Standoff and the Repurchase Option; and</w:t>
      </w:r>
    </w:p>
    <w:p>
      <w:pPr>
        <w:spacing w:after="0" w:line="170" w:lineRule="exact"/>
        <w:rPr>
          <w:rFonts w:ascii="Arial" w:cs="Arial" w:eastAsia="Arial" w:hAnsi="Arial"/>
          <w:sz w:val="18"/>
          <w:szCs w:val="18"/>
          <w:color w:val="auto"/>
        </w:rPr>
      </w:pPr>
    </w:p>
    <w:p>
      <w:pPr>
        <w:ind w:left="4" w:hanging="4"/>
        <w:spacing w:after="0" w:line="259" w:lineRule="auto"/>
        <w:tabs>
          <w:tab w:leader="none" w:pos="249" w:val="left"/>
        </w:tabs>
        <w:numPr>
          <w:ilvl w:val="0"/>
          <w:numId w:val="474"/>
        </w:numPr>
        <w:rPr>
          <w:rFonts w:ascii="Arial" w:cs="Arial" w:eastAsia="Arial" w:hAnsi="Arial"/>
          <w:sz w:val="18"/>
          <w:szCs w:val="18"/>
          <w:color w:val="auto"/>
        </w:rPr>
      </w:pPr>
      <w:r>
        <w:rPr>
          <w:rFonts w:ascii="Arial" w:cs="Arial" w:eastAsia="Arial" w:hAnsi="Arial"/>
          <w:sz w:val="18"/>
          <w:szCs w:val="18"/>
          <w:color w:val="auto"/>
        </w:rPr>
        <w:t>Purchaser shall have provided the Company with written assurances, in form and substance satisfactory to counsel for the Company, that (i) the proposed disposition does not require registration of the Shares under the Securities Act or under any state securities laws, and (ii) all appropriate actions necessary for compliance with the registration and qualification requirements of the Securities Act and any state securities laws, or of any exemption from registration or qualification, available thereunder (including Rule 144) have been taken.</w:t>
      </w:r>
    </w:p>
    <w:p>
      <w:pPr>
        <w:spacing w:after="0" w:line="187" w:lineRule="exact"/>
        <w:rPr>
          <w:sz w:val="20"/>
          <w:szCs w:val="20"/>
          <w:color w:val="auto"/>
        </w:rPr>
      </w:pPr>
    </w:p>
    <w:p>
      <w:pPr>
        <w:ind w:left="4" w:right="100"/>
        <w:spacing w:after="0" w:line="301" w:lineRule="auto"/>
        <w:rPr>
          <w:sz w:val="20"/>
          <w:szCs w:val="20"/>
          <w:color w:val="auto"/>
        </w:rPr>
      </w:pPr>
      <w:r>
        <w:rPr>
          <w:rFonts w:ascii="Arial" w:cs="Arial" w:eastAsia="Arial" w:hAnsi="Arial"/>
          <w:sz w:val="16"/>
          <w:szCs w:val="16"/>
          <w:color w:val="auto"/>
        </w:rPr>
        <w:t>Each person (other than the Company) to whom the Shares are transferred by means of one of the permitted transfers specified in this Agreement must, as a condition precedent to the validity of such transfer, acknowledge in writing to the Company that such person is bound by the provisions of this Agreement and that the transferred Shares are subject to the Company’s Refusal Right or the Repurchase Option granted hereunder and the market stand-off provisions of Section 4 hereof, to the same extent such Shares would be so subject if retained by the Purchaser.</w:t>
      </w:r>
    </w:p>
    <w:p>
      <w:pPr>
        <w:sectPr>
          <w:pgSz w:w="11900" w:h="16838" w:orient="portrait"/>
          <w:cols w:equalWidth="0" w:num="1">
            <w:col w:w="11004"/>
          </w:cols>
          <w:pgMar w:left="436" w:top="273" w:right="459" w:bottom="1440" w:gutter="0" w:footer="0" w:header="0"/>
        </w:sectPr>
      </w:pPr>
    </w:p>
    <w:bookmarkStart w:id="569" w:name="page570"/>
    <w:bookmarkEnd w:id="569"/>
    <w:p>
      <w:pPr>
        <w:ind w:left="4" w:right="12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understands and agrees that the Company will place the legends set forth below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legends on any stock certificate(s) evidencing the Shares, together with any other legends that may be required by applicable laws, the Company’s Certificate of Incorporation or Bylaws, any other agreement between Purchaser and the Company or any agreement between Purchaser and any third party:</w:t>
      </w:r>
    </w:p>
    <w:p>
      <w:pPr>
        <w:spacing w:after="0" w:line="76"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i w:val="1"/>
          <w:iCs w:val="1"/>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92" w:lineRule="exact"/>
        <w:rPr>
          <w:sz w:val="20"/>
          <w:szCs w:val="20"/>
          <w:color w:val="auto"/>
        </w:rPr>
      </w:pPr>
    </w:p>
    <w:p>
      <w:pPr>
        <w:ind w:left="4" w:right="260"/>
        <w:spacing w:after="0" w:line="273" w:lineRule="auto"/>
        <w:rPr>
          <w:sz w:val="20"/>
          <w:szCs w:val="20"/>
          <w:color w:val="auto"/>
        </w:rPr>
      </w:pPr>
      <w:r>
        <w:rPr>
          <w:rFonts w:ascii="Arial" w:cs="Arial" w:eastAsia="Arial" w:hAnsi="Arial"/>
          <w:sz w:val="17"/>
          <w:szCs w:val="17"/>
          <w:i w:val="1"/>
          <w:iCs w:val="1"/>
          <w:color w:val="auto"/>
        </w:rPr>
        <w:t>THE SHARES REPRESENTED BY THIS CERTIFICATE ARE SUBJECT TO CERTAIN RESTRICTIONS ON PUBLIC RESALE AND TRANSFER, INCLUDING THE RIGHT OF FIRST REFUSAL AND THE REPURCHASE OPTION HELD BY THE ISSUER AND/OR ITS ASSIGNEE(S), AND A MARKET STANDOFF AGREEMENT, AS SET FORTH IN A RESTRICTED STOCK PURCHASE AGREEMENT BETWEEN THE ISSUER AND THE ORIGINAL HOLDER OF THESE SHARES, A COPY OF WHICH MAY BE OBTAINED AT THE PRINCIPAL OFFICE OF THE ISSUER. SUCH PUBLIC SALE AND TRANSFER RESTRICTIONS INCLUDING THE RIGHT OF FIRST REFUSAL, THE REPURCHASE OPTION AND THE MARKET STANDOFF ARE BINDING ON TRANSFEREES OF THESE SHARES.</w:t>
      </w:r>
    </w:p>
    <w:p>
      <w:pPr>
        <w:spacing w:after="0" w:line="178" w:lineRule="exact"/>
        <w:rPr>
          <w:sz w:val="20"/>
          <w:szCs w:val="20"/>
          <w:color w:val="auto"/>
        </w:rPr>
      </w:pPr>
    </w:p>
    <w:p>
      <w:pPr>
        <w:jc w:val="both"/>
        <w:ind w:left="4" w:right="120"/>
        <w:spacing w:after="0" w:line="257" w:lineRule="auto"/>
        <w:rPr>
          <w:sz w:val="20"/>
          <w:szCs w:val="20"/>
          <w:color w:val="auto"/>
        </w:rPr>
      </w:pPr>
      <w:r>
        <w:rPr>
          <w:rFonts w:ascii="Arial" w:cs="Arial" w:eastAsia="Arial" w:hAnsi="Arial"/>
          <w:sz w:val="18"/>
          <w:szCs w:val="18"/>
          <w:color w:val="auto"/>
        </w:rPr>
        <w:t>Purchaser also agrees that, to ensure compliance with the restrictions imposed by this Agreement, the Company may issue appropriate “stop-transfer” instructions to its transfer agent, if any, and if the Company transfers its own securities, it may make appropriate notations to the same effect in its own records. The Company will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have been so transferred.</w:t>
      </w:r>
    </w:p>
    <w:p>
      <w:pPr>
        <w:spacing w:after="0" w:line="184" w:lineRule="exact"/>
        <w:rPr>
          <w:sz w:val="20"/>
          <w:szCs w:val="20"/>
          <w:color w:val="auto"/>
        </w:rPr>
      </w:pPr>
    </w:p>
    <w:p>
      <w:pPr>
        <w:ind w:left="4" w:right="20" w:hanging="4"/>
        <w:spacing w:after="0" w:line="287" w:lineRule="auto"/>
        <w:tabs>
          <w:tab w:leader="none" w:pos="184" w:val="left"/>
        </w:tabs>
        <w:numPr>
          <w:ilvl w:val="0"/>
          <w:numId w:val="4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CONSEQUENCES. </w:t>
      </w:r>
      <w:r>
        <w:rPr>
          <w:rFonts w:ascii="Arial" w:cs="Arial" w:eastAsia="Arial" w:hAnsi="Arial"/>
          <w:sz w:val="16"/>
          <w:szCs w:val="16"/>
          <w:i w:val="1"/>
          <w:iCs w:val="1"/>
          <w:color w:val="auto"/>
        </w:rPr>
        <w:t>PURCHASER UNDERSTANDS THAT PURCHASER MAY SUFFER ADVERSE TAX CONSEQUENCES AS A RESULT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OF PURCHASER’S PURCHASE OR DISPOSITION OF THE SHARES. PURCHASER REPRESENTS (a) THAT PURCHASER HAS CONSULTED WITH ANY TAX ADVISER THAT PURCHASER DEEMS ADVISABLE IN CONNECTION WITH THE PURCHASE OR DISPOSITION OF THE SHARES AND (b) THAT PURCHASER IS NOT RELYING ON THE COMPANY FOR ANY TAX ADVICE. </w:t>
      </w:r>
      <w:r>
        <w:rPr>
          <w:rFonts w:ascii="Arial" w:cs="Arial" w:eastAsia="Arial" w:hAnsi="Arial"/>
          <w:sz w:val="16"/>
          <w:szCs w:val="16"/>
          <w:color w:val="auto"/>
        </w:rPr>
        <w:t>Purchaser hereby acknowledges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Purchaser has been informed that, with respect to Unvested Shares, unless an election is filed by Purchaser with the Internal Revenue Service (and, if necessary, the proper state taxing authorities) </w:t>
      </w:r>
      <w:r>
        <w:rPr>
          <w:rFonts w:ascii="Arial" w:cs="Arial" w:eastAsia="Arial" w:hAnsi="Arial"/>
          <w:sz w:val="16"/>
          <w:szCs w:val="16"/>
          <w:b w:val="1"/>
          <w:bCs w:val="1"/>
          <w:u w:val="single" w:color="auto"/>
          <w:color w:val="auto"/>
        </w:rPr>
        <w:t>within 30 days after the purchase</w:t>
      </w:r>
      <w:r>
        <w:rPr>
          <w:rFonts w:ascii="Arial" w:cs="Arial" w:eastAsia="Arial" w:hAnsi="Arial"/>
          <w:sz w:val="16"/>
          <w:szCs w:val="16"/>
          <w:color w:val="auto"/>
        </w:rPr>
        <w:t xml:space="preserve"> of the Shares electing, pursuant to Section 83(b) of the Internal Revenue Code (and similar state tax provisions, if applicable), to be taxed currently on any difference between the Purchase Price of the Unvested Shares and their Fair Market Value on the date of purchase, there will be a recognition of taxable income to Purchaser, measured by the excess, if any, of the Fair Market Value of the Unvested Shares, at the time they cease to be Unvested Shares, over the Purchase Price for such Shares. Purchaser represents that Purchaser has consulted any tax advisers Purchaser deems advisable in connection with Purchaser’s purchase of the Shares and the filing of the election under Section 83(b) and similar tax provisions. A form of Election under Section 83(b) is attached hereto as </w:t>
      </w:r>
      <w:r>
        <w:rPr>
          <w:rFonts w:ascii="Arial" w:cs="Arial" w:eastAsia="Arial" w:hAnsi="Arial"/>
          <w:sz w:val="16"/>
          <w:szCs w:val="16"/>
          <w:b w:val="1"/>
          <w:bCs w:val="1"/>
          <w:u w:val="single" w:color="auto"/>
          <w:color w:val="auto"/>
        </w:rPr>
        <w:t>Exhibit 1</w:t>
      </w:r>
      <w:r>
        <w:rPr>
          <w:rFonts w:ascii="Arial" w:cs="Arial" w:eastAsia="Arial" w:hAnsi="Arial"/>
          <w:sz w:val="16"/>
          <w:szCs w:val="16"/>
          <w:color w:val="auto"/>
        </w:rPr>
        <w:t xml:space="preserve"> for reference. </w:t>
      </w:r>
      <w:r>
        <w:rPr>
          <w:rFonts w:ascii="Arial" w:cs="Arial" w:eastAsia="Arial" w:hAnsi="Arial"/>
          <w:sz w:val="16"/>
          <w:szCs w:val="16"/>
          <w:i w:val="1"/>
          <w:iCs w:val="1"/>
          <w:color w:val="auto"/>
        </w:rPr>
        <w:t>BY</w:t>
      </w:r>
      <w:r>
        <w:rPr>
          <w:rFonts w:ascii="Arial" w:cs="Arial" w:eastAsia="Arial" w:hAnsi="Arial"/>
          <w:sz w:val="16"/>
          <w:szCs w:val="16"/>
          <w:color w:val="auto"/>
        </w:rPr>
        <w:t xml:space="preserve"> </w:t>
      </w:r>
      <w:r>
        <w:rPr>
          <w:rFonts w:ascii="Arial" w:cs="Arial" w:eastAsia="Arial" w:hAnsi="Arial"/>
          <w:sz w:val="16"/>
          <w:szCs w:val="16"/>
          <w:i w:val="1"/>
          <w:iCs w:val="1"/>
          <w:color w:val="auto"/>
        </w:rPr>
        <w:t>PROVIDING THE FORM OF ELECTION, NEITHER THE COMPANY NOR ITS LEGAL COUNSEL IS THEREBY UNDERTAKING TO FILE THE ELECTION FOR PURCHASER, WHICH OBLIGATION TO FILE SHALL REMAIN SOLELY WITH PURCHASER.</w:t>
      </w:r>
    </w:p>
    <w:p>
      <w:pPr>
        <w:spacing w:after="0" w:line="163" w:lineRule="exact"/>
        <w:rPr>
          <w:rFonts w:ascii="Arial" w:cs="Arial" w:eastAsia="Arial" w:hAnsi="Arial"/>
          <w:sz w:val="16"/>
          <w:szCs w:val="16"/>
          <w:b w:val="1"/>
          <w:bCs w:val="1"/>
          <w:color w:val="auto"/>
        </w:rPr>
      </w:pPr>
    </w:p>
    <w:p>
      <w:pPr>
        <w:ind w:left="184" w:hanging="184"/>
        <w:spacing w:after="0"/>
        <w:tabs>
          <w:tab w:leader="none" w:pos="184"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left="4"/>
        <w:spacing w:after="0" w:line="298"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assign any of its rights under this Agreement, including its rights to purchase Shares under the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Right or the Repurchase Option. Neither Purchaser, nor any of Purchaser’s successors and assigns, may assign, whether voluntarily or by operation of law, any of its rights and obligations under this Agreement, except with the prior written consent of the Company. This Agreement shall be binding upon and inure to the benefit of the successors and assigns of the Company. Subject to the restrictions on transfer herein set forth, this Agreement will be binding upon Purchaser and Purchaser’s heirs, executors, administrators, legal representatives, successors and assigns.</w:t>
      </w:r>
    </w:p>
    <w:p>
      <w:pPr>
        <w:sectPr>
          <w:pgSz w:w="11900" w:h="16838" w:orient="portrait"/>
          <w:cols w:equalWidth="0" w:num="1">
            <w:col w:w="11004"/>
          </w:cols>
          <w:pgMar w:left="436" w:top="269" w:right="459" w:bottom="1440" w:gutter="0" w:footer="0" w:header="0"/>
        </w:sectPr>
      </w:pPr>
    </w:p>
    <w:bookmarkStart w:id="570" w:name="page571"/>
    <w:bookmarkEnd w:id="570"/>
    <w:p>
      <w:pPr>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notices required or permitted to be given to a party pursuant to the provisions of this Agreement will be in writing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Purchaser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6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and intent of this Agreement.</w:t>
      </w:r>
    </w:p>
    <w:p>
      <w:pPr>
        <w:spacing w:after="0" w:line="162"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incorporated herein by reference. The Plan and this Agreement, together with all Exhibits hereto, constitute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and understanding of the parties with respect to the subject matter of this Agreement, and supersede all prior understandings and agreements, between the parties hereto with respect to the specific subject matter hereof.</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this Agreement is determined by any court or arbitrator of competent jurisdiction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9.6 </w:t>
      </w:r>
      <w:r>
        <w:rPr>
          <w:rFonts w:ascii="Arial" w:cs="Arial" w:eastAsia="Arial" w:hAnsi="Arial"/>
          <w:sz w:val="17"/>
          <w:szCs w:val="17"/>
          <w:b w:val="1"/>
          <w:bCs w:val="1"/>
          <w:u w:val="single" w:color="auto"/>
          <w:color w:val="auto"/>
        </w:rPr>
        <w:t>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entered into in two or more counterparts, each of which shall be deemed an original and all of which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agreement. This Agreement may be executed and delivered by facsimile and, upon such delivery, the facsimile signature will be deemed to have the same effect as if the original signature had been delivered to the other party.</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remainder of this page has intentionally been left blank]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920"/>
          </w:cols>
          <w:pgMar w:left="440" w:top="269" w:right="539" w:bottom="1440" w:gutter="0" w:footer="0" w:header="0"/>
        </w:sectPr>
      </w:pPr>
    </w:p>
    <w:bookmarkStart w:id="571" w:name="page572"/>
    <w:bookmarkEnd w:id="571"/>
    <w:p>
      <w:pPr>
        <w:ind w:right="2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Restricted Stock Purchase Agreement to be executed by its duly authorized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and Purchaser has executed this Restricted Stock Purchase Agreement, as of the date first set forth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AEGLEA BIOTHERAPEUTICS, INC.</w:t>
            </w:r>
          </w:p>
        </w:tc>
        <w:tc>
          <w:tcPr>
            <w:tcW w:w="260" w:type="dxa"/>
            <w:vAlign w:val="bottom"/>
          </w:tcPr>
          <w:p>
            <w:pPr>
              <w:spacing w:after="0"/>
              <w:rPr>
                <w:sz w:val="19"/>
                <w:szCs w:val="19"/>
                <w:color w:val="auto"/>
              </w:rPr>
            </w:pPr>
          </w:p>
        </w:tc>
        <w:tc>
          <w:tcPr>
            <w:tcW w:w="6820" w:type="dxa"/>
            <w:vAlign w:val="bottom"/>
            <w:gridSpan w:val="12"/>
          </w:tcPr>
          <w:p>
            <w:pPr>
              <w:ind w:left="1540"/>
              <w:spacing w:after="0"/>
              <w:rPr>
                <w:sz w:val="20"/>
                <w:szCs w:val="20"/>
                <w:color w:val="auto"/>
              </w:rPr>
            </w:pPr>
            <w:r>
              <w:rPr>
                <w:rFonts w:ascii="Arial" w:cs="Arial" w:eastAsia="Arial" w:hAnsi="Arial"/>
                <w:sz w:val="18"/>
                <w:szCs w:val="18"/>
                <w:b w:val="1"/>
                <w:bCs w:val="1"/>
                <w:color w:val="auto"/>
              </w:rPr>
              <w:t>PURCHASER</w:t>
            </w:r>
          </w:p>
        </w:tc>
        <w:tc>
          <w:tcPr>
            <w:tcW w:w="0" w:type="dxa"/>
            <w:vAlign w:val="bottom"/>
          </w:tcPr>
          <w:p>
            <w:pPr>
              <w:spacing w:after="0"/>
              <w:rPr>
                <w:sz w:val="1"/>
                <w:szCs w:val="1"/>
                <w:color w:val="auto"/>
              </w:rPr>
            </w:pPr>
          </w:p>
        </w:tc>
      </w:tr>
      <w:tr>
        <w:trPr>
          <w:trHeight w:val="190"/>
        </w:trPr>
        <w:tc>
          <w:tcPr>
            <w:tcW w:w="3940" w:type="dxa"/>
            <w:vAlign w:val="bottom"/>
            <w:gridSpan w:val="4"/>
          </w:tcPr>
          <w:p>
            <w:pPr>
              <w:spacing w:after="0" w:line="190" w:lineRule="exact"/>
              <w:rPr>
                <w:sz w:val="20"/>
                <w:szCs w:val="20"/>
                <w:color w:val="auto"/>
              </w:rPr>
            </w:pPr>
            <w:r>
              <w:rPr>
                <w:rFonts w:ascii="Arial" w:cs="Arial" w:eastAsia="Arial" w:hAnsi="Arial"/>
                <w:sz w:val="18"/>
                <w:szCs w:val="18"/>
                <w:color w:val="auto"/>
              </w:rPr>
              <w:t>By:</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0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940" w:type="dxa"/>
            <w:vAlign w:val="bottom"/>
            <w:gridSpan w:val="4"/>
            <w:vMerge w:val="restart"/>
          </w:tcPr>
          <w:p>
            <w:pPr>
              <w:spacing w:after="0"/>
              <w:rPr>
                <w:sz w:val="20"/>
                <w:szCs w:val="20"/>
                <w:color w:val="auto"/>
              </w:rPr>
            </w:pPr>
            <w:r>
              <w:rPr>
                <w:rFonts w:ascii="Arial" w:cs="Arial" w:eastAsia="Arial" w:hAnsi="Arial"/>
                <w:sz w:val="18"/>
                <w:szCs w:val="18"/>
                <w:color w:val="auto"/>
              </w:rPr>
              <w:t>Address:</w:t>
            </w:r>
          </w:p>
        </w:tc>
        <w:tc>
          <w:tcPr>
            <w:tcW w:w="260" w:type="dxa"/>
            <w:vAlign w:val="bottom"/>
          </w:tcPr>
          <w:p>
            <w:pPr>
              <w:spacing w:after="0"/>
              <w:rPr>
                <w:sz w:val="24"/>
                <w:szCs w:val="24"/>
                <w:color w:val="auto"/>
              </w:rPr>
            </w:pPr>
          </w:p>
        </w:tc>
        <w:tc>
          <w:tcPr>
            <w:tcW w:w="6820" w:type="dxa"/>
            <w:vAlign w:val="bottom"/>
            <w:gridSpan w:val="12"/>
          </w:tcPr>
          <w:p>
            <w:pPr>
              <w:ind w:left="154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196"/>
        </w:trPr>
        <w:tc>
          <w:tcPr>
            <w:tcW w:w="394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4"/>
          </w:tcPr>
          <w:p>
            <w:pPr>
              <w:spacing w:after="0"/>
              <w:rPr>
                <w:sz w:val="17"/>
                <w:szCs w:val="17"/>
                <w:color w:val="auto"/>
              </w:rPr>
            </w:pPr>
          </w:p>
        </w:tc>
        <w:tc>
          <w:tcPr>
            <w:tcW w:w="3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17"/>
                <w:szCs w:val="17"/>
                <w:color w:val="auto"/>
              </w:rPr>
            </w:pPr>
          </w:p>
        </w:tc>
        <w:tc>
          <w:tcPr>
            <w:tcW w:w="6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spacing w:after="0"/>
              <w:rPr>
                <w:sz w:val="17"/>
                <w:szCs w:val="17"/>
                <w:color w:val="auto"/>
              </w:rPr>
            </w:pPr>
          </w:p>
        </w:tc>
        <w:tc>
          <w:tcPr>
            <w:tcW w:w="220" w:type="dxa"/>
            <w:vAlign w:val="bottom"/>
            <w:tcBorders>
              <w:bottom w:val="single" w:sz="8" w:color="auto"/>
            </w:tcBorders>
            <w:gridSpan w:val="2"/>
          </w:tcPr>
          <w:p>
            <w:pPr>
              <w:spacing w:after="0"/>
              <w:rPr>
                <w:sz w:val="17"/>
                <w:szCs w:val="17"/>
                <w:color w:val="auto"/>
              </w:rPr>
            </w:pPr>
          </w:p>
        </w:tc>
        <w:tc>
          <w:tcPr>
            <w:tcW w:w="440" w:type="dxa"/>
            <w:vAlign w:val="bottom"/>
            <w:tcBorders>
              <w:bottom w:val="single" w:sz="8" w:color="auto"/>
            </w:tcBorders>
            <w:gridSpan w:val="3"/>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80" w:type="dxa"/>
            <w:vAlign w:val="bottom"/>
            <w:gridSpan w:val="3"/>
            <w:vMerge w:val="restart"/>
          </w:tcPr>
          <w:p>
            <w:pPr>
              <w:spacing w:after="0"/>
              <w:rPr>
                <w:sz w:val="20"/>
                <w:szCs w:val="20"/>
                <w:color w:val="auto"/>
              </w:rPr>
            </w:pPr>
            <w:r>
              <w:rPr>
                <w:rFonts w:ascii="Arial" w:cs="Arial" w:eastAsia="Arial" w:hAnsi="Arial"/>
                <w:sz w:val="18"/>
                <w:szCs w:val="18"/>
                <w:color w:val="auto"/>
                <w:w w:val="95"/>
              </w:rPr>
              <w:t>Fax No.: ( )</w:t>
            </w:r>
          </w:p>
        </w:tc>
        <w:tc>
          <w:tcPr>
            <w:tcW w:w="306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6820" w:type="dxa"/>
            <w:vAlign w:val="bottom"/>
            <w:gridSpan w:val="12"/>
          </w:tcPr>
          <w:p>
            <w:pPr>
              <w:ind w:left="1540"/>
              <w:spacing w:after="0"/>
              <w:rPr>
                <w:sz w:val="20"/>
                <w:szCs w:val="20"/>
                <w:color w:val="auto"/>
              </w:rPr>
            </w:pPr>
            <w:r>
              <w:rPr>
                <w:rFonts w:ascii="Arial" w:cs="Arial" w:eastAsia="Arial" w:hAnsi="Arial"/>
                <w:sz w:val="18"/>
                <w:szCs w:val="18"/>
                <w:color w:val="auto"/>
              </w:rPr>
              <w:t>Fax No.: ( )</w:t>
            </w:r>
          </w:p>
        </w:tc>
        <w:tc>
          <w:tcPr>
            <w:tcW w:w="0" w:type="dxa"/>
            <w:vAlign w:val="bottom"/>
          </w:tcPr>
          <w:p>
            <w:pPr>
              <w:spacing w:after="0"/>
              <w:rPr>
                <w:sz w:val="1"/>
                <w:szCs w:val="1"/>
                <w:color w:val="auto"/>
              </w:rPr>
            </w:pPr>
          </w:p>
        </w:tc>
      </w:tr>
      <w:tr>
        <w:trPr>
          <w:trHeight w:val="196"/>
        </w:trPr>
        <w:tc>
          <w:tcPr>
            <w:tcW w:w="880" w:type="dxa"/>
            <w:vAlign w:val="bottom"/>
            <w:gridSpan w:val="3"/>
            <w:vMerge w:val="continue"/>
          </w:tcPr>
          <w:p>
            <w:pPr>
              <w:spacing w:after="0"/>
              <w:rPr>
                <w:sz w:val="17"/>
                <w:szCs w:val="17"/>
                <w:color w:val="auto"/>
              </w:rPr>
            </w:pPr>
          </w:p>
        </w:tc>
        <w:tc>
          <w:tcPr>
            <w:tcW w:w="30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gridSpan w:val="4"/>
          </w:tcPr>
          <w:p>
            <w:pPr>
              <w:spacing w:after="0"/>
              <w:rPr>
                <w:sz w:val="20"/>
                <w:szCs w:val="20"/>
                <w:color w:val="auto"/>
              </w:rPr>
            </w:pPr>
            <w:r>
              <w:rPr>
                <w:rFonts w:ascii="Arial" w:cs="Arial" w:eastAsia="Arial" w:hAnsi="Arial"/>
                <w:sz w:val="18"/>
                <w:szCs w:val="18"/>
                <w:color w:val="auto"/>
              </w:rPr>
              <w:t>Exhibit 1:</w:t>
            </w:r>
          </w:p>
        </w:tc>
        <w:tc>
          <w:tcPr>
            <w:tcW w:w="260" w:type="dxa"/>
            <w:vAlign w:val="bottom"/>
          </w:tcPr>
          <w:p>
            <w:pPr>
              <w:spacing w:after="0"/>
              <w:rPr>
                <w:sz w:val="20"/>
                <w:szCs w:val="20"/>
                <w:color w:val="auto"/>
              </w:rPr>
            </w:pPr>
          </w:p>
        </w:tc>
        <w:tc>
          <w:tcPr>
            <w:tcW w:w="6820" w:type="dxa"/>
            <w:vAlign w:val="bottom"/>
            <w:gridSpan w:val="12"/>
          </w:tcPr>
          <w:p>
            <w:pPr>
              <w:ind w:left="1540"/>
              <w:spacing w:after="0"/>
              <w:rPr>
                <w:sz w:val="20"/>
                <w:szCs w:val="20"/>
                <w:color w:val="auto"/>
              </w:rPr>
            </w:pPr>
            <w:r>
              <w:rPr>
                <w:rFonts w:ascii="Arial" w:cs="Arial" w:eastAsia="Arial" w:hAnsi="Arial"/>
                <w:sz w:val="18"/>
                <w:szCs w:val="18"/>
                <w:color w:val="auto"/>
              </w:rPr>
              <w:t>Form of Election Pursuant to Section 83(b)</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572" w:name="page573"/>
    <w:bookmarkEnd w:id="572"/>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u w:val="single" w:color="auto"/>
          <w:color w:val="auto"/>
        </w:rPr>
        <w:t>FORM OF SECTION 83(B) ELECTION</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ELECTION UNDER SECTION 83(b) OF THE</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INTERNAL REVENUE CODE</w:t>
      </w:r>
    </w:p>
    <w:p>
      <w:pPr>
        <w:spacing w:after="0" w:line="211" w:lineRule="exact"/>
        <w:rPr>
          <w:sz w:val="20"/>
          <w:szCs w:val="20"/>
          <w:color w:val="auto"/>
        </w:rPr>
      </w:pPr>
    </w:p>
    <w:p>
      <w:pPr>
        <w:jc w:val="both"/>
        <w:ind w:left="4" w:right="200"/>
        <w:spacing w:after="0" w:line="263" w:lineRule="auto"/>
        <w:rPr>
          <w:sz w:val="20"/>
          <w:szCs w:val="20"/>
          <w:color w:val="auto"/>
        </w:rPr>
      </w:pPr>
      <w:r>
        <w:rPr>
          <w:rFonts w:ascii="Arial" w:cs="Arial" w:eastAsia="Arial" w:hAnsi="Arial"/>
          <w:sz w:val="18"/>
          <w:szCs w:val="18"/>
          <w:color w:val="auto"/>
        </w:rPr>
        <w:t>The undersigned Taxpayer hereby elects, pursuant to Section 83(b) of the Internal Revenue Code of 1986, as amended, to include in gross income for the Taxpayer’s current taxable year the excess, if any, of the fair market value of the property described below at the time of transfer over the amount paid for such property, as compensation for services.</w:t>
      </w:r>
    </w:p>
    <w:p>
      <w:pPr>
        <w:spacing w:after="0" w:line="238" w:lineRule="exact"/>
        <w:rPr>
          <w:sz w:val="20"/>
          <w:szCs w:val="20"/>
          <w:color w:val="auto"/>
        </w:rPr>
      </w:pPr>
    </w:p>
    <w:p>
      <w:pPr>
        <w:ind w:left="344" w:hanging="344"/>
        <w:spacing w:after="0"/>
        <w:tabs>
          <w:tab w:leader="none" w:pos="34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TAXPAYER’S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-1905</wp:posOffset>
            </wp:positionV>
            <wp:extent cx="447484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2">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124" w:lineRule="exact"/>
        <w:rPr>
          <w:sz w:val="20"/>
          <w:szCs w:val="20"/>
          <w:color w:val="auto"/>
        </w:rPr>
      </w:pPr>
    </w:p>
    <w:p>
      <w:pPr>
        <w:ind w:left="344"/>
        <w:spacing w:after="0"/>
        <w:rPr>
          <w:sz w:val="20"/>
          <w:szCs w:val="20"/>
          <w:color w:val="auto"/>
        </w:rPr>
      </w:pPr>
      <w:r>
        <w:rPr>
          <w:rFonts w:ascii="Arial" w:cs="Arial" w:eastAsia="Arial" w:hAnsi="Arial"/>
          <w:sz w:val="18"/>
          <w:szCs w:val="18"/>
          <w:color w:val="auto"/>
        </w:rPr>
        <w:t>TAXPAYER’S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-1905</wp:posOffset>
            </wp:positionV>
            <wp:extent cx="447484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3">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97" w:lineRule="exact"/>
        <w:rPr>
          <w:sz w:val="20"/>
          <w:szCs w:val="20"/>
          <w:color w:val="auto"/>
        </w:rPr>
      </w:pPr>
    </w:p>
    <w:p>
      <w:pPr>
        <w:ind w:left="344"/>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-19050</wp:posOffset>
            </wp:positionV>
            <wp:extent cx="447484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4">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97" w:lineRule="exact"/>
        <w:rPr>
          <w:sz w:val="20"/>
          <w:szCs w:val="20"/>
          <w:color w:val="auto"/>
        </w:rPr>
      </w:pPr>
    </w:p>
    <w:p>
      <w:pPr>
        <w:ind w:left="344"/>
        <w:spacing w:after="0"/>
        <w:tabs>
          <w:tab w:leader="none" w:pos="3944" w:val="left"/>
        </w:tabs>
        <w:rPr>
          <w:sz w:val="20"/>
          <w:szCs w:val="20"/>
          <w:color w:val="auto"/>
        </w:rPr>
      </w:pPr>
      <w:r>
        <w:rPr>
          <w:rFonts w:ascii="Arial" w:cs="Arial" w:eastAsia="Arial" w:hAnsi="Arial"/>
          <w:sz w:val="18"/>
          <w:szCs w:val="18"/>
          <w:color w:val="auto"/>
        </w:rPr>
        <w:t>TAXABLE YEAR:</w:t>
      </w:r>
      <w:r>
        <w:rPr>
          <w:sz w:val="20"/>
          <w:szCs w:val="20"/>
          <w:color w:val="auto"/>
        </w:rPr>
        <w:tab/>
      </w:r>
      <w:r>
        <w:rPr>
          <w:rFonts w:ascii="Arial" w:cs="Arial" w:eastAsia="Arial" w:hAnsi="Arial"/>
          <w:sz w:val="16"/>
          <w:szCs w:val="16"/>
          <w:color w:val="auto"/>
        </w:rPr>
        <w:t>Calendar Year</w:t>
      </w:r>
    </w:p>
    <w:p>
      <w:pPr>
        <w:spacing w:after="0" w:line="225" w:lineRule="exact"/>
        <w:rPr>
          <w:sz w:val="20"/>
          <w:szCs w:val="20"/>
          <w:color w:val="auto"/>
        </w:rPr>
      </w:pPr>
    </w:p>
    <w:p>
      <w:pPr>
        <w:ind w:left="4" w:right="320" w:hanging="4"/>
        <w:spacing w:after="0" w:line="263" w:lineRule="auto"/>
        <w:tabs>
          <w:tab w:leader="none" w:pos="18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 shares of Common Stock, par value $0.001 per share, of Aeglea BioTherapeutics,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is Taxpayer’s employer or the corporation for whom the Taxpayer performs services.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date on which the shares were transferred was , .</w:t>
      </w:r>
    </w:p>
    <w:p>
      <w:pPr>
        <w:spacing w:after="0" w:line="225" w:lineRule="exact"/>
        <w:rPr>
          <w:rFonts w:ascii="Arial" w:cs="Arial" w:eastAsia="Arial" w:hAnsi="Arial"/>
          <w:sz w:val="18"/>
          <w:szCs w:val="18"/>
          <w:color w:val="auto"/>
        </w:rPr>
      </w:pPr>
    </w:p>
    <w:p>
      <w:pPr>
        <w:ind w:left="4" w:right="220" w:hanging="4"/>
        <w:spacing w:after="0" w:line="277" w:lineRule="auto"/>
        <w:tabs>
          <w:tab w:leader="none" w:pos="18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shares are subject to the following restrictions: The Company may repurchase all or a portion of the shares at the Taxpayer’s original purchase price under certain conditions at the time of Taxpayer’s termination of employment or services.</w:t>
      </w:r>
    </w:p>
    <w:p>
      <w:pPr>
        <w:spacing w:after="0" w:line="170" w:lineRule="exact"/>
        <w:rPr>
          <w:rFonts w:ascii="Arial" w:cs="Arial" w:eastAsia="Arial" w:hAnsi="Arial"/>
          <w:sz w:val="18"/>
          <w:szCs w:val="18"/>
          <w:color w:val="auto"/>
        </w:rPr>
      </w:pPr>
    </w:p>
    <w:p>
      <w:pPr>
        <w:ind w:left="4" w:right="120" w:hanging="4"/>
        <w:spacing w:after="0" w:line="277" w:lineRule="auto"/>
        <w:tabs>
          <w:tab w:leader="none" w:pos="18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fair market value of the shares at the time of transfer (without regard to restrictions other than a nonlapse restriction as defined in § 1.83-3(h) of the Income Tax Regulations) was $ per share x shares = $ .</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amount paid for such shares was $ per share x shares = $ .</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amount to include in the Taxpayer’s gross income for the Taxpayer’s current taxable year is $ .</w:t>
      </w:r>
    </w:p>
    <w:p>
      <w:pPr>
        <w:spacing w:after="0" w:line="333" w:lineRule="exact"/>
        <w:rPr>
          <w:sz w:val="20"/>
          <w:szCs w:val="20"/>
          <w:color w:val="auto"/>
        </w:rPr>
      </w:pPr>
    </w:p>
    <w:p>
      <w:pPr>
        <w:ind w:left="4"/>
        <w:spacing w:after="0" w:line="259" w:lineRule="auto"/>
        <w:rPr>
          <w:sz w:val="20"/>
          <w:szCs w:val="20"/>
          <w:color w:val="auto"/>
        </w:rPr>
      </w:pPr>
      <w:r>
        <w:rPr>
          <w:rFonts w:ascii="Arial" w:cs="Arial" w:eastAsia="Arial" w:hAnsi="Arial"/>
          <w:sz w:val="18"/>
          <w:szCs w:val="18"/>
          <w:i w:val="1"/>
          <w:iCs w:val="1"/>
          <w:color w:val="auto"/>
        </w:rPr>
        <w:t>THIS ELECTION MUST BE FILED WITH THE INTERNAL REVENUE SERVICE (“</w:t>
      </w:r>
      <w:r>
        <w:rPr>
          <w:rFonts w:ascii="Arial" w:cs="Arial" w:eastAsia="Arial" w:hAnsi="Arial"/>
          <w:sz w:val="18"/>
          <w:szCs w:val="18"/>
          <w:b w:val="1"/>
          <w:bCs w:val="1"/>
          <w:i w:val="1"/>
          <w:iCs w:val="1"/>
          <w:color w:val="auto"/>
        </w:rPr>
        <w:t>IRS</w:t>
      </w:r>
      <w:r>
        <w:rPr>
          <w:rFonts w:ascii="Arial" w:cs="Arial" w:eastAsia="Arial" w:hAnsi="Arial"/>
          <w:sz w:val="18"/>
          <w:szCs w:val="18"/>
          <w:i w:val="1"/>
          <w:iCs w:val="1"/>
          <w:color w:val="auto"/>
        </w:rPr>
        <w:t xml:space="preserve">”), AT THE OFFICE WHERE THE TAXPAYER FILES ANNUAL INCOME TAX RETURNS, </w:t>
      </w:r>
      <w:r>
        <w:rPr>
          <w:rFonts w:ascii="Arial" w:cs="Arial" w:eastAsia="Arial" w:hAnsi="Arial"/>
          <w:sz w:val="18"/>
          <w:szCs w:val="18"/>
          <w:i w:val="1"/>
          <w:iCs w:val="1"/>
          <w:u w:val="single" w:color="auto"/>
          <w:color w:val="auto"/>
        </w:rPr>
        <w:t>WITHIN 30 DAYS</w:t>
      </w:r>
      <w:r>
        <w:rPr>
          <w:rFonts w:ascii="Arial" w:cs="Arial" w:eastAsia="Arial" w:hAnsi="Arial"/>
          <w:sz w:val="18"/>
          <w:szCs w:val="18"/>
          <w:i w:val="1"/>
          <w:iCs w:val="1"/>
          <w:color w:val="auto"/>
        </w:rPr>
        <w:t xml:space="preserve"> AFTER THE DATE OF TRANSFER OF THE PROPERTY, AND MUST ALSO BE FILED WITH THE TAXPAYER’S INCOME TAX RETURNS FOR THE CALENDAR YEAR. A COPY OF THE ELECTION HAS ALSO BEEN FURNISHED TO THE COMPANY. THE ELECTION CANNOT BE REVOKED WITHOUT THE CONSENT OF THE IRS.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-19050</wp:posOffset>
            </wp:positionV>
            <wp:extent cx="335153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Taxpayer’s Signature</w:t>
      </w:r>
    </w:p>
    <w:p>
      <w:pPr>
        <w:sectPr>
          <w:pgSz w:w="11900" w:h="16838" w:orient="portrait"/>
          <w:cols w:equalWidth="0" w:num="1">
            <w:col w:w="10964"/>
          </w:cols>
          <w:pgMar w:left="436" w:top="269" w:right="499" w:bottom="1440" w:gutter="0" w:footer="0" w:header="0"/>
        </w:sectPr>
      </w:pPr>
    </w:p>
    <w:bookmarkStart w:id="573" w:name="page574"/>
    <w:bookmarkEnd w:id="573"/>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2016 EQUITY INCENTIVE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on October 8, 2018)</w:t>
      </w:r>
    </w:p>
    <w:p>
      <w:pPr>
        <w:spacing w:after="0" w:line="225" w:lineRule="exact"/>
        <w:rPr>
          <w:sz w:val="20"/>
          <w:szCs w:val="20"/>
          <w:color w:val="auto"/>
        </w:rPr>
      </w:pPr>
    </w:p>
    <w:p>
      <w:pPr>
        <w:jc w:val="both"/>
        <w:ind w:left="4" w:right="40" w:hanging="4"/>
        <w:spacing w:after="0" w:line="261" w:lineRule="auto"/>
        <w:tabs>
          <w:tab w:leader="none" w:pos="184"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this Plan is to provide incentives to attract, retain and motivate eligible persons whose present and potential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79" w:lineRule="exact"/>
        <w:rPr>
          <w:rFonts w:ascii="Arial" w:cs="Arial" w:eastAsia="Arial" w:hAnsi="Arial"/>
          <w:sz w:val="18"/>
          <w:szCs w:val="18"/>
          <w:b w:val="1"/>
          <w:bCs w:val="1"/>
          <w:color w:val="auto"/>
        </w:rPr>
      </w:pPr>
    </w:p>
    <w:p>
      <w:pPr>
        <w:ind w:left="184" w:hanging="184"/>
        <w:spacing w:after="0"/>
        <w:tabs>
          <w:tab w:leader="none" w:pos="184"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u w:val="single" w:color="auto"/>
          <w:color w:val="auto"/>
        </w:rPr>
        <w:t>.</w:t>
      </w:r>
    </w:p>
    <w:p>
      <w:pPr>
        <w:spacing w:after="0" w:line="225" w:lineRule="exact"/>
        <w:rPr>
          <w:sz w:val="20"/>
          <w:szCs w:val="20"/>
          <w:color w:val="auto"/>
        </w:rPr>
      </w:pPr>
    </w:p>
    <w:p>
      <w:pPr>
        <w:ind w:left="4" w:right="120"/>
        <w:spacing w:after="0" w:line="272"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Number of Shares Available</w:t>
      </w:r>
      <w:r>
        <w:rPr>
          <w:rFonts w:ascii="Arial" w:cs="Arial" w:eastAsia="Arial" w:hAnsi="Arial"/>
          <w:sz w:val="17"/>
          <w:szCs w:val="17"/>
          <w:color w:val="auto"/>
        </w:rPr>
        <w:t>. Subject to Sections 2.6 and 21 and any other applicable provisions hereof, the total number of Shares reserved and</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grant and issuance pursuant to this Plan as of the date of adoption of the Plan by the Board, is 4,063,642, plus that number of reserved shares not issued or subject to outstanding grants under the Company’s 2015 Equity Incentive Plan (the “</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xml:space="preserve">”) on the Effective Date (as defined below), </w:t>
      </w:r>
      <w:r>
        <w:rPr>
          <w:rFonts w:ascii="Arial" w:cs="Arial" w:eastAsia="Arial" w:hAnsi="Arial"/>
          <w:sz w:val="17"/>
          <w:szCs w:val="17"/>
          <w:i w:val="1"/>
          <w:iCs w:val="1"/>
          <w:color w:val="auto"/>
        </w:rPr>
        <w:t>plus</w:t>
      </w:r>
      <w:r>
        <w:rPr>
          <w:rFonts w:ascii="Arial" w:cs="Arial" w:eastAsia="Arial" w:hAnsi="Arial"/>
          <w:sz w:val="17"/>
          <w:szCs w:val="17"/>
          <w:color w:val="auto"/>
        </w:rPr>
        <w:t xml:space="preserve"> (a) shares that are subject to stock options or other awards granted under the Prior Plan that cease to be subject to such stock options or other awards by forfeiture or otherwise after the Effective Date, (b) shares issued under the Prior Plan before or after the Effective Date pursuant to the exercise of stock options that are, after the Effective Date, forfeited, (c) shares issued under the Prior Plan that are repurchased by the Company at the original issue price and (d) shares that are subject to stock options or other awards under the Prior Plan that are used to pay the exercise price of an option or withheld to satisfy the tax withholding obligations related to any award.</w:t>
      </w:r>
    </w:p>
    <w:p>
      <w:pPr>
        <w:spacing w:after="0" w:line="172"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 grant and</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77"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 to satisfy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all outstanding Awards granted under this Plan.</w:t>
      </w:r>
    </w:p>
    <w:p>
      <w:pPr>
        <w:spacing w:after="0" w:line="162" w:lineRule="exact"/>
        <w:rPr>
          <w:sz w:val="20"/>
          <w:szCs w:val="20"/>
          <w:color w:val="auto"/>
        </w:rPr>
      </w:pPr>
    </w:p>
    <w:p>
      <w:pPr>
        <w:jc w:val="both"/>
        <w:ind w:left="4" w:right="40"/>
        <w:spacing w:after="0" w:line="266"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The number of Shares available for grant and issuance under the Plan shall be increased on January 1, of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2019 through 2028, by the lesser of (a) four percent (4%) of the number of issued and outstanding Shares on each December 31 immediately prior to the date of increase or (b) such number of Shares determined by the Board.</w:t>
      </w:r>
    </w:p>
    <w:p>
      <w:pPr>
        <w:spacing w:after="0" w:line="176" w:lineRule="exact"/>
        <w:rPr>
          <w:sz w:val="20"/>
          <w:szCs w:val="20"/>
          <w:color w:val="auto"/>
        </w:rPr>
      </w:pPr>
    </w:p>
    <w:p>
      <w:pPr>
        <w:ind w:left="4" w:right="40"/>
        <w:spacing w:after="0" w:line="314"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u w:val="single" w:color="auto"/>
          <w:color w:val="auto"/>
        </w:rPr>
        <w:t>Limitations</w:t>
      </w:r>
      <w:r>
        <w:rPr>
          <w:rFonts w:ascii="Arial" w:cs="Arial" w:eastAsia="Arial" w:hAnsi="Arial"/>
          <w:sz w:val="16"/>
          <w:szCs w:val="16"/>
          <w:color w:val="auto"/>
        </w:rPr>
        <w:t>. No more than 8,200,000 Shares shall be issued pursuant to the exercise of ISOs. No Participant will be eligible to receive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400,000 Shares in any calendar year under this Plan pursuant to the grant of Awards except that new Employees (including new Employees who are also officers and directors) are eligible to receive up to a maximum of 775,000 Shares in the calendar year in which they commence their employment.</w:t>
      </w:r>
    </w:p>
    <w:p>
      <w:pPr>
        <w:sectPr>
          <w:pgSz w:w="11900" w:h="16838" w:orient="portrait"/>
          <w:cols w:equalWidth="0" w:num="1">
            <w:col w:w="11024"/>
          </w:cols>
          <w:pgMar w:left="436" w:top="121" w:right="439" w:bottom="1440" w:gutter="0" w:footer="0" w:header="0"/>
        </w:sectPr>
      </w:pPr>
    </w:p>
    <w:bookmarkStart w:id="574" w:name="page575"/>
    <w:bookmarkEnd w:id="574"/>
    <w:p>
      <w:pPr>
        <w:ind w:left="4"/>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2.6.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of outstanding shares of Common Stock of the Company is changed by a stock dividend, recapitalization,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split, reverse stock split, subdivision, combination, reclassification or similar change in the capital structure of the Company, without consideration, then</w:t>
      </w:r>
    </w:p>
    <w:p>
      <w:pPr>
        <w:spacing w:after="0" w:line="1" w:lineRule="exact"/>
        <w:rPr>
          <w:sz w:val="20"/>
          <w:szCs w:val="20"/>
          <w:color w:val="auto"/>
        </w:rPr>
      </w:pPr>
    </w:p>
    <w:p>
      <w:pPr>
        <w:ind w:left="244" w:hanging="244"/>
        <w:spacing w:after="0"/>
        <w:tabs>
          <w:tab w:leader="none" w:pos="244" w:val="left"/>
        </w:tabs>
        <w:numPr>
          <w:ilvl w:val="0"/>
          <w:numId w:val="479"/>
        </w:numPr>
        <w:rPr>
          <w:rFonts w:ascii="Arial" w:cs="Arial" w:eastAsia="Arial" w:hAnsi="Arial"/>
          <w:sz w:val="16"/>
          <w:szCs w:val="16"/>
          <w:color w:val="auto"/>
        </w:rPr>
      </w:pPr>
      <w:r>
        <w:rPr>
          <w:rFonts w:ascii="Arial" w:cs="Arial" w:eastAsia="Arial" w:hAnsi="Arial"/>
          <w:sz w:val="16"/>
          <w:szCs w:val="16"/>
          <w:color w:val="auto"/>
        </w:rPr>
        <w:t>the number of Shares reserved for issuance and future grant under the Plan set forth in Section 2.1, including Shares reserved under sub-clauses (a)-</w:t>
      </w:r>
    </w:p>
    <w:p>
      <w:pPr>
        <w:spacing w:after="0" w:line="32" w:lineRule="exact"/>
        <w:rPr>
          <w:rFonts w:ascii="Arial" w:cs="Arial" w:eastAsia="Arial" w:hAnsi="Arial"/>
          <w:sz w:val="16"/>
          <w:szCs w:val="16"/>
          <w:color w:val="auto"/>
        </w:rPr>
      </w:pPr>
    </w:p>
    <w:p>
      <w:pPr>
        <w:ind w:left="4" w:right="80" w:hanging="4"/>
        <w:spacing w:after="0" w:line="292" w:lineRule="auto"/>
        <w:tabs>
          <w:tab w:leader="none" w:pos="259" w:val="left"/>
        </w:tabs>
        <w:numPr>
          <w:ilvl w:val="0"/>
          <w:numId w:val="480"/>
        </w:numPr>
        <w:rPr>
          <w:rFonts w:ascii="Arial" w:cs="Arial" w:eastAsia="Arial" w:hAnsi="Arial"/>
          <w:sz w:val="16"/>
          <w:szCs w:val="16"/>
          <w:color w:val="auto"/>
        </w:rPr>
      </w:pPr>
      <w:r>
        <w:rPr>
          <w:rFonts w:ascii="Arial" w:cs="Arial" w:eastAsia="Arial" w:hAnsi="Arial"/>
          <w:sz w:val="16"/>
          <w:szCs w:val="16"/>
          <w:color w:val="auto"/>
        </w:rPr>
        <w:t>of Section 2.1, (b) the Exercise Prices of and number of Shares subject to outstanding Options and SARs, (c) the number of Shares subject to other outstanding Awards, (d) the maximum number of Shares that may be issued as ISOs set forth in Section 2.5, (e) the maximum number of Shares that may be issued to an individual or to a new Employee in any one calendar year set forth in Section 2.5, and (f) the number of Shares that may be granted as Awards to Non-Employee Directors as set forth in Section 12, shall be proportionately adjusted, subject to any required action by the Board or the stockholders of the Company and in compliance with applicable securities laws; provided that fractions of a Share will not be issued.</w:t>
      </w:r>
    </w:p>
    <w:p>
      <w:pPr>
        <w:spacing w:after="0" w:line="158" w:lineRule="exact"/>
        <w:rPr>
          <w:sz w:val="20"/>
          <w:szCs w:val="20"/>
          <w:color w:val="auto"/>
        </w:rPr>
      </w:pPr>
    </w:p>
    <w:p>
      <w:pPr>
        <w:ind w:left="4" w:right="20" w:hanging="4"/>
        <w:spacing w:after="0" w:line="266" w:lineRule="auto"/>
        <w:tabs>
          <w:tab w:leader="none" w:pos="184"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ISOs may be granted only to Employees. All other Awards may be granted to Employees, Consultants, Directors and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Consultants, Directors and Non-Employee Directors render bona fide services not in connection with the offer and sale of securities in a capital-raising transaction.</w:t>
      </w:r>
    </w:p>
    <w:p>
      <w:pPr>
        <w:spacing w:after="0" w:line="175" w:lineRule="exact"/>
        <w:rPr>
          <w:rFonts w:ascii="Arial" w:cs="Arial" w:eastAsia="Arial" w:hAnsi="Arial"/>
          <w:sz w:val="18"/>
          <w:szCs w:val="18"/>
          <w:b w:val="1"/>
          <w:bCs w:val="1"/>
          <w:color w:val="auto"/>
        </w:rPr>
      </w:pPr>
    </w:p>
    <w:p>
      <w:pPr>
        <w:ind w:left="184" w:hanging="184"/>
        <w:spacing w:after="0"/>
        <w:tabs>
          <w:tab w:leader="none" w:pos="184"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ind w:left="4" w:right="260"/>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Committee Composition; Authority</w:t>
      </w:r>
      <w:r>
        <w:rPr>
          <w:rFonts w:ascii="Arial" w:cs="Arial" w:eastAsia="Arial" w:hAnsi="Arial"/>
          <w:sz w:val="18"/>
          <w:szCs w:val="18"/>
          <w:color w:val="auto"/>
        </w:rPr>
        <w:t>. This Plan will be administered by the Committee or by the Board acting as the Committee.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76" w:lineRule="exact"/>
        <w:rPr>
          <w:sz w:val="20"/>
          <w:szCs w:val="20"/>
          <w:color w:val="auto"/>
        </w:rPr>
      </w:pPr>
    </w:p>
    <w:p>
      <w:pPr>
        <w:ind w:left="244" w:hanging="244"/>
        <w:spacing w:after="0"/>
        <w:tabs>
          <w:tab w:leader="none" w:pos="24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construe and interpret this Plan, any Award Agreement and any other agreement or document executed pursuant to this Plan;</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225" w:lineRule="exact"/>
        <w:rPr>
          <w:rFonts w:ascii="Arial" w:cs="Arial" w:eastAsia="Arial" w:hAnsi="Arial"/>
          <w:sz w:val="18"/>
          <w:szCs w:val="18"/>
          <w:color w:val="auto"/>
        </w:rPr>
      </w:pPr>
    </w:p>
    <w:p>
      <w:pPr>
        <w:ind w:left="4" w:hanging="4"/>
        <w:spacing w:after="0" w:line="257" w:lineRule="auto"/>
        <w:tabs>
          <w:tab w:leader="none" w:pos="259" w:val="left"/>
        </w:tabs>
        <w:numPr>
          <w:ilvl w:val="0"/>
          <w:numId w:val="482"/>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87" w:lineRule="exact"/>
        <w:rPr>
          <w:rFonts w:ascii="Arial" w:cs="Arial" w:eastAsia="Arial" w:hAnsi="Arial"/>
          <w:sz w:val="18"/>
          <w:szCs w:val="18"/>
          <w:color w:val="auto"/>
        </w:rPr>
      </w:pPr>
    </w:p>
    <w:p>
      <w:pPr>
        <w:ind w:left="244" w:hanging="244"/>
        <w:spacing w:after="0"/>
        <w:tabs>
          <w:tab w:leader="none" w:pos="24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225" w:lineRule="exact"/>
        <w:rPr>
          <w:rFonts w:ascii="Arial" w:cs="Arial" w:eastAsia="Arial" w:hAnsi="Arial"/>
          <w:sz w:val="18"/>
          <w:szCs w:val="18"/>
          <w:color w:val="auto"/>
        </w:rPr>
      </w:pPr>
    </w:p>
    <w:p>
      <w:pPr>
        <w:ind w:left="4" w:right="760" w:hanging="4"/>
        <w:spacing w:after="0" w:line="277" w:lineRule="auto"/>
        <w:tabs>
          <w:tab w:leader="none" w:pos="229" w:val="left"/>
        </w:tabs>
        <w:numPr>
          <w:ilvl w:val="0"/>
          <w:numId w:val="482"/>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70" w:lineRule="exact"/>
        <w:rPr>
          <w:rFonts w:ascii="Arial" w:cs="Arial" w:eastAsia="Arial" w:hAnsi="Arial"/>
          <w:sz w:val="18"/>
          <w:szCs w:val="18"/>
          <w:color w:val="auto"/>
        </w:rPr>
      </w:pPr>
    </w:p>
    <w:p>
      <w:pPr>
        <w:ind w:left="4" w:right="160" w:hanging="4"/>
        <w:spacing w:after="0" w:line="277" w:lineRule="auto"/>
        <w:tabs>
          <w:tab w:leader="none" w:pos="259" w:val="left"/>
        </w:tabs>
        <w:numPr>
          <w:ilvl w:val="0"/>
          <w:numId w:val="482"/>
        </w:numPr>
        <w:rPr>
          <w:rFonts w:ascii="Arial" w:cs="Arial" w:eastAsia="Arial" w:hAnsi="Arial"/>
          <w:sz w:val="18"/>
          <w:szCs w:val="18"/>
          <w:color w:val="auto"/>
        </w:rPr>
      </w:pPr>
      <w:r>
        <w:rPr>
          <w:rFonts w:ascii="Arial" w:cs="Arial" w:eastAsia="Arial" w:hAnsi="Arial"/>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determine whether an Award has been earned;</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ectPr>
          <w:pgSz w:w="11900" w:h="16838" w:orient="portrait"/>
          <w:cols w:equalWidth="0" w:num="1">
            <w:col w:w="11004"/>
          </w:cols>
          <w:pgMar w:left="436" w:top="269" w:right="459" w:bottom="1440" w:gutter="0" w:footer="0" w:header="0"/>
        </w:sectPr>
      </w:pPr>
    </w:p>
    <w:bookmarkStart w:id="575" w:name="page576"/>
    <w:bookmarkEnd w:id="575"/>
    <w:p>
      <w:pPr>
        <w:ind w:left="304" w:hanging="304"/>
        <w:spacing w:after="0"/>
        <w:tabs>
          <w:tab w:leader="none" w:pos="304" w:val="left"/>
        </w:tabs>
        <w:numPr>
          <w:ilvl w:val="0"/>
          <w:numId w:val="4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reduce or waive any criteria with respect to Performance Factors;</w:t>
      </w:r>
    </w:p>
    <w:p>
      <w:pPr>
        <w:spacing w:after="0" w:line="225" w:lineRule="exact"/>
        <w:rPr>
          <w:rFonts w:ascii="Arial" w:cs="Arial" w:eastAsia="Arial" w:hAnsi="Arial"/>
          <w:sz w:val="18"/>
          <w:szCs w:val="18"/>
          <w:color w:val="auto"/>
        </w:rPr>
      </w:pPr>
    </w:p>
    <w:p>
      <w:pPr>
        <w:ind w:left="4" w:right="40" w:hanging="4"/>
        <w:spacing w:after="0" w:line="259" w:lineRule="auto"/>
        <w:tabs>
          <w:tab w:leader="none" w:pos="259"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 provided that such adjustments are consistent with the regulations promulgated under Section 162(m) of the Code with respect to persons whose compensation is subject to Section 162(m) of the Code;</w:t>
      </w:r>
    </w:p>
    <w:p>
      <w:pPr>
        <w:spacing w:after="0" w:line="186" w:lineRule="exact"/>
        <w:rPr>
          <w:rFonts w:ascii="Arial" w:cs="Arial" w:eastAsia="Arial" w:hAnsi="Arial"/>
          <w:sz w:val="18"/>
          <w:szCs w:val="18"/>
          <w:color w:val="auto"/>
        </w:rPr>
      </w:pPr>
    </w:p>
    <w:p>
      <w:pPr>
        <w:ind w:left="4" w:right="440" w:hanging="4"/>
        <w:spacing w:after="0" w:line="277" w:lineRule="auto"/>
        <w:tabs>
          <w:tab w:leader="none" w:pos="259"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w:t>
      </w:r>
    </w:p>
    <w:p>
      <w:pPr>
        <w:spacing w:after="0" w:line="225" w:lineRule="exact"/>
        <w:rPr>
          <w:rFonts w:ascii="Arial" w:cs="Arial" w:eastAsia="Arial" w:hAnsi="Arial"/>
          <w:sz w:val="18"/>
          <w:szCs w:val="18"/>
          <w:color w:val="auto"/>
        </w:rPr>
      </w:pPr>
    </w:p>
    <w:p>
      <w:pPr>
        <w:ind w:left="4" w:right="540" w:hanging="4"/>
        <w:spacing w:after="0" w:line="277" w:lineRule="auto"/>
        <w:tabs>
          <w:tab w:leader="none" w:pos="259" w:val="left"/>
        </w:tabs>
        <w:numPr>
          <w:ilvl w:val="0"/>
          <w:numId w:val="483"/>
        </w:numPr>
        <w:rPr>
          <w:rFonts w:ascii="Arial" w:cs="Arial" w:eastAsia="Arial" w:hAnsi="Arial"/>
          <w:sz w:val="18"/>
          <w:szCs w:val="18"/>
          <w:color w:val="auto"/>
        </w:rPr>
      </w:pPr>
      <w:r>
        <w:rPr>
          <w:rFonts w:ascii="Arial" w:cs="Arial" w:eastAsia="Arial" w:hAnsi="Arial"/>
          <w:sz w:val="18"/>
          <w:szCs w:val="18"/>
          <w:color w:val="auto"/>
        </w:rPr>
        <w:t>delegate any of the foregoing to a subcommittee consisting of one or more executive officers pursuant to a specific delegation as permitted by applicable law, including Section 157(c) of the Delaware General Corporation Law; and</w:t>
      </w:r>
    </w:p>
    <w:p>
      <w:pPr>
        <w:spacing w:after="0" w:line="170" w:lineRule="exact"/>
        <w:rPr>
          <w:rFonts w:ascii="Arial" w:cs="Arial" w:eastAsia="Arial" w:hAnsi="Arial"/>
          <w:sz w:val="18"/>
          <w:szCs w:val="18"/>
          <w:color w:val="auto"/>
        </w:rPr>
      </w:pPr>
    </w:p>
    <w:p>
      <w:pPr>
        <w:ind w:left="224" w:hanging="224"/>
        <w:spacing w:after="0"/>
        <w:tabs>
          <w:tab w:leader="none" w:pos="22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to exercise negative discretion on Performance Awards, reducing or eliminating the amount to be paid to Participants.</w:t>
      </w:r>
    </w:p>
    <w:p>
      <w:pPr>
        <w:spacing w:after="0" w:line="2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89" w:lineRule="exact"/>
        <w:rPr>
          <w:sz w:val="20"/>
          <w:szCs w:val="20"/>
          <w:color w:val="auto"/>
        </w:rPr>
      </w:pPr>
    </w:p>
    <w:p>
      <w:pPr>
        <w:ind w:left="4" w:right="340"/>
        <w:spacing w:after="0" w:line="289"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u w:val="single" w:color="auto"/>
          <w:color w:val="auto"/>
        </w:rPr>
        <w:t>Section 162(m) of the Code and Section 16 of the Exchange Act</w:t>
      </w:r>
      <w:r>
        <w:rPr>
          <w:rFonts w:ascii="Arial" w:cs="Arial" w:eastAsia="Arial" w:hAnsi="Arial"/>
          <w:sz w:val="16"/>
          <w:szCs w:val="16"/>
          <w:color w:val="auto"/>
        </w:rPr>
        <w:t>. When necessary or desirable for an Award to qualify as “performance-based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under Section 162(m) of the Code, the Committee administering the Plan in accordance with the requirements of Rule 16b-3 and Section 162(m) of the Code shall consist of at least two individuals, each of whom qualifies as (a) a Non- Employee Director under Rule 16b-3, and</w:t>
      </w:r>
    </w:p>
    <w:p>
      <w:pPr>
        <w:spacing w:after="0" w:line="2" w:lineRule="exact"/>
        <w:rPr>
          <w:sz w:val="20"/>
          <w:szCs w:val="20"/>
          <w:color w:val="auto"/>
        </w:rPr>
      </w:pPr>
    </w:p>
    <w:p>
      <w:pPr>
        <w:ind w:left="4" w:right="60" w:hanging="4"/>
        <w:spacing w:after="0" w:line="285" w:lineRule="auto"/>
        <w:tabs>
          <w:tab w:leader="none" w:pos="259" w:val="left"/>
        </w:tabs>
        <w:numPr>
          <w:ilvl w:val="0"/>
          <w:numId w:val="484"/>
        </w:numPr>
        <w:rPr>
          <w:rFonts w:ascii="Arial" w:cs="Arial" w:eastAsia="Arial" w:hAnsi="Arial"/>
          <w:sz w:val="16"/>
          <w:szCs w:val="16"/>
          <w:color w:val="auto"/>
        </w:rPr>
      </w:pPr>
      <w:r>
        <w:rPr>
          <w:rFonts w:ascii="Arial" w:cs="Arial" w:eastAsia="Arial" w:hAnsi="Arial"/>
          <w:sz w:val="16"/>
          <w:szCs w:val="16"/>
          <w:color w:val="auto"/>
        </w:rPr>
        <w:t>an “outside director” pursuant to Code Section 162(m) and the regulations issued thereunder. At least two (or a majority if more than two then serve on the Committee) such “outside directors” shall approve the grant of such Award and timely determine (as applicable) the Performance Period and any Performance Factors upon which vesting or settlement of any portion of such Award is to be subject. When required by Section 162(m) of the Code, prior to settlement of any such Award at least two (or a majority if more than two then serve on the Committee) such “outside directors” then serving on the Committee shall determine and certify in writing the extent to which such Performance Factors have been timely achieved and the extent to which the Shares subject to such Award have thereby been earned. Awards granted to Participants who are subject to Section 16 of the Exchange Act must be approved by two or more “non-employee directors” (as defined in the regulations promulgated under Section 16 of the Exchange Act). With respect to Participants whose compensation is subject to Section 162(m) of the Code, and provided that such adjustments are consistent with the regulations promulgated under Section 162(m) of the Code, the Committee may adjust the performance goals to account for changes in law and accounting and to make such adjustments as the Committee deems necessary or appropriate to reflect the impact of extraordinary or unusual items, events or circumstances to avoid windfalls or hardships, including without limitation (a) restructurings, discontinued operations, extraordinary items, and other unusual or non-recurring charges, (b) an event either not directly related to the operations of the Company or not within the reasonable control of the Company’s management, or (c) a change in accounting standards required by generally accepted accounting principles.</w:t>
      </w:r>
    </w:p>
    <w:p>
      <w:pPr>
        <w:spacing w:after="0" w:line="165"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Documentation</w:t>
      </w:r>
      <w:r>
        <w:rPr>
          <w:rFonts w:ascii="Arial" w:cs="Arial" w:eastAsia="Arial" w:hAnsi="Arial"/>
          <w:sz w:val="18"/>
          <w:szCs w:val="18"/>
          <w:color w:val="auto"/>
        </w:rPr>
        <w:t>. The Award Agreement for a given Award, the Plan and any other documents may be delivered to, and accepted by, a Participant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person in any manner (including electronic distribution or posting) that meets applicable legal requirements.</w:t>
      </w:r>
    </w:p>
    <w:p>
      <w:pPr>
        <w:sectPr>
          <w:pgSz w:w="11900" w:h="16838" w:orient="portrait"/>
          <w:cols w:equalWidth="0" w:num="1">
            <w:col w:w="11004"/>
          </w:cols>
          <w:pgMar w:left="436" w:top="273" w:right="459" w:bottom="1440" w:gutter="0" w:footer="0" w:header="0"/>
        </w:sectPr>
      </w:pPr>
    </w:p>
    <w:bookmarkStart w:id="576" w:name="page577"/>
    <w:bookmarkEnd w:id="576"/>
    <w:p>
      <w:pPr>
        <w:ind w:left="4" w:right="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its Subsidiaries and Affiliates operate or have employees or other individuals eligible for Awards, the Committee, in its sole discretion, shall have the power and authority to: (a) determine which Subsidiaries and Affiliates shall be covered by the Plan; (b) determine which individuals outside the United States are eligible to participate in the Plan; (c) modify the terms and conditions of any Award granted to individuals outside the United States to comply with applicable foreign laws; (d) establish subplans and modify exercise procedures and other terms and procedures, to the extent the Committee determines such actions to be necessary or advisable (and such subplans and/or modifications shall be attached to this Plan as appendices); provided, however, that no such subplans and/or modifications shall increase the share limitations contained in Section 2.1 hereof; and</w:t>
      </w:r>
    </w:p>
    <w:p>
      <w:pPr>
        <w:spacing w:after="0" w:line="1" w:lineRule="exact"/>
        <w:rPr>
          <w:sz w:val="20"/>
          <w:szCs w:val="20"/>
          <w:color w:val="auto"/>
        </w:rPr>
      </w:pPr>
    </w:p>
    <w:p>
      <w:pPr>
        <w:ind w:left="4" w:right="60" w:hanging="4"/>
        <w:spacing w:after="0" w:line="253" w:lineRule="auto"/>
        <w:tabs>
          <w:tab w:leader="none" w:pos="249"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89" w:lineRule="exact"/>
        <w:rPr>
          <w:sz w:val="20"/>
          <w:szCs w:val="20"/>
          <w:color w:val="auto"/>
        </w:rPr>
      </w:pPr>
    </w:p>
    <w:p>
      <w:pPr>
        <w:ind w:left="4" w:right="100" w:hanging="4"/>
        <w:spacing w:after="0" w:line="303" w:lineRule="auto"/>
        <w:tabs>
          <w:tab w:leader="none" w:pos="184" w:val="left"/>
        </w:tabs>
        <w:numPr>
          <w:ilvl w:val="0"/>
          <w:numId w:val="4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OPTIONS</w:t>
      </w:r>
      <w:r>
        <w:rPr>
          <w:rFonts w:ascii="Arial" w:cs="Arial" w:eastAsia="Arial" w:hAnsi="Arial"/>
          <w:sz w:val="16"/>
          <w:szCs w:val="16"/>
          <w:color w:val="auto"/>
        </w:rPr>
        <w:t>. An Option is the right but not the obligation to purchase a Share, subject to certain conditions, if applicable. The Committee may grant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to eligible Employees, Consultants and Directors and will determine whether such Options will be Incentive Stock Options within the meaning of the Code (“</w:t>
      </w:r>
      <w:r>
        <w:rPr>
          <w:rFonts w:ascii="Arial" w:cs="Arial" w:eastAsia="Arial" w:hAnsi="Arial"/>
          <w:sz w:val="16"/>
          <w:szCs w:val="16"/>
          <w:b w:val="1"/>
          <w:bCs w:val="1"/>
          <w:i w:val="1"/>
          <w:iCs w:val="1"/>
          <w:color w:val="auto"/>
        </w:rPr>
        <w:t>ISOs</w:t>
      </w:r>
      <w:r>
        <w:rPr>
          <w:rFonts w:ascii="Arial" w:cs="Arial" w:eastAsia="Arial" w:hAnsi="Arial"/>
          <w:sz w:val="16"/>
          <w:szCs w:val="16"/>
          <w:color w:val="auto"/>
        </w:rPr>
        <w:t>”) or Nonqualified Stock Options (“</w:t>
      </w:r>
      <w:r>
        <w:rPr>
          <w:rFonts w:ascii="Arial" w:cs="Arial" w:eastAsia="Arial" w:hAnsi="Arial"/>
          <w:sz w:val="16"/>
          <w:szCs w:val="16"/>
          <w:b w:val="1"/>
          <w:bCs w:val="1"/>
          <w:i w:val="1"/>
          <w:iCs w:val="1"/>
          <w:color w:val="auto"/>
        </w:rPr>
        <w:t>NSOs</w:t>
      </w:r>
      <w:r>
        <w:rPr>
          <w:rFonts w:ascii="Arial" w:cs="Arial" w:eastAsia="Arial" w:hAnsi="Arial"/>
          <w:sz w:val="16"/>
          <w:szCs w:val="16"/>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51" w:lineRule="exact"/>
        <w:rPr>
          <w:sz w:val="20"/>
          <w:szCs w:val="20"/>
          <w:color w:val="auto"/>
        </w:rPr>
      </w:pPr>
    </w:p>
    <w:p>
      <w:pPr>
        <w:ind w:left="4"/>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 awarded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87" w:lineRule="exact"/>
        <w:rPr>
          <w:sz w:val="20"/>
          <w:szCs w:val="20"/>
          <w:color w:val="auto"/>
        </w:rPr>
      </w:pPr>
    </w:p>
    <w:p>
      <w:pPr>
        <w:ind w:left="4" w:right="80"/>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 a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future date. The Award Agreement will be delivered to the Participant within a reasonable time after the granting of the Option.</w:t>
      </w:r>
    </w:p>
    <w:p>
      <w:pPr>
        <w:spacing w:after="0" w:line="140" w:lineRule="exact"/>
        <w:rPr>
          <w:sz w:val="20"/>
          <w:szCs w:val="20"/>
          <w:color w:val="auto"/>
        </w:rPr>
      </w:pPr>
    </w:p>
    <w:p>
      <w:pPr>
        <w:ind w:left="4" w:right="20"/>
        <w:spacing w:after="0" w:line="29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Exercise Period</w:t>
      </w:r>
      <w:r>
        <w:rPr>
          <w:rFonts w:ascii="Arial" w:cs="Arial" w:eastAsia="Arial" w:hAnsi="Arial"/>
          <w:sz w:val="16"/>
          <w:szCs w:val="16"/>
          <w:color w:val="auto"/>
        </w:rPr>
        <w:t>. Options may be vested and exercisable within the times or upon the conditions as set forth in the Award Agreement governing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Option will be exercisable after the expiration of ten (10) years from the date the Option is granted;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60" w:lineRule="exact"/>
        <w:rPr>
          <w:sz w:val="20"/>
          <w:szCs w:val="20"/>
          <w:color w:val="auto"/>
        </w:rPr>
      </w:pPr>
    </w:p>
    <w:p>
      <w:pPr>
        <w:ind w:left="4" w:right="160"/>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will be determined by the Committee when the Option is granted; provided that: (a)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spacing w:after="0" w:line="183" w:lineRule="exact"/>
        <w:rPr>
          <w:sz w:val="20"/>
          <w:szCs w:val="20"/>
          <w:color w:val="auto"/>
        </w:rPr>
      </w:pPr>
    </w:p>
    <w:p>
      <w:pPr>
        <w:ind w:left="4" w:right="260"/>
        <w:spacing w:after="0" w:line="277"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Any Option granted hereunder will be vested and exercisable according to the terms of the Plan and at such times and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 (b) full payment for the Shares with respect to which the Option is exercised (together with applicable withholding taxes). Full payment may consist of any consideration and method</w:t>
      </w:r>
    </w:p>
    <w:p>
      <w:pPr>
        <w:sectPr>
          <w:pgSz w:w="11900" w:h="16838" w:orient="portrait"/>
          <w:cols w:equalWidth="0" w:num="1">
            <w:col w:w="11024"/>
          </w:cols>
          <w:pgMar w:left="436" w:top="269" w:right="439" w:bottom="1440" w:gutter="0" w:footer="0" w:header="0"/>
        </w:sectPr>
      </w:pPr>
    </w:p>
    <w:bookmarkStart w:id="577" w:name="page578"/>
    <w:bookmarkEnd w:id="577"/>
    <w:p>
      <w:pPr>
        <w:ind w:left="4"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73" w:lineRule="exact"/>
        <w:rPr>
          <w:sz w:val="20"/>
          <w:szCs w:val="20"/>
          <w:color w:val="auto"/>
        </w:rPr>
      </w:pPr>
    </w:p>
    <w:p>
      <w:pPr>
        <w:ind w:left="4" w:right="200"/>
        <w:spacing w:after="0" w:line="277" w:lineRule="auto"/>
        <w:rPr>
          <w:sz w:val="20"/>
          <w:szCs w:val="20"/>
          <w:color w:val="auto"/>
        </w:rPr>
      </w:pPr>
      <w:r>
        <w:rPr>
          <w:rFonts w:ascii="Arial" w:cs="Arial" w:eastAsia="Arial" w:hAnsi="Arial"/>
          <w:sz w:val="17"/>
          <w:szCs w:val="17"/>
          <w:b w:val="1"/>
          <w:bCs w:val="1"/>
          <w:color w:val="auto"/>
        </w:rPr>
        <w:t xml:space="preserve">5.6.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If the Participant’s Service terminates for any reason except for Cause or the Participant’s death or Disability,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NSO), but in any event no later than the expiration date of the Options.</w:t>
      </w:r>
    </w:p>
    <w:p>
      <w:pPr>
        <w:spacing w:after="0" w:line="172" w:lineRule="exact"/>
        <w:rPr>
          <w:sz w:val="20"/>
          <w:szCs w:val="20"/>
          <w:color w:val="auto"/>
        </w:rPr>
      </w:pPr>
    </w:p>
    <w:p>
      <w:pPr>
        <w:ind w:left="4" w:hanging="4"/>
        <w:spacing w:after="0" w:line="296" w:lineRule="auto"/>
        <w:tabs>
          <w:tab w:leader="none" w:pos="248" w:val="left"/>
        </w:tabs>
        <w:numPr>
          <w:ilvl w:val="0"/>
          <w:numId w:val="487"/>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not less than six (6) months or longer time period as may be determined by the Committee), but in any event no later than the expiration date of the Options.</w:t>
      </w:r>
    </w:p>
    <w:p>
      <w:pPr>
        <w:spacing w:after="0" w:line="161" w:lineRule="exact"/>
        <w:rPr>
          <w:rFonts w:ascii="Arial" w:cs="Arial" w:eastAsia="Arial" w:hAnsi="Arial"/>
          <w:sz w:val="16"/>
          <w:szCs w:val="16"/>
          <w:color w:val="auto"/>
        </w:rPr>
      </w:pPr>
    </w:p>
    <w:p>
      <w:pPr>
        <w:ind w:left="4" w:right="60" w:hanging="4"/>
        <w:spacing w:after="0" w:line="291" w:lineRule="auto"/>
        <w:tabs>
          <w:tab w:leader="none" w:pos="259" w:val="left"/>
        </w:tabs>
        <w:numPr>
          <w:ilvl w:val="0"/>
          <w:numId w:val="48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66" w:lineRule="exact"/>
        <w:rPr>
          <w:rFonts w:ascii="Arial" w:cs="Arial" w:eastAsia="Arial" w:hAnsi="Arial"/>
          <w:sz w:val="16"/>
          <w:szCs w:val="16"/>
          <w:color w:val="auto"/>
        </w:rPr>
      </w:pPr>
    </w:p>
    <w:p>
      <w:pPr>
        <w:jc w:val="both"/>
        <w:ind w:left="4" w:right="320" w:hanging="4"/>
        <w:spacing w:after="0" w:line="286" w:lineRule="auto"/>
        <w:tabs>
          <w:tab w:leader="none" w:pos="248"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If the Participant is terminated for Cause, then Participant’s Options shall expire on such Participant’s date of termination of Service, or at such later time and on such conditions as are determined by the Committee, but in any no event later than the expiration date of the Options. Unless otherwise provided in the Award Agreement, Cause shall have the meaning set forth in the Plan.</w:t>
      </w:r>
    </w:p>
    <w:p>
      <w:pPr>
        <w:spacing w:after="0" w:line="161" w:lineRule="exact"/>
        <w:rPr>
          <w:sz w:val="20"/>
          <w:szCs w:val="20"/>
          <w:color w:val="auto"/>
        </w:rPr>
      </w:pPr>
    </w:p>
    <w:p>
      <w:pPr>
        <w:ind w:left="4" w:right="140"/>
        <w:spacing w:after="0" w:line="347"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u w:val="single" w:color="auto"/>
          <w:color w:val="auto"/>
        </w:rPr>
        <w:t>Limitations on Exercise</w:t>
      </w:r>
      <w:r>
        <w:rPr>
          <w:rFonts w:ascii="Arial" w:cs="Arial" w:eastAsia="Arial" w:hAnsi="Arial"/>
          <w:sz w:val="16"/>
          <w:szCs w:val="16"/>
          <w:color w:val="auto"/>
        </w:rPr>
        <w:t>. The Committee may specify a minimum number of Shares that may be purchased on any exercise of an Option,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minimum number will not prevent any Participant from exercising the Option for the full number of Shares for which it is then exercisable.</w:t>
      </w:r>
    </w:p>
    <w:p>
      <w:pPr>
        <w:spacing w:after="0" w:line="116"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b w:val="1"/>
          <w:bCs w:val="1"/>
          <w:color w:val="auto"/>
        </w:rPr>
        <w:t xml:space="preserve">5.8. </w:t>
      </w:r>
      <w:r>
        <w:rPr>
          <w:rFonts w:ascii="Arial" w:cs="Arial" w:eastAsia="Arial" w:hAnsi="Arial"/>
          <w:sz w:val="17"/>
          <w:szCs w:val="17"/>
          <w:u w:val="single" w:color="auto"/>
          <w:color w:val="auto"/>
        </w:rPr>
        <w:t>Limitations on ISOs</w:t>
      </w:r>
      <w:r>
        <w:rPr>
          <w:rFonts w:ascii="Arial" w:cs="Arial" w:eastAsia="Arial" w:hAnsi="Arial"/>
          <w:sz w:val="17"/>
          <w:szCs w:val="17"/>
          <w:color w:val="auto"/>
        </w:rPr>
        <w:t>. With respect to Awards granted as ISOs, to the extent that the aggregate Fair Market Value of the Shares with respect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such ISOs are exercisable for the first time by the Participant during any calendar year (under all plans of the Company and any Parent or Subsidiary) exceeds one hundred thousand dollars ($100,000), such Options will be treated as NSOs.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ectPr>
          <w:pgSz w:w="11900" w:h="16838" w:orient="portrait"/>
          <w:cols w:equalWidth="0" w:num="1">
            <w:col w:w="11004"/>
          </w:cols>
          <w:pgMar w:left="436" w:top="273" w:right="459" w:bottom="1440" w:gutter="0" w:footer="0" w:header="0"/>
        </w:sectPr>
      </w:pPr>
    </w:p>
    <w:bookmarkStart w:id="578" w:name="page579"/>
    <w:bookmarkEnd w:id="578"/>
    <w:p>
      <w:pPr>
        <w:ind w:left="4" w:right="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5.9. </w:t>
      </w:r>
      <w:r>
        <w:rPr>
          <w:rFonts w:ascii="Arial" w:cs="Arial" w:eastAsia="Arial" w:hAnsi="Arial"/>
          <w:sz w:val="17"/>
          <w:szCs w:val="17"/>
          <w:u w:val="single" w:color="auto"/>
          <w:color w:val="auto"/>
        </w:rPr>
        <w:t>Modification, Extension or Renewal</w:t>
      </w:r>
      <w:r>
        <w:rPr>
          <w:rFonts w:ascii="Arial" w:cs="Arial" w:eastAsia="Arial" w:hAnsi="Arial"/>
          <w:sz w:val="17"/>
          <w:szCs w:val="17"/>
          <w:color w:val="auto"/>
        </w:rPr>
        <w:t>. The Committee may modify, extend or renew outstanding Options and authorize the grant of new Options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Exercise Price may not be reduced below the Fair Market Value on the date the action is taken to reduce the Exercise Price.</w:t>
      </w:r>
    </w:p>
    <w:p>
      <w:pPr>
        <w:spacing w:after="0" w:line="173"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color w:val="auto"/>
        </w:rPr>
        <w:t>No Disqualification. Notwithstanding any other provision in this Plan, no term of this Plan relating to ISOs will be interpreted, amended or altered,</w:t>
      </w:r>
      <w:r>
        <w:rPr>
          <w:rFonts w:ascii="Arial" w:cs="Arial" w:eastAsia="Arial" w:hAnsi="Arial"/>
          <w:sz w:val="18"/>
          <w:szCs w:val="18"/>
          <w:b w:val="1"/>
          <w:bCs w:val="1"/>
          <w:color w:val="auto"/>
        </w:rPr>
        <w:t xml:space="preserve"> </w:t>
      </w:r>
      <w:r>
        <w:rPr>
          <w:rFonts w:ascii="Arial" w:cs="Arial" w:eastAsia="Arial" w:hAnsi="Arial"/>
          <w:sz w:val="18"/>
          <w:szCs w:val="18"/>
          <w:color w:val="auto"/>
        </w:rPr>
        <w:t>nor will any discretion or authority granted under this Plan be exercised, so as to disqualify this Plan under Section 422 of the Code or, without the consent of the Participant affected, to disqualify any ISO under Section 422 of the Code.</w:t>
      </w:r>
    </w:p>
    <w:p>
      <w:pPr>
        <w:spacing w:after="0" w:line="176" w:lineRule="exact"/>
        <w:rPr>
          <w:sz w:val="20"/>
          <w:szCs w:val="20"/>
          <w:color w:val="auto"/>
        </w:rPr>
      </w:pPr>
    </w:p>
    <w:p>
      <w:pPr>
        <w:ind w:left="4" w:right="20" w:hanging="4"/>
        <w:spacing w:after="0" w:line="261" w:lineRule="auto"/>
        <w:tabs>
          <w:tab w:leader="none" w:pos="184"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80" w:lineRule="exact"/>
        <w:rPr>
          <w:sz w:val="20"/>
          <w:szCs w:val="20"/>
          <w:color w:val="auto"/>
        </w:rPr>
      </w:pPr>
    </w:p>
    <w:p>
      <w:pPr>
        <w:ind w:left="4" w:right="180"/>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 Except as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83" w:lineRule="exact"/>
        <w:rPr>
          <w:sz w:val="20"/>
          <w:szCs w:val="20"/>
          <w:color w:val="auto"/>
        </w:rPr>
      </w:pPr>
    </w:p>
    <w:p>
      <w:pPr>
        <w:jc w:val="both"/>
        <w:ind w:left="4" w:right="160"/>
        <w:spacing w:after="0" w:line="266"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a Restricted Stock Award will be determined by the Committee and may be less than Fair Market Value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the Restricted Stock Award is granted. Payment of the Purchase Price must be made in accordance with Section 11 of the Plan, and the Award Agreement and in accordance with any procedures established by the Company.</w:t>
      </w:r>
    </w:p>
    <w:p>
      <w:pPr>
        <w:spacing w:after="0" w:line="176" w:lineRule="exact"/>
        <w:rPr>
          <w:sz w:val="20"/>
          <w:szCs w:val="20"/>
          <w:color w:val="auto"/>
        </w:rPr>
      </w:pPr>
    </w:p>
    <w:p>
      <w:pPr>
        <w:ind w:left="4"/>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72" w:lineRule="exact"/>
        <w:rPr>
          <w:sz w:val="20"/>
          <w:szCs w:val="20"/>
          <w:color w:val="auto"/>
        </w:rPr>
      </w:pPr>
    </w:p>
    <w:p>
      <w:pPr>
        <w:ind w:left="4" w:right="700"/>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ind w:left="4" w:right="40" w:hanging="4"/>
        <w:spacing w:after="0" w:line="289" w:lineRule="auto"/>
        <w:tabs>
          <w:tab w:leader="none" w:pos="184" w:val="left"/>
        </w:tabs>
        <w:numPr>
          <w:ilvl w:val="0"/>
          <w:numId w:val="48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BONUS AWARDS</w:t>
      </w:r>
      <w:r>
        <w:rPr>
          <w:rFonts w:ascii="Arial" w:cs="Arial" w:eastAsia="Arial" w:hAnsi="Arial"/>
          <w:sz w:val="17"/>
          <w:szCs w:val="17"/>
          <w:color w:val="auto"/>
        </w:rPr>
        <w:t>. A Stock Bonus Award is an award to an eligible Employee, Consultant, or Director of Shares for Services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rendered 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158" w:lineRule="exact"/>
        <w:rPr>
          <w:sz w:val="20"/>
          <w:szCs w:val="20"/>
          <w:color w:val="auto"/>
        </w:rPr>
      </w:pPr>
    </w:p>
    <w:p>
      <w:pPr>
        <w:ind w:left="4" w:right="200"/>
        <w:spacing w:after="0" w:line="292"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u w:val="single" w:color="auto"/>
          <w:color w:val="auto"/>
        </w:rPr>
        <w:t>Terms of Stock Bonus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will determine the number of Shares to be awarded to the Participant under a Stock Bonus Award</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ectPr>
          <w:pgSz w:w="11900" w:h="16838" w:orient="portrait"/>
          <w:cols w:equalWidth="0" w:num="1">
            <w:col w:w="11004"/>
          </w:cols>
          <w:pgMar w:left="436" w:top="269" w:right="459" w:bottom="1440" w:gutter="0" w:footer="0" w:header="0"/>
        </w:sectPr>
      </w:pPr>
    </w:p>
    <w:bookmarkStart w:id="579" w:name="page580"/>
    <w:bookmarkEnd w:id="579"/>
    <w:p>
      <w:pPr>
        <w:ind w:left="4" w:right="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 Market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Shares earned under a Stock Bonus Award on the date of payment, as determined in the sole discretion of the Committee.</w:t>
      </w:r>
    </w:p>
    <w:p>
      <w:pPr>
        <w:spacing w:after="0" w:line="140" w:lineRule="exact"/>
        <w:rPr>
          <w:sz w:val="20"/>
          <w:szCs w:val="20"/>
          <w:color w:val="auto"/>
        </w:rPr>
      </w:pPr>
    </w:p>
    <w:p>
      <w:pPr>
        <w:ind w:left="4" w:right="700"/>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ind w:left="4" w:hanging="4"/>
        <w:spacing w:after="0" w:line="303" w:lineRule="auto"/>
        <w:tabs>
          <w:tab w:leader="none" w:pos="184" w:val="left"/>
        </w:tabs>
        <w:numPr>
          <w:ilvl w:val="0"/>
          <w:numId w:val="4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APPRECIATION RIGHTS</w:t>
      </w:r>
      <w:r>
        <w:rPr>
          <w:rFonts w:ascii="Arial" w:cs="Arial" w:eastAsia="Arial" w:hAnsi="Arial"/>
          <w:sz w:val="16"/>
          <w:szCs w:val="16"/>
          <w:color w:val="auto"/>
        </w:rPr>
        <w:t>. A Stock Appreciation Right (“</w:t>
      </w:r>
      <w:r>
        <w:rPr>
          <w:rFonts w:ascii="Arial" w:cs="Arial" w:eastAsia="Arial" w:hAnsi="Arial"/>
          <w:sz w:val="16"/>
          <w:szCs w:val="16"/>
          <w:b w:val="1"/>
          <w:bCs w:val="1"/>
          <w:i w:val="1"/>
          <w:iCs w:val="1"/>
          <w:color w:val="auto"/>
        </w:rPr>
        <w:t>SAR</w:t>
      </w:r>
      <w:r>
        <w:rPr>
          <w:rFonts w:ascii="Arial" w:cs="Arial" w:eastAsia="Arial" w:hAnsi="Arial"/>
          <w:sz w:val="16"/>
          <w:szCs w:val="16"/>
          <w:color w:val="auto"/>
        </w:rPr>
        <w:t>”) is an award to an eligible Employee, Consultant, or Director that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u w:val="single" w:color="auto"/>
          <w:color w:val="auto"/>
        </w:rPr>
        <w:t>Terms of SARs</w:t>
      </w:r>
      <w:r>
        <w:rPr>
          <w:rFonts w:ascii="Arial" w:cs="Arial" w:eastAsia="Arial" w:hAnsi="Arial"/>
          <w:sz w:val="16"/>
          <w:szCs w:val="16"/>
          <w:color w:val="auto"/>
        </w:rPr>
        <w:t>. The Committee will determine the terms of each SAR including, without limitation: (a) the number of Shares subject to the SAR;</w:t>
      </w:r>
    </w:p>
    <w:p>
      <w:pPr>
        <w:spacing w:after="0" w:line="50" w:lineRule="exact"/>
        <w:rPr>
          <w:sz w:val="20"/>
          <w:szCs w:val="20"/>
          <w:color w:val="auto"/>
        </w:rPr>
      </w:pPr>
    </w:p>
    <w:p>
      <w:pPr>
        <w:ind w:left="264" w:hanging="264"/>
        <w:spacing w:after="0"/>
        <w:tabs>
          <w:tab w:leader="none" w:pos="264"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Exercise Price and the time or times during which the SAR may be settled; (c) the consideration to be distributed on settlement of the SAR; and</w:t>
      </w:r>
    </w:p>
    <w:p>
      <w:pPr>
        <w:spacing w:after="0" w:line="32" w:lineRule="exact"/>
        <w:rPr>
          <w:rFonts w:ascii="Arial" w:cs="Arial" w:eastAsia="Arial" w:hAnsi="Arial"/>
          <w:sz w:val="16"/>
          <w:szCs w:val="16"/>
          <w:color w:val="auto"/>
        </w:rPr>
      </w:pPr>
    </w:p>
    <w:p>
      <w:pPr>
        <w:ind w:left="4" w:hanging="4"/>
        <w:spacing w:after="0" w:line="270" w:lineRule="auto"/>
        <w:tabs>
          <w:tab w:leader="none" w:pos="259"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74" w:lineRule="exact"/>
        <w:rPr>
          <w:sz w:val="20"/>
          <w:szCs w:val="20"/>
          <w:color w:val="auto"/>
        </w:rPr>
      </w:pPr>
    </w:p>
    <w:p>
      <w:pPr>
        <w:ind w:left="4" w:right="40"/>
        <w:spacing w:after="0" w:line="292"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u w:val="single" w:color="auto"/>
          <w:color w:val="auto"/>
        </w:rPr>
        <w:t>Exercise Period and Expiration Date</w:t>
      </w:r>
      <w:r>
        <w:rPr>
          <w:rFonts w:ascii="Arial" w:cs="Arial" w:eastAsia="Arial" w:hAnsi="Arial"/>
          <w:sz w:val="16"/>
          <w:szCs w:val="16"/>
          <w:color w:val="auto"/>
        </w:rPr>
        <w:t>. A SAR will be exercisable within the times or upon the occurrence of events determined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61" w:lineRule="exact"/>
        <w:rPr>
          <w:sz w:val="20"/>
          <w:szCs w:val="20"/>
          <w:color w:val="auto"/>
        </w:rPr>
      </w:pPr>
    </w:p>
    <w:p>
      <w:pPr>
        <w:ind w:left="4" w:right="40"/>
        <w:spacing w:after="0" w:line="25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spacing w:after="0" w:line="187" w:lineRule="exact"/>
        <w:rPr>
          <w:sz w:val="20"/>
          <w:szCs w:val="20"/>
          <w:color w:val="auto"/>
        </w:rPr>
      </w:pPr>
    </w:p>
    <w:p>
      <w:pPr>
        <w:ind w:left="4" w:right="700"/>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ind w:left="4" w:right="120" w:hanging="4"/>
        <w:spacing w:after="0" w:line="266" w:lineRule="auto"/>
        <w:tabs>
          <w:tab w:leader="none" w:pos="184"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that may be settled in cash, or by issuance of those Shares (which may consist of Restricted Stock). All RSUs shall be made pursuant to an Award Agreement.</w:t>
      </w:r>
    </w:p>
    <w:p>
      <w:pPr>
        <w:sectPr>
          <w:pgSz w:w="11900" w:h="16838" w:orient="portrait"/>
          <w:cols w:equalWidth="0" w:num="1">
            <w:col w:w="11004"/>
          </w:cols>
          <w:pgMar w:left="436" w:top="269" w:right="459" w:bottom="1440" w:gutter="0" w:footer="0" w:header="0"/>
        </w:sectPr>
      </w:pPr>
    </w:p>
    <w:bookmarkStart w:id="580" w:name="page581"/>
    <w:bookmarkEnd w:id="580"/>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 </w:t>
      </w:r>
      <w:r>
        <w:rPr>
          <w:rFonts w:ascii="Arial" w:cs="Arial" w:eastAsia="Arial" w:hAnsi="Arial"/>
          <w:sz w:val="16"/>
          <w:szCs w:val="16"/>
          <w:u w:val="single" w:color="auto"/>
          <w:color w:val="auto"/>
        </w:rPr>
        <w:t>Terms of RSUs</w:t>
      </w:r>
      <w:r>
        <w:rPr>
          <w:rFonts w:ascii="Arial" w:cs="Arial" w:eastAsia="Arial" w:hAnsi="Arial"/>
          <w:sz w:val="16"/>
          <w:szCs w:val="16"/>
          <w:color w:val="auto"/>
        </w:rPr>
        <w:t>. The Committee will determine the terms of an RSU including, without limitation: (a) the number of Shares subject to the RSU;</w:t>
      </w:r>
    </w:p>
    <w:p>
      <w:pPr>
        <w:spacing w:after="0" w:line="50" w:lineRule="exact"/>
        <w:rPr>
          <w:sz w:val="20"/>
          <w:szCs w:val="20"/>
          <w:color w:val="auto"/>
        </w:rPr>
      </w:pPr>
    </w:p>
    <w:p>
      <w:pPr>
        <w:ind w:left="4" w:hanging="4"/>
        <w:spacing w:after="0" w:line="288" w:lineRule="auto"/>
        <w:tabs>
          <w:tab w:leader="none" w:pos="259" w:val="left"/>
        </w:tabs>
        <w:numPr>
          <w:ilvl w:val="0"/>
          <w:numId w:val="494"/>
        </w:numPr>
        <w:rPr>
          <w:rFonts w:ascii="Arial" w:cs="Arial" w:eastAsia="Arial" w:hAnsi="Arial"/>
          <w:sz w:val="16"/>
          <w:szCs w:val="16"/>
          <w:color w:val="auto"/>
        </w:rPr>
      </w:pPr>
      <w:r>
        <w:rPr>
          <w:rFonts w:ascii="Arial" w:cs="Arial" w:eastAsia="Arial" w:hAnsi="Arial"/>
          <w:sz w:val="16"/>
          <w:szCs w:val="16"/>
          <w:color w:val="auto"/>
        </w:rPr>
        <w:t>the time or times during which the RSU may be settled; (c) the consideration to be distributed on settlement; and (d) the effect of the Participant’s termination of Service on each RSU; provided that no RSU shall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 (z)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64" w:lineRule="exact"/>
        <w:rPr>
          <w:sz w:val="20"/>
          <w:szCs w:val="20"/>
          <w:color w:val="auto"/>
        </w:rPr>
      </w:pPr>
    </w:p>
    <w:p>
      <w:pPr>
        <w:ind w:left="4" w:right="180"/>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w:t>
      </w:r>
    </w:p>
    <w:p>
      <w:pPr>
        <w:spacing w:after="0" w:line="180" w:lineRule="exact"/>
        <w:rPr>
          <w:sz w:val="20"/>
          <w:szCs w:val="20"/>
          <w:color w:val="auto"/>
        </w:rPr>
      </w:pPr>
    </w:p>
    <w:p>
      <w:pPr>
        <w:ind w:left="4" w:right="680"/>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ind w:left="4" w:right="160" w:hanging="4"/>
        <w:spacing w:after="0" w:line="314" w:lineRule="auto"/>
        <w:tabs>
          <w:tab w:leader="none" w:pos="274" w:val="left"/>
        </w:tabs>
        <w:numPr>
          <w:ilvl w:val="0"/>
          <w:numId w:val="4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 AWARDS</w:t>
      </w:r>
      <w:r>
        <w:rPr>
          <w:rFonts w:ascii="Arial" w:cs="Arial" w:eastAsia="Arial" w:hAnsi="Arial"/>
          <w:sz w:val="16"/>
          <w:szCs w:val="16"/>
          <w:color w:val="auto"/>
        </w:rPr>
        <w:t>. A Performance Award is an award to an eligible Employee, Consultant, or Director of the Company or any Parent,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Affiliate of a cash bonus or an award of Performance Shares denominated in Shares that may be settled in cash, or by issuance of those Shares (which may consist of Restricted Stock). Grants of Performance Awards shall be made pursuant to an Award Agreement.</w:t>
      </w:r>
    </w:p>
    <w:p>
      <w:pPr>
        <w:spacing w:after="0" w:line="142"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10.1(a), 10.1(b), and 10.1(c) below.</w:t>
      </w:r>
    </w:p>
    <w:p>
      <w:pPr>
        <w:spacing w:after="0" w:line="166" w:lineRule="exact"/>
        <w:rPr>
          <w:sz w:val="20"/>
          <w:szCs w:val="20"/>
          <w:color w:val="auto"/>
        </w:rPr>
      </w:pPr>
    </w:p>
    <w:p>
      <w:pPr>
        <w:ind w:left="4" w:right="20" w:hanging="4"/>
        <w:spacing w:after="0" w:line="272" w:lineRule="auto"/>
        <w:tabs>
          <w:tab w:leader="none" w:pos="248"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shares of Common Stock or, if set forth in the instrument evidencing the Award,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w:t>
      </w:r>
    </w:p>
    <w:p>
      <w:pPr>
        <w:spacing w:after="0" w:line="177" w:lineRule="exact"/>
        <w:rPr>
          <w:rFonts w:ascii="Arial" w:cs="Arial" w:eastAsia="Arial" w:hAnsi="Arial"/>
          <w:sz w:val="17"/>
          <w:szCs w:val="17"/>
          <w:color w:val="auto"/>
        </w:rPr>
      </w:pPr>
    </w:p>
    <w:p>
      <w:pPr>
        <w:ind w:left="4" w:right="160" w:hanging="4"/>
        <w:spacing w:after="0" w:line="296" w:lineRule="auto"/>
        <w:tabs>
          <w:tab w:leader="none" w:pos="259" w:val="left"/>
        </w:tabs>
        <w:numPr>
          <w:ilvl w:val="0"/>
          <w:numId w:val="496"/>
        </w:numPr>
        <w:rPr>
          <w:rFonts w:ascii="Arial" w:cs="Arial" w:eastAsia="Arial" w:hAnsi="Arial"/>
          <w:sz w:val="16"/>
          <w:szCs w:val="16"/>
          <w:color w:val="auto"/>
        </w:rPr>
      </w:pPr>
      <w:r>
        <w:rPr>
          <w:rFonts w:ascii="Arial" w:cs="Arial" w:eastAsia="Arial" w:hAnsi="Arial"/>
          <w:sz w:val="16"/>
          <w:szCs w:val="16"/>
          <w:u w:val="single" w:color="auto"/>
          <w:color w:val="auto"/>
        </w:rPr>
        <w:t>Performance</w:t>
      </w:r>
      <w:r>
        <w:rPr>
          <w:rFonts w:ascii="Arial" w:cs="Arial" w:eastAsia="Arial" w:hAnsi="Arial"/>
          <w:sz w:val="16"/>
          <w:szCs w:val="16"/>
          <w:color w:val="auto"/>
        </w:rPr>
        <w:t xml:space="preserve"> Units.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w:t>
      </w:r>
    </w:p>
    <w:p>
      <w:pPr>
        <w:spacing w:after="0" w:line="161" w:lineRule="exact"/>
        <w:rPr>
          <w:rFonts w:ascii="Arial" w:cs="Arial" w:eastAsia="Arial" w:hAnsi="Arial"/>
          <w:sz w:val="16"/>
          <w:szCs w:val="16"/>
          <w:color w:val="auto"/>
        </w:rPr>
      </w:pPr>
    </w:p>
    <w:p>
      <w:pPr>
        <w:ind w:left="4" w:right="20" w:hanging="4"/>
        <w:spacing w:after="0" w:line="263" w:lineRule="auto"/>
        <w:tabs>
          <w:tab w:leader="none" w:pos="248" w:val="left"/>
        </w:tabs>
        <w:numPr>
          <w:ilvl w:val="0"/>
          <w:numId w:val="496"/>
        </w:numPr>
        <w:rPr>
          <w:rFonts w:ascii="Arial" w:cs="Arial" w:eastAsia="Arial" w:hAnsi="Arial"/>
          <w:sz w:val="18"/>
          <w:szCs w:val="18"/>
          <w:color w:val="auto"/>
        </w:rPr>
      </w:pPr>
      <w:r>
        <w:rPr>
          <w:rFonts w:ascii="Arial" w:cs="Arial" w:eastAsia="Arial" w:hAnsi="Arial"/>
          <w:sz w:val="18"/>
          <w:szCs w:val="18"/>
          <w:u w:val="single" w:color="auto"/>
          <w:color w:val="auto"/>
        </w:rPr>
        <w:t>Cash-Settled Performance Awards</w:t>
      </w:r>
      <w:r>
        <w:rPr>
          <w:rFonts w:ascii="Arial" w:cs="Arial" w:eastAsia="Arial" w:hAnsi="Arial"/>
          <w:sz w:val="18"/>
          <w:szCs w:val="18"/>
          <w:color w:val="auto"/>
        </w:rPr>
        <w:t>. The Committee may also grant cash-settled Performance Awards to Participants under the terms of this Plan. Such awards will be based on the attainment of performance goals using the Performance Criteria within this Plan that are established by the Committee for the relevant performance period.</w:t>
      </w:r>
    </w:p>
    <w:p>
      <w:pPr>
        <w:spacing w:after="0" w:line="180" w:lineRule="exact"/>
        <w:rPr>
          <w:sz w:val="20"/>
          <w:szCs w:val="20"/>
          <w:color w:val="auto"/>
        </w:rPr>
      </w:pPr>
    </w:p>
    <w:p>
      <w:pPr>
        <w:ind w:left="4" w:right="160"/>
        <w:spacing w:after="0" w:line="303"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u w:val="single" w:color="auto"/>
          <w:color w:val="auto"/>
        </w:rPr>
        <w:t>Terms of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Awards. The Committee will determine, and each Award Agreement shall set forth, the terms of each Performance Award</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w:t>
      </w:r>
    </w:p>
    <w:p>
      <w:pPr>
        <w:sectPr>
          <w:pgSz w:w="11900" w:h="16838" w:orient="portrait"/>
          <w:cols w:equalWidth="0" w:num="1">
            <w:col w:w="10984"/>
          </w:cols>
          <w:pgMar w:left="436" w:top="269" w:right="479" w:bottom="1440" w:gutter="0" w:footer="0" w:header="0"/>
        </w:sectPr>
      </w:pPr>
    </w:p>
    <w:bookmarkStart w:id="581" w:name="page582"/>
    <w:bookmarkEnd w:id="581"/>
    <w:p>
      <w:pPr>
        <w:jc w:val="both"/>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Award. In establishing Performance Factors and the Performance Period the Committee will: (x) determine the nature, length and starting date of any Performance Period; (y) select from among the Performance Factors to be used; and (z) determine the number of Shares deemed subject to the award of Performance Shares. Prior to settlement the Committee shall determine the extent to which Performance Awards have been earned.</w:t>
      </w:r>
    </w:p>
    <w:p>
      <w:pPr>
        <w:spacing w:after="0" w:line="2"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Performance Periods may overlap and Participants may participate simultaneously with respect to Performance Awards that are subject to different Performance Periods and different performance goals and other criteria. No Participant will be eligible to receive more than $10,000,000 in Performance Awards in any calendar year under this Plan.</w:t>
      </w:r>
    </w:p>
    <w:p>
      <w:pPr>
        <w:spacing w:after="0" w:line="186" w:lineRule="exact"/>
        <w:rPr>
          <w:sz w:val="20"/>
          <w:szCs w:val="20"/>
          <w:color w:val="auto"/>
        </w:rPr>
      </w:pPr>
    </w:p>
    <w:p>
      <w:pPr>
        <w:ind w:left="4" w:right="720"/>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ind w:left="4" w:right="60" w:hanging="4"/>
        <w:spacing w:after="0" w:line="266" w:lineRule="auto"/>
        <w:tabs>
          <w:tab w:leader="none" w:pos="264"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purchased pursuant to this Plan may be made in cash or by check</w:t>
      </w:r>
      <w:r>
        <w:rPr>
          <w:rFonts w:ascii="Arial" w:cs="Arial" w:eastAsia="Arial" w:hAnsi="Arial"/>
          <w:sz w:val="18"/>
          <w:szCs w:val="18"/>
          <w:b w:val="1"/>
          <w:bCs w:val="1"/>
          <w:color w:val="auto"/>
        </w:rPr>
        <w:t xml:space="preserve"> </w:t>
      </w:r>
      <w:r>
        <w:rPr>
          <w:rFonts w:ascii="Arial" w:cs="Arial" w:eastAsia="Arial" w:hAnsi="Arial"/>
          <w:sz w:val="18"/>
          <w:szCs w:val="18"/>
          <w:color w:val="auto"/>
        </w:rPr>
        <w:t>or, where approved for the Participant by the Committee and where permitted by law (and to the extent not otherwise set forth in the applicable Award Agreement):</w:t>
      </w:r>
    </w:p>
    <w:p>
      <w:pPr>
        <w:spacing w:after="0" w:line="72" w:lineRule="exact"/>
        <w:rPr>
          <w:sz w:val="20"/>
          <w:szCs w:val="20"/>
          <w:color w:val="auto"/>
        </w:rPr>
      </w:pPr>
    </w:p>
    <w:p>
      <w:pPr>
        <w:ind w:left="244" w:hanging="244"/>
        <w:spacing w:after="0"/>
        <w:tabs>
          <w:tab w:leader="none" w:pos="24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by cancellation of indebtedness of the Company to the Participant;</w:t>
      </w:r>
    </w:p>
    <w:p>
      <w:pPr>
        <w:spacing w:after="0" w:line="225" w:lineRule="exact"/>
        <w:rPr>
          <w:rFonts w:ascii="Arial" w:cs="Arial" w:eastAsia="Arial" w:hAnsi="Arial"/>
          <w:sz w:val="18"/>
          <w:szCs w:val="18"/>
          <w:color w:val="auto"/>
        </w:rPr>
      </w:pPr>
    </w:p>
    <w:p>
      <w:pPr>
        <w:ind w:left="4" w:right="600" w:hanging="4"/>
        <w:spacing w:after="0" w:line="277" w:lineRule="auto"/>
        <w:tabs>
          <w:tab w:leader="none" w:pos="259" w:val="left"/>
        </w:tabs>
        <w:numPr>
          <w:ilvl w:val="0"/>
          <w:numId w:val="498"/>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by the Participant that have a Fair Market Value on the date of surrender equal to the aggregate exercise price of the Shares as to which said Award will be exercised or settled;</w:t>
      </w:r>
    </w:p>
    <w:p>
      <w:pPr>
        <w:spacing w:after="0" w:line="170" w:lineRule="exact"/>
        <w:rPr>
          <w:rFonts w:ascii="Arial" w:cs="Arial" w:eastAsia="Arial" w:hAnsi="Arial"/>
          <w:sz w:val="18"/>
          <w:szCs w:val="18"/>
          <w:color w:val="auto"/>
        </w:rPr>
      </w:pPr>
    </w:p>
    <w:p>
      <w:pPr>
        <w:ind w:left="4" w:right="120" w:hanging="4"/>
        <w:spacing w:after="0" w:line="277" w:lineRule="auto"/>
        <w:tabs>
          <w:tab w:leader="none" w:pos="249" w:val="left"/>
        </w:tabs>
        <w:numPr>
          <w:ilvl w:val="0"/>
          <w:numId w:val="498"/>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for services rendered or to be rendered to the Company or a Parent or Subsidiary of the Company;</w:t>
      </w:r>
    </w:p>
    <w:p>
      <w:pPr>
        <w:spacing w:after="0" w:line="170" w:lineRule="exact"/>
        <w:rPr>
          <w:rFonts w:ascii="Arial" w:cs="Arial" w:eastAsia="Arial" w:hAnsi="Arial"/>
          <w:sz w:val="18"/>
          <w:szCs w:val="18"/>
          <w:color w:val="auto"/>
        </w:rPr>
      </w:pPr>
    </w:p>
    <w:p>
      <w:pPr>
        <w:ind w:left="4" w:right="40" w:hanging="4"/>
        <w:spacing w:after="0" w:line="277" w:lineRule="auto"/>
        <w:tabs>
          <w:tab w:leader="none" w:pos="259" w:val="left"/>
        </w:tabs>
        <w:numPr>
          <w:ilvl w:val="0"/>
          <w:numId w:val="498"/>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221" w:lineRule="exact"/>
        <w:rPr>
          <w:sz w:val="20"/>
          <w:szCs w:val="20"/>
          <w:color w:val="auto"/>
        </w:rPr>
      </w:pPr>
    </w:p>
    <w:p>
      <w:pPr>
        <w:ind w:left="4" w:right="400" w:hanging="4"/>
        <w:spacing w:after="0" w:line="261" w:lineRule="auto"/>
        <w:tabs>
          <w:tab w:leader="none" w:pos="274"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GRANTS TO NON-EMPLOYEE DIRECTORS</w:t>
      </w:r>
      <w:r>
        <w:rPr>
          <w:rFonts w:ascii="Arial" w:cs="Arial" w:eastAsia="Arial" w:hAnsi="Arial"/>
          <w:sz w:val="18"/>
          <w:szCs w:val="18"/>
          <w:color w:val="auto"/>
        </w:rPr>
        <w:t>. Non-Employee Directors are eligible to receive any type of Award offered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ISOs. Awards pursuant to this Section 12 may be automatically made pursuant to policy adopted by the Board, or made from time to time as determined in the discretion of the Board. The aggregate number of Shares subject to Awards granted to a Non- Employee Director pursuant to this Section 12 in any calendar year shall not exceed 100,000.</w:t>
      </w:r>
    </w:p>
    <w:p>
      <w:pPr>
        <w:spacing w:after="0" w:line="180" w:lineRule="exact"/>
        <w:rPr>
          <w:sz w:val="20"/>
          <w:szCs w:val="20"/>
          <w:color w:val="auto"/>
        </w:rPr>
      </w:pPr>
    </w:p>
    <w:p>
      <w:pPr>
        <w:ind w:left="4" w:right="400"/>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 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re-elected as a member of the Board will be eligible to receive an Award under this Section 12.</w:t>
      </w:r>
    </w:p>
    <w:p>
      <w:pPr>
        <w:spacing w:after="0" w:line="162"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With respect to Options and SARs, the exercise price granted to Non-Employee Directors shall not be less than the Fair Market Value of the Shares at the time that such Option or SAR is granted.</w:t>
      </w:r>
    </w:p>
    <w:p>
      <w:pPr>
        <w:spacing w:after="0" w:line="176" w:lineRule="exact"/>
        <w:rPr>
          <w:sz w:val="20"/>
          <w:szCs w:val="20"/>
          <w:color w:val="auto"/>
        </w:rPr>
      </w:pPr>
    </w:p>
    <w:p>
      <w:pPr>
        <w:ind w:left="4" w:right="20"/>
        <w:spacing w:after="0" w:line="289"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u w:val="single" w:color="auto"/>
          <w:color w:val="auto"/>
        </w:rPr>
        <w:t>Election to receive Awards in Lieu of Cash</w:t>
      </w:r>
      <w:r>
        <w:rPr>
          <w:rFonts w:ascii="Arial" w:cs="Arial" w:eastAsia="Arial" w:hAnsi="Arial"/>
          <w:sz w:val="17"/>
          <w:szCs w:val="17"/>
          <w:color w:val="auto"/>
        </w:rPr>
        <w:t>. A Non-Employee Director may elect to receive his or her annual retainer payments and/or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fees from the Company in the form of cash or Awards or a combination thereof, as determined by the Committee. Such Awards shall be issued under the Plan. An election under this Section 12.3 shall be filed with the Company on the form prescribed by the Company.</w:t>
      </w:r>
    </w:p>
    <w:p>
      <w:pPr>
        <w:sectPr>
          <w:pgSz w:w="11900" w:h="16838" w:orient="portrait"/>
          <w:cols w:equalWidth="0" w:num="1">
            <w:col w:w="11004"/>
          </w:cols>
          <w:pgMar w:left="436" w:top="273" w:right="459" w:bottom="1440" w:gutter="0" w:footer="0" w:header="0"/>
        </w:sectPr>
      </w:pPr>
    </w:p>
    <w:bookmarkStart w:id="582" w:name="page583"/>
    <w:bookmarkEnd w:id="582"/>
    <w:p>
      <w:pPr>
        <w:ind w:left="264" w:hanging="264"/>
        <w:spacing w:after="0"/>
        <w:tabs>
          <w:tab w:leader="none" w:pos="264"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TAXES</w:t>
      </w:r>
      <w:r>
        <w:rPr>
          <w:rFonts w:ascii="Arial" w:cs="Arial" w:eastAsia="Arial" w:hAnsi="Arial"/>
          <w:sz w:val="18"/>
          <w:szCs w:val="18"/>
          <w:u w:val="single" w:color="auto"/>
          <w:color w:val="auto"/>
        </w:rPr>
        <w:t>.</w:t>
      </w:r>
    </w:p>
    <w:p>
      <w:pPr>
        <w:spacing w:after="0" w:line="225"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Whenever Shares are to be issued in satisfaction of Awards granted under this Plan or a tax event occurs,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require the Participant to remit to the Company, or to the Parent, Subsidiary or applicable Affiliate employing the Participant, an amount sufficient to satisfy applicable U.S. federal, state, local and international withholding tax requirements or any other tax or social insurance liability legally due from the Participant prior to the delivery of Shares pursuant to exercise or settlement of any Award. Whenever payments in satisfaction of Awards granted under this Plan are to be made in cash, such payment will be net of an amount sufficient to satisfy applicable U.S. federal, state, local and international withholding tax or social insurance requirements or any other tax liability legally due from the Participant.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72"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u w:val="single" w:color="auto"/>
          <w:color w:val="auto"/>
        </w:rPr>
        <w:t>Stock Withholding</w:t>
      </w:r>
      <w:r>
        <w:rPr>
          <w:rFonts w:ascii="Arial" w:cs="Arial" w:eastAsia="Arial" w:hAnsi="Arial"/>
          <w:sz w:val="16"/>
          <w:szCs w:val="16"/>
          <w:color w:val="auto"/>
        </w:rPr>
        <w:t>. The Committee, or its delegate(s), as permitted by applicable law, in its sole discretion and pursuant to such procedures as it</w:t>
      </w:r>
      <w:r>
        <w:rPr>
          <w:rFonts w:ascii="Arial" w:cs="Arial" w:eastAsia="Arial" w:hAnsi="Arial"/>
          <w:sz w:val="16"/>
          <w:szCs w:val="16"/>
          <w:b w:val="1"/>
          <w:bCs w:val="1"/>
          <w:color w:val="auto"/>
        </w:rPr>
        <w:t xml:space="preserve"> </w:t>
      </w:r>
      <w:r>
        <w:rPr>
          <w:rFonts w:ascii="Arial" w:cs="Arial" w:eastAsia="Arial" w:hAnsi="Arial"/>
          <w:sz w:val="16"/>
          <w:szCs w:val="16"/>
          <w:color w:val="auto"/>
        </w:rPr>
        <w:t>may specify from time to time and to limitations of local law, may require or permit a Participant to satisfy such tax withholding obligation or any other tax liability legally due from the Participant, in whole or in part by (without limitation) (a) paying cash, (b) electing to have the Company withhold otherwise deliverable cash or Shares having a Fair Market Value equal to the minimum statutory amount required to be withheld, (c) delivering to the Company already-owned shares of the Company’s common stock having a Fair Market Value equal to the minimum amount required to be withheld or</w:t>
      </w:r>
    </w:p>
    <w:p>
      <w:pPr>
        <w:spacing w:after="0" w:line="2" w:lineRule="exact"/>
        <w:rPr>
          <w:sz w:val="20"/>
          <w:szCs w:val="20"/>
          <w:color w:val="auto"/>
        </w:rPr>
      </w:pPr>
    </w:p>
    <w:p>
      <w:pPr>
        <w:ind w:left="4" w:right="240" w:hanging="4"/>
        <w:spacing w:after="0" w:line="260" w:lineRule="auto"/>
        <w:tabs>
          <w:tab w:leader="none" w:pos="259" w:val="left"/>
        </w:tabs>
        <w:numPr>
          <w:ilvl w:val="0"/>
          <w:numId w:val="501"/>
        </w:numPr>
        <w:rPr>
          <w:rFonts w:ascii="Arial" w:cs="Arial" w:eastAsia="Arial" w:hAnsi="Arial"/>
          <w:sz w:val="18"/>
          <w:szCs w:val="18"/>
          <w:color w:val="auto"/>
        </w:rPr>
      </w:pPr>
      <w:r>
        <w:rPr>
          <w:rFonts w:ascii="Arial" w:cs="Arial" w:eastAsia="Arial" w:hAnsi="Arial"/>
          <w:sz w:val="18"/>
          <w:szCs w:val="18"/>
          <w:color w:val="auto"/>
        </w:rPr>
        <w:t>withholding from proceeds of the sale of otherwise deliverable Shares acquired pursuant to an Award either through a voluntary sale or through a mandatory sale arranged by the Company for the minimum amount required to be withheld.</w:t>
      </w:r>
    </w:p>
    <w:p>
      <w:pPr>
        <w:spacing w:after="0" w:line="181" w:lineRule="exact"/>
        <w:rPr>
          <w:sz w:val="20"/>
          <w:szCs w:val="20"/>
          <w:color w:val="auto"/>
        </w:rPr>
      </w:pPr>
    </w:p>
    <w:p>
      <w:pPr>
        <w:ind w:left="264" w:hanging="264"/>
        <w:spacing w:after="0"/>
        <w:tabs>
          <w:tab w:leader="none" w:pos="264"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u w:val="single" w:color="auto"/>
          <w:color w:val="auto"/>
        </w:rPr>
        <w:t>.</w:t>
      </w:r>
    </w:p>
    <w:p>
      <w:pPr>
        <w:spacing w:after="0" w:line="225" w:lineRule="exact"/>
        <w:rPr>
          <w:sz w:val="20"/>
          <w:szCs w:val="20"/>
          <w:color w:val="auto"/>
        </w:rPr>
      </w:pPr>
    </w:p>
    <w:p>
      <w:pPr>
        <w:ind w:left="4" w:right="100"/>
        <w:spacing w:after="0" w:line="286"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u w:val="single" w:color="auto"/>
          <w:color w:val="auto"/>
        </w:rPr>
        <w:t>Transfer Generally</w:t>
      </w:r>
      <w:r>
        <w:rPr>
          <w:rFonts w:ascii="Arial" w:cs="Arial" w:eastAsia="Arial" w:hAnsi="Arial"/>
          <w:sz w:val="16"/>
          <w:szCs w:val="16"/>
          <w:color w:val="auto"/>
        </w:rPr>
        <w:t>. Unless determined otherwise by the Committee or pursuant to Section 14.2, an Award may not be sold, pledged, 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w:t>
      </w:r>
    </w:p>
    <w:p>
      <w:pPr>
        <w:spacing w:after="0" w:line="2" w:lineRule="exact"/>
        <w:rPr>
          <w:sz w:val="20"/>
          <w:szCs w:val="20"/>
          <w:color w:val="auto"/>
        </w:rPr>
      </w:pPr>
    </w:p>
    <w:p>
      <w:pPr>
        <w:ind w:left="4" w:right="220" w:hanging="4"/>
        <w:spacing w:after="0" w:line="260" w:lineRule="auto"/>
        <w:tabs>
          <w:tab w:leader="none" w:pos="269"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Participant’s guardian or legal representative; (b) after the Participant’s death, by the legal representative of the Participant’s heirs or legatees; and (c) in the case of all awards except ISOs, by a Permitted Transferee.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u w:val="single" w:color="auto"/>
          <w:color w:val="auto"/>
        </w:rPr>
        <w:t>Award Transfer Program</w:t>
      </w:r>
      <w:r>
        <w:rPr>
          <w:rFonts w:ascii="Arial" w:cs="Arial" w:eastAsia="Arial" w:hAnsi="Arial"/>
          <w:sz w:val="16"/>
          <w:szCs w:val="16"/>
          <w:color w:val="auto"/>
        </w:rPr>
        <w:t>. Notwithstanding any contrary provision of the Plan, the Committee shall have all discretion and authority to determine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implement the terms and conditions of any Award Transfer Program instituted pursuant to this Section 14.2 and shall have the authority to amend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terms of any Award participating, or otherwise eligible to participate in, the Award Transfer Program, including (but not limited to) the authority to</w:t>
      </w:r>
    </w:p>
    <w:p>
      <w:pPr>
        <w:spacing w:after="0" w:line="32" w:lineRule="exact"/>
        <w:rPr>
          <w:sz w:val="20"/>
          <w:szCs w:val="20"/>
          <w:color w:val="auto"/>
        </w:rPr>
      </w:pPr>
    </w:p>
    <w:p>
      <w:pPr>
        <w:ind w:left="4" w:hanging="4"/>
        <w:spacing w:after="0" w:line="290" w:lineRule="auto"/>
        <w:tabs>
          <w:tab w:leader="none" w:pos="249" w:val="left"/>
        </w:tabs>
        <w:numPr>
          <w:ilvl w:val="0"/>
          <w:numId w:val="504"/>
        </w:numPr>
        <w:rPr>
          <w:rFonts w:ascii="Arial" w:cs="Arial" w:eastAsia="Arial" w:hAnsi="Arial"/>
          <w:sz w:val="16"/>
          <w:szCs w:val="16"/>
          <w:color w:val="auto"/>
        </w:rPr>
      </w:pPr>
      <w:r>
        <w:rPr>
          <w:rFonts w:ascii="Arial" w:cs="Arial" w:eastAsia="Arial" w:hAnsi="Arial"/>
          <w:sz w:val="16"/>
          <w:szCs w:val="16"/>
          <w:color w:val="auto"/>
        </w:rPr>
        <w:t>amend (including to extend) the expiration date, post-termination exercise period and/or forfeiture conditions of any such Award, (b) amend or remove any provisions of the Award relating to the Award holder’s continued Service to the Company or its Parent, Subsidiary, or Affiliate, (c) amend the permissible payment methods with respect to the exercise or purchase of any such Award, (d) amend the adjustments to be implemented in the event of changes in the capitalization and other similar events with respect to such Award, and (e) make such other changes to the terms of such Award as the Committee deems necessary or appropriate in its sole discretion. Notwithstanding anything to the contrary in the Plan, in no event will the Committee have the right to determine and implement the terms and conditions of any Award Transfer Program without stockholder approval.</w:t>
      </w:r>
    </w:p>
    <w:p>
      <w:pPr>
        <w:spacing w:after="0" w:line="160" w:lineRule="exact"/>
        <w:rPr>
          <w:sz w:val="20"/>
          <w:szCs w:val="20"/>
          <w:color w:val="auto"/>
        </w:rPr>
      </w:pPr>
    </w:p>
    <w:p>
      <w:pPr>
        <w:ind w:left="264" w:hanging="264"/>
        <w:spacing w:after="0"/>
        <w:tabs>
          <w:tab w:leader="none" w:pos="264"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u w:val="single" w:color="auto"/>
          <w:color w:val="auto"/>
        </w:rPr>
        <w:t>.</w:t>
      </w:r>
    </w:p>
    <w:p>
      <w:pPr>
        <w:spacing w:after="0" w:line="225" w:lineRule="exact"/>
        <w:rPr>
          <w:sz w:val="20"/>
          <w:szCs w:val="20"/>
          <w:color w:val="auto"/>
        </w:rPr>
      </w:pPr>
    </w:p>
    <w:p>
      <w:pPr>
        <w:ind w:left="4"/>
        <w:spacing w:after="0" w:line="255"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u w:val="single" w:color="auto"/>
          <w:color w:val="auto"/>
        </w:rPr>
        <w:t>Voting and Dividends</w:t>
      </w:r>
      <w:r>
        <w:rPr>
          <w:rFonts w:ascii="Arial" w:cs="Arial" w:eastAsia="Arial" w:hAnsi="Arial"/>
          <w:sz w:val="18"/>
          <w:szCs w:val="18"/>
          <w:color w:val="auto"/>
        </w:rPr>
        <w:t>. No Participant will have any of the rights of a stockholder with respect to any Shares until the Shares are issued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except for any dividend equivalent rights permitted by an applicable Award Agreement (“</w:t>
      </w:r>
      <w:r>
        <w:rPr>
          <w:rFonts w:ascii="Arial" w:cs="Arial" w:eastAsia="Arial" w:hAnsi="Arial"/>
          <w:sz w:val="18"/>
          <w:szCs w:val="18"/>
          <w:b w:val="1"/>
          <w:bCs w:val="1"/>
          <w:i w:val="1"/>
          <w:iCs w:val="1"/>
          <w:color w:val="auto"/>
        </w:rPr>
        <w:t>Dividend Equivalent Rights</w:t>
      </w:r>
      <w:r>
        <w:rPr>
          <w:rFonts w:ascii="Arial" w:cs="Arial" w:eastAsia="Arial" w:hAnsi="Arial"/>
          <w:sz w:val="18"/>
          <w:szCs w:val="18"/>
          <w:color w:val="auto"/>
        </w:rPr>
        <w:t xml:space="preserve">”).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w:t>
      </w:r>
    </w:p>
    <w:p>
      <w:pPr>
        <w:sectPr>
          <w:pgSz w:w="11900" w:h="16838" w:orient="portrait"/>
          <w:cols w:equalWidth="0" w:num="1">
            <w:col w:w="10944"/>
          </w:cols>
          <w:pgMar w:left="436" w:top="269" w:right="519" w:bottom="1440" w:gutter="0" w:footer="0" w:header="0"/>
        </w:sectPr>
      </w:pPr>
    </w:p>
    <w:bookmarkStart w:id="583" w:name="page584"/>
    <w:bookmarkEnd w:id="583"/>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will have no right to retain such stock dividends or stock distributions with respect to Shares that are repurchased at the Participant’s Purchase Price or Exercise Price, as the case may be, pursuant to Section 15.2.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Such Dividend Equivalent Rights, if any, shall be credited to the Participant in the form of additional whole Shares as of the date of payment of such cash dividends on Shares.</w:t>
      </w:r>
    </w:p>
    <w:p>
      <w:pPr>
        <w:spacing w:after="0" w:line="160"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 repurchase (a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of Repurchase</w:t>
      </w:r>
      <w:r>
        <w:rPr>
          <w:rFonts w:ascii="Arial" w:cs="Arial" w:eastAsia="Arial" w:hAnsi="Arial"/>
          <w:sz w:val="18"/>
          <w:szCs w:val="18"/>
          <w:color w:val="auto"/>
        </w:rPr>
        <w:t>”) a portion of any or all Unvested Shares held by a Participant following such Participant’s termination of Service at any time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83" w:lineRule="exact"/>
        <w:rPr>
          <w:sz w:val="20"/>
          <w:szCs w:val="20"/>
          <w:color w:val="auto"/>
        </w:rPr>
      </w:pPr>
    </w:p>
    <w:p>
      <w:pPr>
        <w:ind w:left="4" w:right="20" w:hanging="4"/>
        <w:spacing w:after="0" w:line="303" w:lineRule="auto"/>
        <w:tabs>
          <w:tab w:leader="none" w:pos="274" w:val="left"/>
        </w:tabs>
        <w:numPr>
          <w:ilvl w:val="0"/>
          <w:numId w:val="5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CERTIFICATES</w:t>
      </w:r>
      <w:r>
        <w:rPr>
          <w:rFonts w:ascii="Arial" w:cs="Arial" w:eastAsia="Arial" w:hAnsi="Arial"/>
          <w:sz w:val="16"/>
          <w:szCs w:val="16"/>
          <w:color w:val="auto"/>
        </w:rPr>
        <w:t>. All Shares or other securities whether or not certificated, delivered under this Plan will be subject to such stock transfer orders,</w:t>
      </w:r>
      <w:r>
        <w:rPr>
          <w:rFonts w:ascii="Arial" w:cs="Arial" w:eastAsia="Arial" w:hAnsi="Arial"/>
          <w:sz w:val="16"/>
          <w:szCs w:val="16"/>
          <w:b w:val="1"/>
          <w:bCs w:val="1"/>
          <w:color w:val="auto"/>
        </w:rPr>
        <w:t xml:space="preserve"> </w:t>
      </w:r>
      <w:r>
        <w:rPr>
          <w:rFonts w:ascii="Arial" w:cs="Arial" w:eastAsia="Arial" w:hAnsi="Arial"/>
          <w:sz w:val="16"/>
          <w:szCs w:val="16"/>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50" w:lineRule="exact"/>
        <w:rPr>
          <w:rFonts w:ascii="Arial" w:cs="Arial" w:eastAsia="Arial" w:hAnsi="Arial"/>
          <w:sz w:val="16"/>
          <w:szCs w:val="16"/>
          <w:b w:val="1"/>
          <w:bCs w:val="1"/>
          <w:color w:val="auto"/>
        </w:rPr>
      </w:pPr>
    </w:p>
    <w:p>
      <w:pPr>
        <w:ind w:left="4" w:right="20" w:hanging="4"/>
        <w:spacing w:after="0" w:line="269" w:lineRule="auto"/>
        <w:tabs>
          <w:tab w:leader="none" w:pos="274" w:val="left"/>
        </w:tabs>
        <w:numPr>
          <w:ilvl w:val="0"/>
          <w:numId w:val="5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ESCROW; PLEDGE OF SHARES</w:t>
      </w:r>
      <w:r>
        <w:rPr>
          <w:rFonts w:ascii="Arial" w:cs="Arial" w:eastAsia="Arial" w:hAnsi="Arial"/>
          <w:sz w:val="17"/>
          <w:szCs w:val="17"/>
          <w:color w:val="auto"/>
        </w:rPr>
        <w:t>. To enforce any restrictions on a Participant’s Shares, the Committee may require the Participant to deposit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81" w:lineRule="exact"/>
        <w:rPr>
          <w:rFonts w:ascii="Arial" w:cs="Arial" w:eastAsia="Arial" w:hAnsi="Arial"/>
          <w:sz w:val="17"/>
          <w:szCs w:val="17"/>
          <w:b w:val="1"/>
          <w:bCs w:val="1"/>
          <w:color w:val="auto"/>
        </w:rPr>
      </w:pPr>
    </w:p>
    <w:p>
      <w:pPr>
        <w:ind w:left="4" w:hanging="4"/>
        <w:spacing w:after="0" w:line="258" w:lineRule="auto"/>
        <w:tabs>
          <w:tab w:leader="none" w:pos="274"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w:t>
      </w:r>
    </w:p>
    <w:p>
      <w:pPr>
        <w:spacing w:after="0" w:line="183" w:lineRule="exact"/>
        <w:rPr>
          <w:rFonts w:ascii="Arial" w:cs="Arial" w:eastAsia="Arial" w:hAnsi="Arial"/>
          <w:sz w:val="18"/>
          <w:szCs w:val="18"/>
          <w:b w:val="1"/>
          <w:bCs w:val="1"/>
          <w:color w:val="auto"/>
        </w:rPr>
      </w:pPr>
    </w:p>
    <w:p>
      <w:pPr>
        <w:ind w:left="4" w:hanging="4"/>
        <w:spacing w:after="0" w:line="289" w:lineRule="auto"/>
        <w:tabs>
          <w:tab w:leader="none" w:pos="274" w:val="left"/>
        </w:tabs>
        <w:numPr>
          <w:ilvl w:val="0"/>
          <w:numId w:val="5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LAW AND OTHER REGULATORY COMPLIANCE</w:t>
      </w:r>
      <w:r>
        <w:rPr>
          <w:rFonts w:ascii="Arial" w:cs="Arial" w:eastAsia="Arial" w:hAnsi="Arial"/>
          <w:sz w:val="16"/>
          <w:szCs w:val="16"/>
          <w:color w:val="auto"/>
        </w:rPr>
        <w:t>. An Award will not be effective unless such Award is in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all 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ectPr>
          <w:pgSz w:w="11900" w:h="16838" w:orient="portrait"/>
          <w:cols w:equalWidth="0" w:num="1">
            <w:col w:w="10984"/>
          </w:cols>
          <w:pgMar w:left="436" w:top="273" w:right="479" w:bottom="1440" w:gutter="0" w:footer="0" w:header="0"/>
        </w:sectPr>
      </w:pPr>
    </w:p>
    <w:bookmarkStart w:id="584" w:name="page585"/>
    <w:bookmarkEnd w:id="584"/>
    <w:p>
      <w:pPr>
        <w:ind w:left="4" w:right="40" w:hanging="4"/>
        <w:spacing w:after="0" w:line="314" w:lineRule="auto"/>
        <w:tabs>
          <w:tab w:leader="none" w:pos="274" w:val="left"/>
        </w:tabs>
        <w:numPr>
          <w:ilvl w:val="0"/>
          <w:numId w:val="5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OBLIGATION TO EMPLOY</w:t>
      </w:r>
      <w:r>
        <w:rPr>
          <w:rFonts w:ascii="Arial" w:cs="Arial" w:eastAsia="Arial" w:hAnsi="Arial"/>
          <w:sz w:val="16"/>
          <w:szCs w:val="16"/>
          <w:color w:val="auto"/>
        </w:rPr>
        <w:t>. Nothing in this Plan or any Award granted under this Plan will confer or be deemed to confer on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41" w:lineRule="exact"/>
        <w:rPr>
          <w:rFonts w:ascii="Arial" w:cs="Arial" w:eastAsia="Arial" w:hAnsi="Arial"/>
          <w:sz w:val="16"/>
          <w:szCs w:val="16"/>
          <w:b w:val="1"/>
          <w:bCs w:val="1"/>
          <w:color w:val="auto"/>
        </w:rPr>
      </w:pPr>
    </w:p>
    <w:p>
      <w:pPr>
        <w:ind w:left="264" w:hanging="264"/>
        <w:spacing w:after="0"/>
        <w:tabs>
          <w:tab w:leader="none" w:pos="264"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u w:val="single" w:color="auto"/>
          <w:color w:val="auto"/>
        </w:rPr>
        <w:t>.</w:t>
      </w:r>
    </w:p>
    <w:p>
      <w:pPr>
        <w:spacing w:after="0" w:line="225" w:lineRule="exact"/>
        <w:rPr>
          <w:sz w:val="20"/>
          <w:szCs w:val="20"/>
          <w:color w:val="auto"/>
        </w:rPr>
      </w:pPr>
    </w:p>
    <w:p>
      <w:pPr>
        <w:ind w:left="4" w:right="320"/>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76" w:lineRule="exact"/>
        <w:rPr>
          <w:sz w:val="20"/>
          <w:szCs w:val="20"/>
          <w:color w:val="auto"/>
        </w:rPr>
      </w:pPr>
    </w:p>
    <w:p>
      <w:pPr>
        <w:ind w:left="244" w:hanging="244"/>
        <w:spacing w:after="0"/>
        <w:tabs>
          <w:tab w:leader="none" w:pos="244"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225" w:lineRule="exact"/>
        <w:rPr>
          <w:rFonts w:ascii="Arial" w:cs="Arial" w:eastAsia="Arial" w:hAnsi="Arial"/>
          <w:sz w:val="18"/>
          <w:szCs w:val="18"/>
          <w:color w:val="auto"/>
        </w:rPr>
      </w:pPr>
    </w:p>
    <w:p>
      <w:pPr>
        <w:ind w:left="4" w:right="40" w:hanging="4"/>
        <w:spacing w:after="0" w:line="259" w:lineRule="auto"/>
        <w:tabs>
          <w:tab w:leader="none" w:pos="259"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w:t>
      </w:r>
    </w:p>
    <w:p>
      <w:pPr>
        <w:spacing w:after="0" w:line="186" w:lineRule="exact"/>
        <w:rPr>
          <w:rFonts w:ascii="Arial" w:cs="Arial" w:eastAsia="Arial" w:hAnsi="Arial"/>
          <w:sz w:val="18"/>
          <w:szCs w:val="18"/>
          <w:color w:val="auto"/>
        </w:rPr>
      </w:pPr>
    </w:p>
    <w:p>
      <w:pPr>
        <w:ind w:left="4" w:right="60" w:hanging="4"/>
        <w:spacing w:after="0" w:line="259" w:lineRule="auto"/>
        <w:tabs>
          <w:tab w:leader="none" w:pos="249"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w:t>
      </w:r>
    </w:p>
    <w:p>
      <w:pPr>
        <w:spacing w:after="0" w:line="186" w:lineRule="exact"/>
        <w:rPr>
          <w:rFonts w:ascii="Arial" w:cs="Arial" w:eastAsia="Arial" w:hAnsi="Arial"/>
          <w:sz w:val="18"/>
          <w:szCs w:val="18"/>
          <w:color w:val="auto"/>
        </w:rPr>
      </w:pPr>
    </w:p>
    <w:p>
      <w:pPr>
        <w:ind w:left="4" w:right="240" w:hanging="4"/>
        <w:spacing w:after="0" w:line="308" w:lineRule="auto"/>
        <w:tabs>
          <w:tab w:leader="none" w:pos="259" w:val="left"/>
        </w:tabs>
        <w:numPr>
          <w:ilvl w:val="0"/>
          <w:numId w:val="508"/>
        </w:numPr>
        <w:rPr>
          <w:rFonts w:ascii="Arial" w:cs="Arial" w:eastAsia="Arial" w:hAnsi="Arial"/>
          <w:sz w:val="17"/>
          <w:szCs w:val="17"/>
          <w:color w:val="auto"/>
        </w:rPr>
      </w:pPr>
      <w:r>
        <w:rPr>
          <w:rFonts w:ascii="Arial" w:cs="Arial" w:eastAsia="Arial" w:hAnsi="Arial"/>
          <w:sz w:val="17"/>
          <w:szCs w:val="17"/>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146" w:lineRule="exact"/>
        <w:rPr>
          <w:rFonts w:ascii="Arial" w:cs="Arial" w:eastAsia="Arial" w:hAnsi="Arial"/>
          <w:sz w:val="17"/>
          <w:szCs w:val="17"/>
          <w:color w:val="auto"/>
        </w:rPr>
      </w:pPr>
    </w:p>
    <w:p>
      <w:pPr>
        <w:ind w:left="4" w:hanging="4"/>
        <w:spacing w:after="0" w:line="291" w:lineRule="auto"/>
        <w:tabs>
          <w:tab w:leader="none" w:pos="249" w:val="left"/>
        </w:tabs>
        <w:numPr>
          <w:ilvl w:val="0"/>
          <w:numId w:val="508"/>
        </w:numPr>
        <w:rPr>
          <w:rFonts w:ascii="Arial" w:cs="Arial" w:eastAsia="Arial" w:hAnsi="Arial"/>
          <w:sz w:val="16"/>
          <w:szCs w:val="16"/>
          <w:color w:val="auto"/>
        </w:rPr>
      </w:pPr>
      <w:r>
        <w:rPr>
          <w:rFonts w:ascii="Arial" w:cs="Arial" w:eastAsia="Arial" w:hAnsi="Arial"/>
          <w:sz w:val="16"/>
          <w:szCs w:val="16"/>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66" w:lineRule="exact"/>
        <w:rPr>
          <w:rFonts w:ascii="Arial" w:cs="Arial" w:eastAsia="Arial" w:hAnsi="Arial"/>
          <w:sz w:val="16"/>
          <w:szCs w:val="16"/>
          <w:color w:val="auto"/>
        </w:rPr>
      </w:pPr>
    </w:p>
    <w:p>
      <w:pPr>
        <w:ind w:left="224" w:hanging="224"/>
        <w:spacing w:after="0"/>
        <w:tabs>
          <w:tab w:leader="none" w:pos="224"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225" w:lineRule="exact"/>
        <w:rPr>
          <w:sz w:val="20"/>
          <w:szCs w:val="20"/>
          <w:color w:val="auto"/>
        </w:rPr>
      </w:pPr>
    </w:p>
    <w:p>
      <w:pPr>
        <w:ind w:left="4" w:right="220"/>
        <w:spacing w:after="0" w:line="291" w:lineRule="auto"/>
        <w:rPr>
          <w:sz w:val="20"/>
          <w:szCs w:val="20"/>
          <w:color w:val="auto"/>
        </w:rPr>
      </w:pPr>
      <w:r>
        <w:rPr>
          <w:rFonts w:ascii="Arial" w:cs="Arial" w:eastAsia="Arial" w:hAnsi="Arial"/>
          <w:sz w:val="16"/>
          <w:szCs w:val="16"/>
          <w:color w:val="auto"/>
        </w:rPr>
        <w:t>The Board shall have full power and authority to assign the Company’s right to repurchase or re- acquire or forfeiture rights to such successor or acquiring corporation. In addition, in the event such successor or acquiring corporation refuses to assume, convert, replace or substitute Awards, as provided above, pursuant to a Corporate Transaction,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Corporate Transaction. In addition, following a Corporate Transaction, 100% of the total number of Shares subject to each Award held by an Employee shall become vested if the holder is subject to an Involuntary Termination within 12 months after the Corporate Transaction; it being understood that the vesting acceleration set forth in the preceding clause is in addition to</w:t>
      </w:r>
    </w:p>
    <w:p>
      <w:pPr>
        <w:sectPr>
          <w:pgSz w:w="11900" w:h="16838" w:orient="portrait"/>
          <w:cols w:equalWidth="0" w:num="1">
            <w:col w:w="11004"/>
          </w:cols>
          <w:pgMar w:left="436" w:top="269" w:right="459" w:bottom="1440" w:gutter="0" w:footer="0" w:header="0"/>
        </w:sectPr>
      </w:pPr>
    </w:p>
    <w:bookmarkStart w:id="585" w:name="page586"/>
    <w:bookmarkEnd w:id="585"/>
    <w:p>
      <w:pPr>
        <w:ind w:left="4" w:right="1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vesting of the Award or Shares that has occurred prior to the Involuntary Termination, subject to the Participant executing a general release (in a form prescribed by the Company) of all known and unknown claims that he or she may then have against the Company or persons affiliated with the Company and such release has become effective and agreeing not to prosecute any legal action or other proceeding based upon any of such claims except to the extent otherwise provided in an individual award agreement. The provisions of this Section 21.1 shall apply to Awards outstanding on the Effective Date under the Prior Plan; provided the vesting acceleration provisions set forth in any employment agreement or letter or similar agreement between the Company and an employee in effect on the Effective Date, to the extent more favorable to such employee, will continue to apply to the equity awards held by the employee on the Effective Date.</w:t>
      </w:r>
    </w:p>
    <w:p>
      <w:pPr>
        <w:spacing w:after="0" w:line="173" w:lineRule="exact"/>
        <w:rPr>
          <w:sz w:val="20"/>
          <w:szCs w:val="20"/>
          <w:color w:val="auto"/>
        </w:rPr>
      </w:pPr>
    </w:p>
    <w:p>
      <w:pPr>
        <w:ind w:left="4"/>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shall not be credited toward the number of Shares authorized for grant under the Plan or authorized for grant to a Participant in a calendar year.</w:t>
      </w:r>
    </w:p>
    <w:p>
      <w:pPr>
        <w:spacing w:after="0" w:line="161" w:lineRule="exact"/>
        <w:rPr>
          <w:sz w:val="20"/>
          <w:szCs w:val="20"/>
          <w:color w:val="auto"/>
        </w:rPr>
      </w:pPr>
    </w:p>
    <w:p>
      <w:pPr>
        <w:jc w:val="both"/>
        <w:ind w:left="4" w:right="60"/>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 vesting of all</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to Non-Employee Directors shall accelerate and such Awards shall become exercisable (as applicable) in full prior to the consummation of such event at such times and on such conditions as the Committee determines.</w:t>
      </w:r>
    </w:p>
    <w:p>
      <w:pPr>
        <w:spacing w:after="0" w:line="176" w:lineRule="exact"/>
        <w:rPr>
          <w:sz w:val="20"/>
          <w:szCs w:val="20"/>
          <w:color w:val="auto"/>
        </w:rPr>
      </w:pPr>
    </w:p>
    <w:p>
      <w:pPr>
        <w:ind w:left="4" w:right="100" w:hanging="4"/>
        <w:spacing w:after="0" w:line="282" w:lineRule="auto"/>
        <w:tabs>
          <w:tab w:leader="none" w:pos="274"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This Plan shall be submitted for the approval of the Company’s stockholders,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within twelve (12) months before or after the date this Plan is adopted by the Board.</w:t>
      </w:r>
    </w:p>
    <w:p>
      <w:pPr>
        <w:spacing w:after="0" w:line="161" w:lineRule="exact"/>
        <w:rPr>
          <w:rFonts w:ascii="Arial" w:cs="Arial" w:eastAsia="Arial" w:hAnsi="Arial"/>
          <w:sz w:val="18"/>
          <w:szCs w:val="18"/>
          <w:b w:val="1"/>
          <w:bCs w:val="1"/>
          <w:color w:val="auto"/>
        </w:rPr>
      </w:pPr>
    </w:p>
    <w:p>
      <w:pPr>
        <w:jc w:val="both"/>
        <w:ind w:left="4" w:right="280" w:hanging="4"/>
        <w:spacing w:after="0" w:line="266" w:lineRule="auto"/>
        <w:tabs>
          <w:tab w:leader="none" w:pos="274"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on August 7, 2028. This Plan and all Awards granted hereunder shall be governed by and construed in accordance with the laws of the State of Delaware (excluding its conflict of law rules).</w:t>
      </w:r>
    </w:p>
    <w:p>
      <w:pPr>
        <w:spacing w:after="0" w:line="175" w:lineRule="exact"/>
        <w:rPr>
          <w:rFonts w:ascii="Arial" w:cs="Arial" w:eastAsia="Arial" w:hAnsi="Arial"/>
          <w:sz w:val="18"/>
          <w:szCs w:val="18"/>
          <w:b w:val="1"/>
          <w:bCs w:val="1"/>
          <w:color w:val="auto"/>
        </w:rPr>
      </w:pPr>
    </w:p>
    <w:p>
      <w:pPr>
        <w:ind w:left="264" w:hanging="264"/>
        <w:spacing w:after="0"/>
        <w:tabs>
          <w:tab w:leader="none" w:pos="264" w:val="left"/>
        </w:tabs>
        <w:numPr>
          <w:ilvl w:val="0"/>
          <w:numId w:val="50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OR TERMINATION OF PLAN</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at any time terminate or amend this Plan in any respect, including, without</w:t>
      </w:r>
    </w:p>
    <w:p>
      <w:pPr>
        <w:spacing w:after="0" w:line="38" w:lineRule="exact"/>
        <w:rPr>
          <w:rFonts w:ascii="Arial" w:cs="Arial" w:eastAsia="Arial" w:hAnsi="Arial"/>
          <w:sz w:val="17"/>
          <w:szCs w:val="17"/>
          <w:b w:val="1"/>
          <w:bCs w:val="1"/>
          <w:color w:val="auto"/>
        </w:rPr>
      </w:pPr>
    </w:p>
    <w:p>
      <w:pPr>
        <w:jc w:val="both"/>
        <w:ind w:left="4" w:right="120"/>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 xml:space="preserve">limitation, amendment of any form of Award Agreement or instrument to be executed pursuant to this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Board will not, without the approval of the stockholders of the Company, amend this Plan in any manner that requires such stockholder approval;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 Participant’s Award shall be governed by the version of this Plan then in effect at the time such Award was granted.</w:t>
      </w:r>
    </w:p>
    <w:p>
      <w:pPr>
        <w:spacing w:after="0" w:line="168" w:lineRule="exact"/>
        <w:rPr>
          <w:rFonts w:ascii="Arial" w:cs="Arial" w:eastAsia="Arial" w:hAnsi="Arial"/>
          <w:sz w:val="17"/>
          <w:szCs w:val="17"/>
          <w:b w:val="1"/>
          <w:bCs w:val="1"/>
          <w:color w:val="auto"/>
        </w:rPr>
      </w:pPr>
    </w:p>
    <w:p>
      <w:pPr>
        <w:ind w:left="4" w:right="120" w:hanging="4"/>
        <w:spacing w:after="0" w:line="261" w:lineRule="auto"/>
        <w:tabs>
          <w:tab w:leader="none" w:pos="274"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 Neither the adoption of this Plan by the Board, the submission of this Plan to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79" w:lineRule="exact"/>
        <w:rPr>
          <w:rFonts w:ascii="Arial" w:cs="Arial" w:eastAsia="Arial" w:hAnsi="Arial"/>
          <w:sz w:val="18"/>
          <w:szCs w:val="18"/>
          <w:b w:val="1"/>
          <w:bCs w:val="1"/>
          <w:color w:val="auto"/>
        </w:rPr>
      </w:pPr>
    </w:p>
    <w:p>
      <w:pPr>
        <w:ind w:left="4" w:right="80" w:hanging="4"/>
        <w:spacing w:after="0" w:line="282" w:lineRule="auto"/>
        <w:tabs>
          <w:tab w:leader="none" w:pos="274"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who receives an Award shall comply with any policy adopted by the Company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transactions in the Company’s securities by Employees, officers and/or directors of the Company.</w:t>
      </w:r>
    </w:p>
    <w:p>
      <w:pPr>
        <w:sectPr>
          <w:pgSz w:w="11900" w:h="16838" w:orient="portrait"/>
          <w:cols w:equalWidth="0" w:num="1">
            <w:col w:w="11024"/>
          </w:cols>
          <w:pgMar w:left="436" w:top="273" w:right="439" w:bottom="1440" w:gutter="0" w:footer="0" w:header="0"/>
        </w:sectPr>
      </w:pPr>
    </w:p>
    <w:bookmarkStart w:id="586" w:name="page587"/>
    <w:bookmarkEnd w:id="586"/>
    <w:p>
      <w:pPr>
        <w:ind w:left="4" w:right="80" w:hanging="4"/>
        <w:spacing w:after="0" w:line="258" w:lineRule="auto"/>
        <w:tabs>
          <w:tab w:leader="none" w:pos="274"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AWARDS SUBJECT TO COMPANY CLAWBACK OR RECOUPMENT POLICY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shall be subject to clawback or</w:t>
      </w:r>
      <w:r>
        <w:rPr>
          <w:rFonts w:ascii="Arial" w:cs="Arial" w:eastAsia="Arial" w:hAnsi="Arial"/>
          <w:sz w:val="18"/>
          <w:szCs w:val="18"/>
          <w:b w:val="1"/>
          <w:bCs w:val="1"/>
          <w:color w:val="auto"/>
        </w:rPr>
        <w:t xml:space="preserve"> </w:t>
      </w:r>
      <w:r>
        <w:rPr>
          <w:rFonts w:ascii="Arial" w:cs="Arial" w:eastAsia="Arial" w:hAnsi="Arial"/>
          <w:sz w:val="18"/>
          <w:szCs w:val="18"/>
          <w:color w:val="auto"/>
        </w:rPr>
        <w:t>recoupment pursuant to any compensation clawback or recoupment policy adopted by the Board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83" w:lineRule="exact"/>
        <w:rPr>
          <w:rFonts w:ascii="Arial" w:cs="Arial" w:eastAsia="Arial" w:hAnsi="Arial"/>
          <w:sz w:val="18"/>
          <w:szCs w:val="18"/>
          <w:b w:val="1"/>
          <w:bCs w:val="1"/>
          <w:color w:val="auto"/>
        </w:rPr>
      </w:pPr>
    </w:p>
    <w:p>
      <w:pPr>
        <w:ind w:left="264" w:hanging="264"/>
        <w:spacing w:after="0"/>
        <w:tabs>
          <w:tab w:leader="none" w:pos="264"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and except as elsewhere defined herein, the following terms will have the following meanings:</w:t>
      </w:r>
    </w:p>
    <w:p>
      <w:pPr>
        <w:spacing w:after="0" w:line="117" w:lineRule="exact"/>
        <w:rPr>
          <w:sz w:val="20"/>
          <w:szCs w:val="20"/>
          <w:color w:val="auto"/>
        </w:rPr>
      </w:pPr>
    </w:p>
    <w:p>
      <w:pPr>
        <w:ind w:left="4" w:right="40"/>
        <w:spacing w:after="0" w:line="256" w:lineRule="auto"/>
        <w:rPr>
          <w:sz w:val="20"/>
          <w:szCs w:val="20"/>
          <w:color w:val="auto"/>
        </w:rPr>
      </w:pPr>
      <w:r>
        <w:rPr>
          <w:rFonts w:ascii="Arial" w:cs="Arial" w:eastAsia="Arial" w:hAnsi="Arial"/>
          <w:sz w:val="18"/>
          <w:szCs w:val="18"/>
          <w:b w:val="1"/>
          <w:bCs w:val="1"/>
          <w:color w:val="auto"/>
        </w:rPr>
        <w:t xml:space="preserve">28.1. </w:t>
      </w: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person or entity that directly or indirectly through one or more intermediaries controls, or is controlled by, or is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the Company, including any general partner, managing member, officer or director of the Company,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or entity, means the possession, directly or indirectly, of the power to direct or cause the direction of the management policies of such person or entity, whether through the ownership of voting securities or by contract or otherwise.</w:t>
      </w:r>
    </w:p>
    <w:p>
      <w:pPr>
        <w:spacing w:after="0" w:line="187"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Restricted Stock, Stock Bonus, Stock Appreciation Right,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or award of Performance Shares.</w:t>
      </w:r>
    </w:p>
    <w:p>
      <w:pPr>
        <w:spacing w:after="0" w:line="162" w:lineRule="exact"/>
        <w:rPr>
          <w:sz w:val="20"/>
          <w:szCs w:val="20"/>
          <w:color w:val="auto"/>
        </w:rPr>
      </w:pPr>
    </w:p>
    <w:p>
      <w:pPr>
        <w:ind w:left="4"/>
        <w:spacing w:after="0" w:line="303" w:lineRule="auto"/>
        <w:rPr>
          <w:sz w:val="20"/>
          <w:szCs w:val="20"/>
          <w:color w:val="auto"/>
        </w:rPr>
      </w:pPr>
      <w:r>
        <w:rPr>
          <w:rFonts w:ascii="Arial" w:cs="Arial" w:eastAsia="Arial" w:hAnsi="Arial"/>
          <w:sz w:val="16"/>
          <w:szCs w:val="16"/>
          <w:b w:val="1"/>
          <w:bCs w:val="1"/>
          <w:color w:val="auto"/>
        </w:rPr>
        <w:t xml:space="preserve">28.3. </w:t>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written or electronic agreement between the Company and the Participant setting forth</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51" w:lineRule="exact"/>
        <w:rPr>
          <w:sz w:val="20"/>
          <w:szCs w:val="20"/>
          <w:color w:val="auto"/>
        </w:rPr>
      </w:pPr>
    </w:p>
    <w:p>
      <w:pPr>
        <w:ind w:left="4" w:right="440"/>
        <w:spacing w:after="0" w:line="282" w:lineRule="auto"/>
        <w:rPr>
          <w:sz w:val="20"/>
          <w:szCs w:val="20"/>
          <w:color w:val="auto"/>
        </w:rPr>
      </w:pPr>
      <w:r>
        <w:rPr>
          <w:rFonts w:ascii="Arial" w:cs="Arial" w:eastAsia="Arial" w:hAnsi="Arial"/>
          <w:sz w:val="18"/>
          <w:szCs w:val="18"/>
          <w:b w:val="1"/>
          <w:bCs w:val="1"/>
          <w:color w:val="auto"/>
        </w:rPr>
        <w:t xml:space="preserve">28.4.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 Transfer Program</w:t>
      </w:r>
      <w:r>
        <w:rPr>
          <w:rFonts w:ascii="Arial" w:cs="Arial" w:eastAsia="Arial" w:hAnsi="Arial"/>
          <w:sz w:val="18"/>
          <w:szCs w:val="18"/>
          <w:color w:val="auto"/>
        </w:rPr>
        <w:t>” means any program instituted by the Committee which would permit Participants the opportunity to transfer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Awards to a financial institution or other person or entity approved by the Committee.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28.5. </w:t>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b w:val="1"/>
          <w:bCs w:val="1"/>
          <w:color w:val="auto"/>
        </w:rPr>
        <w:t xml:space="preserve">28.6. </w:t>
      </w:r>
      <w:r>
        <w:rPr>
          <w:rFonts w:ascii="Arial" w:cs="Arial" w:eastAsia="Arial" w:hAnsi="Arial"/>
          <w:sz w:val="16"/>
          <w:szCs w:val="16"/>
          <w:b w:val="1"/>
          <w:bCs w:val="1"/>
          <w:i w:val="1"/>
          <w:iCs w:val="1"/>
          <w:color w:val="auto"/>
        </w:rPr>
        <w:t>“Cause”</w:t>
      </w:r>
      <w:r>
        <w:rPr>
          <w:rFonts w:ascii="Arial" w:cs="Arial" w:eastAsia="Arial" w:hAnsi="Arial"/>
          <w:sz w:val="16"/>
          <w:szCs w:val="16"/>
          <w:b w:val="1"/>
          <w:bCs w:val="1"/>
          <w:color w:val="auto"/>
        </w:rPr>
        <w:t xml:space="preserve"> </w:t>
      </w:r>
      <w:r>
        <w:rPr>
          <w:rFonts w:ascii="Arial" w:cs="Arial" w:eastAsia="Arial" w:hAnsi="Arial"/>
          <w:sz w:val="16"/>
          <w:szCs w:val="16"/>
          <w:color w:val="auto"/>
        </w:rPr>
        <w:t>means (i) an unauthorized use or disclosure by Participant of the Company’s confidential information or trade secrets, which use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disclosure causes material harm to the Company or is reasonably likely to cause material harm to the Company, (ii) a material breach of any agreement between Participant and the Company, (iii) a material failure to comply with the Company’s written policies or rules that has caused or is reasonably likely to cause material injury to the Company, its successor, or its affiliates, or any of their business, (iv) conviction of, or plea of “guilty” or “no contest” to, a felony under the laws of the United States or any state thereof, (v) willful misconduct that has caused or is reasonably likely to cause material injury to the Company, its successor, or its affiliates, or any of their business, (vi) embezzlement, (vii) failure to cooperate with the Company in any investigation or formal proceeding if the Company has requested Participant’s reasonable cooperation, (viii) violation of any applicable federal, state or foreign statutes or laws that govern or regulate employment, pharmaceutical drugs or securities, including but not limited to the laws enforced by the federal Equal Employment Opportunity Commission, Department of Labor, Food and Drug Administration, Securities and Exchange Commission and Department of Justice or (ix) a continued failure to perform assigned duties after receiving written notification of such failure from the Company’s Chief Executive Officer;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Participant must be provided with written notice of Participant’s termination for “Cause” and Participant must be provided with a thirty (30) day period following Participant’s receipt of such notice to cure the event(s) that trigger “Cause,” with the Company’s Chief Executive Officer making the final determination whether Participant has cured any Cause.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Parent, Subsidiary or Affiliate, as appropriate. Notwithstanding the foregoing, the foregoing definition of “Cause” may, in part or in whole, be modified or replaced in each individual employment agreement or Award Agreement with any Participant, provided that such document supersedes the definition provided in this Section 28.6.</w:t>
      </w:r>
    </w:p>
    <w:p>
      <w:pPr>
        <w:sectPr>
          <w:pgSz w:w="11900" w:h="16838" w:orient="portrait"/>
          <w:cols w:equalWidth="0" w:num="1">
            <w:col w:w="11004"/>
          </w:cols>
          <w:pgMar w:left="436" w:top="269" w:right="45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28.7. </w:t>
      </w: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28.8.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as permitted by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28.10.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Aeglea BioTherapeutics, Inc., or any successor corporation.</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or independent contractor, engaged by the Company or a Parent, Subsidiary or Affiliate to</w:t>
      </w:r>
      <w:r>
        <w:rPr>
          <w:rFonts w:ascii="Arial" w:cs="Arial" w:eastAsia="Arial" w:hAnsi="Arial"/>
          <w:sz w:val="18"/>
          <w:szCs w:val="18"/>
          <w:b w:val="1"/>
          <w:bCs w:val="1"/>
          <w:color w:val="auto"/>
        </w:rPr>
        <w:t xml:space="preserve"> </w:t>
      </w:r>
      <w:r>
        <w:rPr>
          <w:rFonts w:ascii="Arial" w:cs="Arial" w:eastAsia="Arial" w:hAnsi="Arial"/>
          <w:sz w:val="18"/>
          <w:szCs w:val="18"/>
          <w:color w:val="auto"/>
        </w:rPr>
        <w:t>render services to such entity.</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 xml:space="preserve">28.12. </w:t>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 (a) any “Person” (as such term is used in Sections 13(d) and 14(d)</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28.13. </w:t>
      </w: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28.14. </w:t>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in the case of incentive stock options, total and permanent disability as defined in Section 22(e)(3) of the Code and in the case</w:t>
      </w:r>
      <w:r>
        <w:rPr>
          <w:rFonts w:ascii="Arial" w:cs="Arial" w:eastAsia="Arial" w:hAnsi="Arial"/>
          <w:sz w:val="16"/>
          <w:szCs w:val="16"/>
          <w:b w:val="1"/>
          <w:bCs w:val="1"/>
          <w:color w:val="auto"/>
        </w:rPr>
        <w:t xml:space="preserve"> </w:t>
      </w:r>
      <w:r>
        <w:rPr>
          <w:rFonts w:ascii="Arial" w:cs="Arial" w:eastAsia="Arial" w:hAnsi="Arial"/>
          <w:sz w:val="16"/>
          <w:szCs w:val="16"/>
          <w:color w:val="auto"/>
        </w:rPr>
        <w:t>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4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day immediately prior to the date of the underwritten initial public offering of the Company’s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 registration statement that is declared effective by the SEC.</w:t>
      </w:r>
    </w:p>
    <w:p>
      <w:pPr>
        <w:sectPr>
          <w:pgSz w:w="11900" w:h="16838" w:orient="portrait"/>
          <w:cols w:equalWidth="0" w:num="1">
            <w:col w:w="11000"/>
          </w:cols>
          <w:pgMar w:left="440" w:top="269" w:right="459" w:bottom="1440" w:gutter="0" w:footer="0" w:header="0"/>
        </w:sectPr>
      </w:pPr>
    </w:p>
    <w:bookmarkStart w:id="588" w:name="page589"/>
    <w:bookmarkEnd w:id="588"/>
    <w:p>
      <w:pPr>
        <w:ind w:left="4" w:right="50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28.16. </w:t>
      </w: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including Officers and Directors, employed by the Company or any Parent, Subsidiary or Affiliate. Neither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as a Director nor payment of a director’s fee by the Company will be sufficient to constitute “employment” by the Company.</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4" w:right="280"/>
        <w:spacing w:after="0" w:line="347" w:lineRule="auto"/>
        <w:rPr>
          <w:sz w:val="20"/>
          <w:szCs w:val="20"/>
          <w:color w:val="auto"/>
        </w:rPr>
      </w:pPr>
      <w:r>
        <w:rPr>
          <w:rFonts w:ascii="Arial" w:cs="Arial" w:eastAsia="Arial" w:hAnsi="Arial"/>
          <w:sz w:val="16"/>
          <w:szCs w:val="16"/>
          <w:b w:val="1"/>
          <w:bCs w:val="1"/>
          <w:color w:val="auto"/>
        </w:rPr>
        <w:t xml:space="preserve">28.18. </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Program</w:t>
      </w:r>
      <w:r>
        <w:rPr>
          <w:rFonts w:ascii="Arial" w:cs="Arial" w:eastAsia="Arial" w:hAnsi="Arial"/>
          <w:sz w:val="16"/>
          <w:szCs w:val="16"/>
          <w:color w:val="auto"/>
        </w:rPr>
        <w:t>” means a program pursuant to which (a) outstanding Awards are surrendered, cancelled or exchanged for cash,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type of Award or a different Award (or combination thereof) or (b) the exercise price of an outstanding Award is increased or reduced.</w:t>
      </w:r>
    </w:p>
    <w:p>
      <w:pPr>
        <w:spacing w:after="0" w:line="116"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28.19.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 SAR, the price at which the SAR is granted to the holder thereof.</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121" w:lineRule="exact"/>
        <w:rPr>
          <w:sz w:val="20"/>
          <w:szCs w:val="20"/>
          <w:color w:val="auto"/>
        </w:rPr>
      </w:pPr>
    </w:p>
    <w:p>
      <w:pPr>
        <w:ind w:left="4" w:right="220" w:hanging="4"/>
        <w:spacing w:after="0" w:line="263" w:lineRule="auto"/>
        <w:tabs>
          <w:tab w:leader="none" w:pos="249"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Journal or such other source as the Committee deems reliable;</w:t>
      </w:r>
    </w:p>
    <w:p>
      <w:pPr>
        <w:spacing w:after="0" w:line="183" w:lineRule="exact"/>
        <w:rPr>
          <w:rFonts w:ascii="Arial" w:cs="Arial" w:eastAsia="Arial" w:hAnsi="Arial"/>
          <w:sz w:val="18"/>
          <w:szCs w:val="18"/>
          <w:color w:val="auto"/>
        </w:rPr>
      </w:pPr>
    </w:p>
    <w:p>
      <w:pPr>
        <w:ind w:left="4" w:right="40" w:hanging="4"/>
        <w:spacing w:after="0" w:line="342" w:lineRule="auto"/>
        <w:tabs>
          <w:tab w:leader="none" w:pos="259" w:val="left"/>
        </w:tabs>
        <w:numPr>
          <w:ilvl w:val="0"/>
          <w:numId w:val="511"/>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w:t>
      </w:r>
    </w:p>
    <w:p>
      <w:pPr>
        <w:spacing w:after="0" w:line="123" w:lineRule="exact"/>
        <w:rPr>
          <w:rFonts w:ascii="Arial" w:cs="Arial" w:eastAsia="Arial" w:hAnsi="Arial"/>
          <w:sz w:val="16"/>
          <w:szCs w:val="16"/>
          <w:color w:val="auto"/>
        </w:rPr>
      </w:pPr>
    </w:p>
    <w:p>
      <w:pPr>
        <w:ind w:left="4" w:right="100" w:hanging="4"/>
        <w:spacing w:after="0" w:line="263" w:lineRule="auto"/>
        <w:tabs>
          <w:tab w:leader="none" w:pos="249"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in the case of an Option or SAR grant made on the Effective Date, the price per share at which shares of the Company’s Common Stock are initially offered for sale to the public by the Company’s underwriters in the initial public offering of the Company’s Common Stock pursuant to a registration statement filed with the SEC under the Securities Act; or</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221"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b w:val="1"/>
          <w:bCs w:val="1"/>
          <w:color w:val="auto"/>
        </w:rPr>
        <w:t xml:space="preserve">28.21. </w:t>
      </w:r>
      <w:r>
        <w:rPr>
          <w:rFonts w:ascii="Arial" w:cs="Arial" w:eastAsia="Arial" w:hAnsi="Arial"/>
          <w:sz w:val="16"/>
          <w:szCs w:val="16"/>
          <w:b w:val="1"/>
          <w:bCs w:val="1"/>
          <w:i w:val="1"/>
          <w:iCs w:val="1"/>
          <w:color w:val="auto"/>
        </w:rPr>
        <w:t>“Good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without the Participant’s consent, (i) a material reduction in the Participant’s level of responsibility and/or scope of</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(ii) a reduction by more than 10% in Participant’s base salary (other than a reduction generally applicable to Participant officers of the Company and in generally the same proportion as for the Participant), or (iii) relocation of the Participant’s principal workplace by more than thirty-five</w:t>
      </w:r>
    </w:p>
    <w:p>
      <w:pPr>
        <w:spacing w:after="0" w:line="2" w:lineRule="exact"/>
        <w:rPr>
          <w:sz w:val="20"/>
          <w:szCs w:val="20"/>
          <w:color w:val="auto"/>
        </w:rPr>
      </w:pPr>
    </w:p>
    <w:p>
      <w:pPr>
        <w:ind w:left="344" w:hanging="344"/>
        <w:spacing w:after="0"/>
        <w:tabs>
          <w:tab w:leader="none" w:pos="344" w:val="left"/>
        </w:tabs>
        <w:numPr>
          <w:ilvl w:val="0"/>
          <w:numId w:val="512"/>
        </w:numPr>
        <w:rPr>
          <w:rFonts w:ascii="Arial" w:cs="Arial" w:eastAsia="Arial" w:hAnsi="Arial"/>
          <w:sz w:val="16"/>
          <w:szCs w:val="16"/>
          <w:color w:val="auto"/>
        </w:rPr>
      </w:pPr>
      <w:r>
        <w:rPr>
          <w:rFonts w:ascii="Arial" w:cs="Arial" w:eastAsia="Arial" w:hAnsi="Arial"/>
          <w:sz w:val="16"/>
          <w:szCs w:val="16"/>
          <w:color w:val="auto"/>
        </w:rPr>
        <w:t>miles from Participant’s then current place of employment. For the purpose of clause (i), a change in responsibility shall not be deemed to occur</w:t>
      </w:r>
    </w:p>
    <w:p>
      <w:pPr>
        <w:spacing w:after="0" w:line="32" w:lineRule="exact"/>
        <w:rPr>
          <w:rFonts w:ascii="Arial" w:cs="Arial" w:eastAsia="Arial" w:hAnsi="Arial"/>
          <w:sz w:val="16"/>
          <w:szCs w:val="16"/>
          <w:color w:val="auto"/>
        </w:rPr>
      </w:pPr>
    </w:p>
    <w:p>
      <w:pPr>
        <w:ind w:left="4"/>
        <w:spacing w:after="0" w:line="268" w:lineRule="auto"/>
        <w:rPr>
          <w:rFonts w:ascii="Arial" w:cs="Arial" w:eastAsia="Arial" w:hAnsi="Arial"/>
          <w:sz w:val="16"/>
          <w:szCs w:val="16"/>
          <w:color w:val="auto"/>
        </w:rPr>
      </w:pPr>
      <w:r>
        <w:rPr>
          <w:rFonts w:ascii="Arial" w:cs="Arial" w:eastAsia="Arial" w:hAnsi="Arial"/>
          <w:sz w:val="17"/>
          <w:szCs w:val="17"/>
          <w:color w:val="auto"/>
        </w:rPr>
        <w:t>(A) solely because Participant is part of a larger organization or (B) solely because of a change in title. For the Participant to receive the benefits under this Agreement as a result of a voluntary resignation under this subsection (e), all of the following requirements must be satisfied: (1) the Participant must provide notice to the Company of his or her intent to assert Good Reason within sixty (60) days of the initial existence of one or more of the conditions set forth in subclauses (i) through (iii); (2) the Company will have thirty (30) days (the “</w:t>
      </w:r>
      <w:r>
        <w:rPr>
          <w:rFonts w:ascii="Arial" w:cs="Arial" w:eastAsia="Arial" w:hAnsi="Arial"/>
          <w:sz w:val="17"/>
          <w:szCs w:val="17"/>
          <w:b w:val="1"/>
          <w:bCs w:val="1"/>
          <w:i w:val="1"/>
          <w:iCs w:val="1"/>
          <w:color w:val="auto"/>
        </w:rPr>
        <w:t>Company Cure Period</w:t>
      </w:r>
      <w:r>
        <w:rPr>
          <w:rFonts w:ascii="Arial" w:cs="Arial" w:eastAsia="Arial" w:hAnsi="Arial"/>
          <w:sz w:val="17"/>
          <w:szCs w:val="17"/>
          <w:color w:val="auto"/>
        </w:rPr>
        <w:t>”) from the date of such notice to remedy the condition and, if it does so, the Participant may withdraw his or her resignation or may resign with no benefits;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within twelve months following the occurrence of a Change in Control, the Participant may assert Good Reason again subject to all of the conditions set forth herein.</w:t>
      </w:r>
    </w:p>
    <w:p>
      <w:pPr>
        <w:spacing w:after="0" w:line="177"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 of the Exchange Act.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28.23. </w:t>
      </w:r>
      <w:r>
        <w:rPr>
          <w:rFonts w:ascii="Arial" w:cs="Arial" w:eastAsia="Arial" w:hAnsi="Arial"/>
          <w:sz w:val="17"/>
          <w:szCs w:val="17"/>
          <w:color w:val="auto"/>
        </w:rPr>
        <w:t>“</w:t>
      </w:r>
      <w:r>
        <w:rPr>
          <w:rFonts w:ascii="Arial" w:cs="Arial" w:eastAsia="Arial" w:hAnsi="Arial"/>
          <w:sz w:val="17"/>
          <w:szCs w:val="17"/>
          <w:b w:val="1"/>
          <w:bCs w:val="1"/>
          <w:i w:val="1"/>
          <w:iCs w:val="1"/>
          <w:color w:val="auto"/>
        </w:rPr>
        <w:t>Involuntary Termination</w:t>
      </w:r>
      <w:r>
        <w:rPr>
          <w:rFonts w:ascii="Arial" w:cs="Arial" w:eastAsia="Arial" w:hAnsi="Arial"/>
          <w:sz w:val="17"/>
          <w:szCs w:val="17"/>
          <w:color w:val="auto"/>
        </w:rPr>
        <w:t>” means either (a) termination of Service without Cause or (b) resignation from Service for Good Reason.</w:t>
      </w:r>
    </w:p>
    <w:p>
      <w:pPr>
        <w:sectPr>
          <w:pgSz w:w="11900" w:h="16838" w:orient="portrait"/>
          <w:cols w:equalWidth="0" w:num="1">
            <w:col w:w="11004"/>
          </w:cols>
          <w:pgMar w:left="436" w:top="269" w:right="459" w:bottom="1440" w:gutter="0" w:footer="0" w:header="0"/>
        </w:sectPr>
      </w:pPr>
    </w:p>
    <w:bookmarkStart w:id="589" w:name="page590"/>
    <w:bookmarkEnd w:id="58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28.24. </w:t>
      </w: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28.25. </w:t>
      </w: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is not an Employee of the Company or any Parent, Subsidiary or Affiliate.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w:t>
      </w:r>
    </w:p>
    <w:p>
      <w:pPr>
        <w:spacing w:after="0" w:line="225" w:lineRule="exact"/>
        <w:rPr>
          <w:sz w:val="20"/>
          <w:szCs w:val="20"/>
          <w:color w:val="auto"/>
        </w:rPr>
      </w:pPr>
    </w:p>
    <w:p>
      <w:pPr>
        <w:ind w:left="4" w:right="260"/>
        <w:spacing w:after="0" w:line="266" w:lineRule="auto"/>
        <w:rPr>
          <w:sz w:val="20"/>
          <w:szCs w:val="20"/>
          <w:color w:val="auto"/>
        </w:rPr>
      </w:pPr>
      <w:r>
        <w:rPr>
          <w:rFonts w:ascii="Arial" w:cs="Arial" w:eastAsia="Arial" w:hAnsi="Arial"/>
          <w:sz w:val="18"/>
          <w:szCs w:val="18"/>
          <w:b w:val="1"/>
          <w:bCs w:val="1"/>
          <w:color w:val="auto"/>
        </w:rPr>
        <w:t xml:space="preserve">28.27.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Company owns stock possessing fifty percent (50%) or more of the total combined voting power of all classes of stock in one of the other corporations in such chain.</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28.28. </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holds an Award under this Plan.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28.29.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cash or stock granted pursuant to Section 10 or Section 12 of the Plan.</w:t>
      </w:r>
    </w:p>
    <w:p>
      <w:pPr>
        <w:spacing w:after="0" w:line="225"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b w:val="1"/>
          <w:bCs w:val="1"/>
          <w:i w:val="1"/>
          <w:iCs w:val="1"/>
          <w:color w:val="auto"/>
        </w:rPr>
        <w:t>“Performance Factors”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of the factors selected by the Committee and specified in an Award Agreement, from among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79" w:lineRule="exact"/>
        <w:rPr>
          <w:sz w:val="20"/>
          <w:szCs w:val="20"/>
          <w:color w:val="auto"/>
        </w:rPr>
      </w:pPr>
    </w:p>
    <w:p>
      <w:pPr>
        <w:ind w:left="244" w:hanging="244"/>
        <w:spacing w:after="0"/>
        <w:tabs>
          <w:tab w:leader="none" w:pos="24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Sales;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Expenses;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Billings;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225" w:lineRule="exact"/>
        <w:rPr>
          <w:rFonts w:ascii="Arial" w:cs="Arial" w:eastAsia="Arial" w:hAnsi="Arial"/>
          <w:sz w:val="18"/>
          <w:szCs w:val="18"/>
          <w:color w:val="auto"/>
        </w:rPr>
      </w:pPr>
    </w:p>
    <w:p>
      <w:pPr>
        <w:ind w:left="4" w:right="860" w:hanging="4"/>
        <w:spacing w:after="0" w:line="277" w:lineRule="auto"/>
        <w:tabs>
          <w:tab w:leader="none" w:pos="259"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Net Profit;</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Earnings per share;</w:t>
      </w:r>
    </w:p>
    <w:p>
      <w:pPr>
        <w:sectPr>
          <w:pgSz w:w="11900" w:h="16838" w:orient="portrait"/>
          <w:cols w:equalWidth="0" w:num="1">
            <w:col w:w="10984"/>
          </w:cols>
          <w:pgMar w:left="436" w:top="269" w:right="479" w:bottom="1440" w:gutter="0" w:footer="0" w:header="0"/>
        </w:sectPr>
      </w:pPr>
    </w:p>
    <w:bookmarkStart w:id="590" w:name="page591"/>
    <w:bookmarkEnd w:id="590"/>
    <w:p>
      <w:pPr>
        <w:ind w:left="264" w:hanging="264"/>
        <w:spacing w:after="0"/>
        <w:tabs>
          <w:tab w:leader="none" w:pos="264" w:val="left"/>
        </w:tabs>
        <w:numPr>
          <w:ilvl w:val="0"/>
          <w:numId w:val="5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Total stockholder return;</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Growth in stockholder value relative to a pre-determined index;</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Cash conversion cycle; (aa) Economic value added;</w:t>
      </w:r>
    </w:p>
    <w:p>
      <w:pPr>
        <w:spacing w:after="0" w:line="225" w:lineRule="exact"/>
        <w:rPr>
          <w:sz w:val="20"/>
          <w:szCs w:val="20"/>
          <w:color w:val="auto"/>
        </w:rPr>
      </w:pPr>
    </w:p>
    <w:p>
      <w:pPr>
        <w:ind w:left="344" w:hanging="344"/>
        <w:spacing w:after="0"/>
        <w:tabs>
          <w:tab w:leader="none" w:pos="344" w:val="left"/>
        </w:tabs>
        <w:numPr>
          <w:ilvl w:val="0"/>
          <w:numId w:val="515"/>
        </w:numPr>
        <w:rPr>
          <w:rFonts w:ascii="Arial" w:cs="Arial" w:eastAsia="Arial" w:hAnsi="Arial"/>
          <w:sz w:val="18"/>
          <w:szCs w:val="18"/>
          <w:color w:val="auto"/>
        </w:rPr>
      </w:pPr>
      <w:r>
        <w:rPr>
          <w:rFonts w:ascii="Arial" w:cs="Arial" w:eastAsia="Arial" w:hAnsi="Arial"/>
          <w:sz w:val="18"/>
          <w:szCs w:val="18"/>
          <w:color w:val="auto"/>
        </w:rPr>
        <w:t>Individual confidential business objectives; (cc) Contract awards or backlog;</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516"/>
        </w:numPr>
        <w:rPr>
          <w:rFonts w:ascii="Arial" w:cs="Arial" w:eastAsia="Arial" w:hAnsi="Arial"/>
          <w:sz w:val="18"/>
          <w:szCs w:val="18"/>
          <w:color w:val="auto"/>
        </w:rPr>
      </w:pPr>
      <w:r>
        <w:rPr>
          <w:rFonts w:ascii="Arial" w:cs="Arial" w:eastAsia="Arial" w:hAnsi="Arial"/>
          <w:sz w:val="18"/>
          <w:szCs w:val="18"/>
          <w:color w:val="auto"/>
        </w:rPr>
        <w:t>Overhead or other expense reduction; (ee) Credit rating;</w:t>
      </w:r>
    </w:p>
    <w:p>
      <w:pPr>
        <w:spacing w:after="0" w:line="225" w:lineRule="exact"/>
        <w:rPr>
          <w:rFonts w:ascii="Arial" w:cs="Arial" w:eastAsia="Arial" w:hAnsi="Arial"/>
          <w:sz w:val="18"/>
          <w:szCs w:val="18"/>
          <w:color w:val="auto"/>
        </w:rPr>
      </w:pPr>
    </w:p>
    <w:p>
      <w:pPr>
        <w:ind w:left="284" w:hanging="284"/>
        <w:spacing w:after="0"/>
        <w:tabs>
          <w:tab w:leader="none" w:pos="284" w:val="left"/>
        </w:tabs>
        <w:numPr>
          <w:ilvl w:val="0"/>
          <w:numId w:val="517"/>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517"/>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 (hh) Strategic plan development and implementation;</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18"/>
        </w:numPr>
        <w:rPr>
          <w:rFonts w:ascii="Arial" w:cs="Arial" w:eastAsia="Arial" w:hAnsi="Arial"/>
          <w:sz w:val="18"/>
          <w:szCs w:val="18"/>
          <w:color w:val="auto"/>
        </w:rPr>
      </w:pPr>
      <w:r>
        <w:rPr>
          <w:rFonts w:ascii="Arial" w:cs="Arial" w:eastAsia="Arial" w:hAnsi="Arial"/>
          <w:sz w:val="18"/>
          <w:szCs w:val="18"/>
          <w:color w:val="auto"/>
        </w:rPr>
        <w:t>Succession plan development and implementation; (jj) Improvement in workforce diversity;</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519"/>
        </w:numPr>
        <w:rPr>
          <w:rFonts w:ascii="Arial" w:cs="Arial" w:eastAsia="Arial" w:hAnsi="Arial"/>
          <w:sz w:val="18"/>
          <w:szCs w:val="18"/>
          <w:color w:val="auto"/>
        </w:rPr>
      </w:pPr>
      <w:r>
        <w:rPr>
          <w:rFonts w:ascii="Arial" w:cs="Arial" w:eastAsia="Arial" w:hAnsi="Arial"/>
          <w:sz w:val="18"/>
          <w:szCs w:val="18"/>
          <w:color w:val="auto"/>
        </w:rPr>
        <w:t>Employee satisfaction; (ll) Employee retention;</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520"/>
        </w:numPr>
        <w:rPr>
          <w:rFonts w:ascii="Arial" w:cs="Arial" w:eastAsia="Arial" w:hAnsi="Arial"/>
          <w:sz w:val="18"/>
          <w:szCs w:val="18"/>
          <w:color w:val="auto"/>
        </w:rPr>
      </w:pPr>
      <w:r>
        <w:rPr>
          <w:rFonts w:ascii="Arial" w:cs="Arial" w:eastAsia="Arial" w:hAnsi="Arial"/>
          <w:sz w:val="18"/>
          <w:szCs w:val="18"/>
          <w:color w:val="auto"/>
        </w:rPr>
        <w:t>Customer indicators and satisfaction; (nn) New product invention or innovation;</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521"/>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344" w:hanging="344"/>
        <w:spacing w:after="0"/>
        <w:tabs>
          <w:tab w:leader="none" w:pos="344"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Attainment of research and development milestones; (qq) Improvements in productivity;</w:t>
      </w:r>
    </w:p>
    <w:p>
      <w:pPr>
        <w:spacing w:after="0" w:line="225" w:lineRule="exact"/>
        <w:rPr>
          <w:rFonts w:ascii="Arial" w:cs="Arial" w:eastAsia="Arial" w:hAnsi="Arial"/>
          <w:sz w:val="18"/>
          <w:szCs w:val="18"/>
          <w:color w:val="auto"/>
        </w:rPr>
      </w:pPr>
    </w:p>
    <w:p>
      <w:pPr>
        <w:ind w:left="284" w:hanging="284"/>
        <w:spacing w:after="0"/>
        <w:tabs>
          <w:tab w:leader="none" w:pos="284" w:val="left"/>
        </w:tabs>
        <w:numPr>
          <w:ilvl w:val="0"/>
          <w:numId w:val="522"/>
        </w:numPr>
        <w:rPr>
          <w:rFonts w:ascii="Arial" w:cs="Arial" w:eastAsia="Arial" w:hAnsi="Arial"/>
          <w:sz w:val="18"/>
          <w:szCs w:val="18"/>
          <w:color w:val="auto"/>
        </w:rPr>
      </w:pPr>
      <w:r>
        <w:rPr>
          <w:rFonts w:ascii="Arial" w:cs="Arial" w:eastAsia="Arial" w:hAnsi="Arial"/>
          <w:sz w:val="18"/>
          <w:szCs w:val="18"/>
          <w:color w:val="auto"/>
        </w:rPr>
        <w:t>Bookings;</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522"/>
        </w:numPr>
        <w:rPr>
          <w:rFonts w:ascii="Arial" w:cs="Arial" w:eastAsia="Arial" w:hAnsi="Arial"/>
          <w:sz w:val="18"/>
          <w:szCs w:val="18"/>
          <w:color w:val="auto"/>
        </w:rPr>
      </w:pPr>
      <w:r>
        <w:rPr>
          <w:rFonts w:ascii="Arial" w:cs="Arial" w:eastAsia="Arial" w:hAnsi="Arial"/>
          <w:sz w:val="18"/>
          <w:szCs w:val="18"/>
          <w:color w:val="auto"/>
        </w:rPr>
        <w:t>Working-capital targets and changes in working capital; and (tt) Attainment of objective operating goals and employee metrics.</w:t>
      </w:r>
    </w:p>
    <w:p>
      <w:pPr>
        <w:spacing w:after="0" w:line="225"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The Committee may, in recognition of unusual or non-recurring items such as acquisition-related activities or changes in applicable accounting rules, provide for one or more equitable adjustments (based on objective standards) to the Performance Factors to preserve the Committee’s original intent regarding the Performance Factors at the time of the initial award grant. It is within the sole discretion of the Committee to make or not make any such equitable adjustments.</w:t>
      </w:r>
    </w:p>
    <w:p>
      <w:pPr>
        <w:spacing w:after="0" w:line="183"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28.31.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w:t>
      </w:r>
      <w:r>
        <w:rPr>
          <w:rFonts w:ascii="Arial" w:cs="Arial" w:eastAsia="Arial" w:hAnsi="Arial"/>
          <w:sz w:val="18"/>
          <w:szCs w:val="18"/>
          <w:b w:val="1"/>
          <w:bCs w:val="1"/>
          <w:color w:val="auto"/>
        </w:rPr>
        <w:t xml:space="preserve"> </w:t>
      </w:r>
      <w:r>
        <w:rPr>
          <w:rFonts w:ascii="Arial" w:cs="Arial" w:eastAsia="Arial" w:hAnsi="Arial"/>
          <w:sz w:val="18"/>
          <w:szCs w:val="18"/>
          <w:color w:val="auto"/>
        </w:rPr>
        <w:t>over which the attainment of one or more Performance Factors will be measured for the purpose of determining a Participant’s right to, and the payment of, a Performance Award.</w:t>
      </w:r>
    </w:p>
    <w:p>
      <w:pPr>
        <w:sectPr>
          <w:pgSz w:w="11900" w:h="16838" w:orient="portrait"/>
          <w:cols w:equalWidth="0" w:num="1">
            <w:col w:w="10964"/>
          </w:cols>
          <w:pgMar w:left="436" w:top="273" w:right="499" w:bottom="1440" w:gutter="0" w:footer="0" w:header="0"/>
        </w:sectPr>
      </w:pPr>
    </w:p>
    <w:bookmarkStart w:id="591" w:name="page592"/>
    <w:bookmarkEnd w:id="591"/>
    <w:p>
      <w:pPr>
        <w:ind w:left="4" w:right="5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 Award granted pursuant to Section 10 or Section 12 of the Plan, the payment of which is contingent upon</w:t>
      </w:r>
      <w:r>
        <w:rPr>
          <w:rFonts w:ascii="Arial" w:cs="Arial" w:eastAsia="Arial" w:hAnsi="Arial"/>
          <w:sz w:val="18"/>
          <w:szCs w:val="18"/>
          <w:b w:val="1"/>
          <w:bCs w:val="1"/>
          <w:color w:val="auto"/>
        </w:rPr>
        <w:t xml:space="preserve"> </w:t>
      </w:r>
      <w:r>
        <w:rPr>
          <w:rFonts w:ascii="Arial" w:cs="Arial" w:eastAsia="Arial" w:hAnsi="Arial"/>
          <w:sz w:val="18"/>
          <w:szCs w:val="18"/>
          <w:color w:val="auto"/>
        </w:rPr>
        <w:t>achieving certain performance goals established by the Committee.</w:t>
      </w:r>
    </w:p>
    <w:p>
      <w:pPr>
        <w:spacing w:after="0" w:line="162" w:lineRule="exact"/>
        <w:rPr>
          <w:sz w:val="20"/>
          <w:szCs w:val="20"/>
          <w:color w:val="auto"/>
        </w:rPr>
      </w:pPr>
    </w:p>
    <w:p>
      <w:pPr>
        <w:ind w:left="4" w:right="540"/>
        <w:spacing w:after="0" w:line="282"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right granted to a Participant pursuant to Section 10 or Section 12, to receive Stock, the payment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upon achieving certain performance goals established by the Committee”</w:t>
      </w:r>
    </w:p>
    <w:p>
      <w:pPr>
        <w:spacing w:after="0" w:line="162"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 xml:space="preserve">28.34.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 nephew,</w:t>
      </w:r>
      <w:r>
        <w:rPr>
          <w:rFonts w:ascii="Arial" w:cs="Arial" w:eastAsia="Arial" w:hAnsi="Arial"/>
          <w:sz w:val="18"/>
          <w:szCs w:val="18"/>
          <w:b w:val="1"/>
          <w:bCs w:val="1"/>
          <w:color w:val="auto"/>
        </w:rPr>
        <w:t xml:space="preserve"> </w:t>
      </w:r>
      <w:r>
        <w:rPr>
          <w:rFonts w:ascii="Arial" w:cs="Arial" w:eastAsia="Arial" w:hAnsi="Arial"/>
          <w:sz w:val="18"/>
          <w:szCs w:val="18"/>
          <w:color w:val="auto"/>
        </w:rPr>
        <w:t>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28.35. </w:t>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Aeglea BioTherapeutics, Inc. 2016 Equity Incentive Plan,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28.36. </w:t>
      </w:r>
      <w:r>
        <w:rPr>
          <w:rFonts w:ascii="Arial" w:cs="Arial" w:eastAsia="Arial" w:hAnsi="Arial"/>
          <w:sz w:val="16"/>
          <w:szCs w:val="16"/>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means the price to be paid for Shares acquired under the Plan, other than Shares acquired upon exercise of an Option or SAR.</w:t>
      </w:r>
    </w:p>
    <w:p>
      <w:pPr>
        <w:spacing w:after="0" w:line="248"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b w:val="1"/>
          <w:bCs w:val="1"/>
          <w:color w:val="auto"/>
        </w:rPr>
        <w:t xml:space="preserve">28.37.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or Section 12 of the Plan, or issued pursuant to the early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28.38.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9 or Section 12 of the Plan.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28.39. </w:t>
      </w: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28.40. </w:t>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left="4"/>
        <w:spacing w:after="0" w:line="287" w:lineRule="auto"/>
        <w:rPr>
          <w:sz w:val="20"/>
          <w:szCs w:val="20"/>
          <w:color w:val="auto"/>
        </w:rPr>
      </w:pPr>
      <w:r>
        <w:rPr>
          <w:rFonts w:ascii="Arial" w:cs="Arial" w:eastAsia="Arial" w:hAnsi="Arial"/>
          <w:sz w:val="16"/>
          <w:szCs w:val="16"/>
          <w:b w:val="1"/>
          <w:bCs w:val="1"/>
          <w:color w:val="auto"/>
        </w:rPr>
        <w:t xml:space="preserve">28.41. </w:t>
      </w: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shall mean service as an Employee, Consultant, Director or Non-Employee Director, to the Company or a Parent, Subsidiary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Affiliate, subject to such further limitations as may be set forth in the Plan or the applicable Award Agreement. An Employee will not be deemed to have ceased to provide Service in the case of (a) sick leave, (b) military leave, or (c) any other leave of absence approved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leave is for a period of not more than 90 days (x) unless reemployment upon the expiration of such leave is guaranteed by contract or statute, or</w:t>
      </w:r>
    </w:p>
    <w:p>
      <w:pPr>
        <w:spacing w:after="0" w:line="2" w:lineRule="exact"/>
        <w:rPr>
          <w:sz w:val="20"/>
          <w:szCs w:val="20"/>
          <w:color w:val="auto"/>
        </w:rPr>
      </w:pPr>
    </w:p>
    <w:p>
      <w:pPr>
        <w:ind w:left="4" w:hanging="4"/>
        <w:spacing w:after="0" w:line="284" w:lineRule="auto"/>
        <w:tabs>
          <w:tab w:leader="none" w:pos="259" w:val="left"/>
        </w:tabs>
        <w:numPr>
          <w:ilvl w:val="0"/>
          <w:numId w:val="523"/>
        </w:numPr>
        <w:rPr>
          <w:rFonts w:ascii="Arial" w:cs="Arial" w:eastAsia="Arial" w:hAnsi="Arial"/>
          <w:sz w:val="16"/>
          <w:szCs w:val="16"/>
          <w:color w:val="auto"/>
        </w:rPr>
      </w:pPr>
      <w:r>
        <w:rPr>
          <w:rFonts w:ascii="Arial" w:cs="Arial" w:eastAsia="Arial" w:hAnsi="Arial"/>
          <w:sz w:val="16"/>
          <w:szCs w:val="16"/>
          <w:color w:val="auto"/>
        </w:rPr>
        <w:t xml:space="preserve">unless provided otherwise pursuant to formal policy adopted from time to time by the Company’s Board and issued and promulgated to employees in writing.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leave, if required by applicable laws, vesting shall continue for the longest period that vesting continues under any other statutory or Company approved leave of absence and, upon a Participant’s returning from military leave (under conditions that would entitle him or her to protection upon such return under the Uniform Services Employment and Reemployment Rights Act),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a change in status from an employee to a consultant or advisor shall not terminate the service provider’s Service, unless determined by the Committee, in its discretion. The Committee will have sole discretion to determine whether a Participant has ceased to provide Service and the effective date on which the Participant ceased to provide Service.</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28.42. </w:t>
      </w: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 and the common stock of any successor entity.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28.43. </w:t>
      </w: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an Award granted pursuant to Section 8 or Section 12 of the Plan.</w:t>
      </w:r>
    </w:p>
    <w:p>
      <w:pPr>
        <w:sectPr>
          <w:pgSz w:w="11900" w:h="16838" w:orient="portrait"/>
          <w:cols w:equalWidth="0" w:num="1">
            <w:col w:w="11004"/>
          </w:cols>
          <w:pgMar w:left="436" w:top="269" w:right="45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means an Award granted pursuant to Section 7 or Section 12 of the Plan.</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28.45.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last corporation in the unbroken chain owns stock possessing fifty percent (50%) or more of the total combined voting power of all classes of stock in one of the other corporations in such chain.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regulations promulgated by the United States Treasury Department.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28.47.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ectPr>
          <w:pgSz w:w="11900" w:h="16838" w:orient="portrait"/>
          <w:cols w:equalWidth="0" w:num="1">
            <w:col w:w="10980"/>
          </w:cols>
          <w:pgMar w:left="440" w:top="269" w:right="479" w:bottom="1440" w:gutter="0" w:footer="0" w:header="0"/>
        </w:sectPr>
      </w:pPr>
    </w:p>
    <w:bookmarkStart w:id="593" w:name="page594"/>
    <w:bookmarkEnd w:id="593"/>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FIRST AMENDMENT TO THE</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2016 EQUITY INCENTIVE PLAN</w:t>
      </w:r>
    </w:p>
    <w:p>
      <w:pPr>
        <w:spacing w:after="0" w:line="207" w:lineRule="exact"/>
        <w:rPr>
          <w:sz w:val="20"/>
          <w:szCs w:val="20"/>
          <w:color w:val="auto"/>
        </w:rPr>
      </w:pPr>
    </w:p>
    <w:p>
      <w:pPr>
        <w:ind w:left="4" w:right="4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Aeglea Biotherapeutics,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maintains the Aeglea Biotherapeutics, Inc. 2016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24 of the Plan,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may amend the Plan at any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pursuant to its authority under Section 24 of the Plan, the Board hereby amends the Plan as follows, effective as of</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22, 2023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16" w:lineRule="exact"/>
        <w:rPr>
          <w:sz w:val="20"/>
          <w:szCs w:val="20"/>
          <w:color w:val="auto"/>
        </w:rPr>
      </w:pPr>
    </w:p>
    <w:p>
      <w:pPr>
        <w:ind w:left="424" w:hanging="424"/>
        <w:spacing w:after="0"/>
        <w:tabs>
          <w:tab w:leader="none" w:pos="424"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Section 2.5 of the Plan is hereby amended and restated in its entirety to read as follows:</w:t>
      </w:r>
    </w:p>
    <w:p>
      <w:pPr>
        <w:spacing w:after="0" w:line="11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Limitations</w:t>
      </w:r>
      <w:r>
        <w:rPr>
          <w:rFonts w:ascii="Arial" w:cs="Arial" w:eastAsia="Arial" w:hAnsi="Arial"/>
          <w:sz w:val="18"/>
          <w:szCs w:val="18"/>
          <w:color w:val="auto"/>
        </w:rPr>
        <w:t>. No more than 8,200,000 Shares shall be issued pursuant to the exercise of ISOs.”</w:t>
      </w:r>
    </w:p>
    <w:p>
      <w:pPr>
        <w:spacing w:after="0" w:line="135" w:lineRule="exact"/>
        <w:rPr>
          <w:sz w:val="20"/>
          <w:szCs w:val="20"/>
          <w:color w:val="auto"/>
        </w:rPr>
      </w:pPr>
    </w:p>
    <w:p>
      <w:pPr>
        <w:ind w:left="424" w:right="420" w:hanging="424"/>
        <w:spacing w:after="0" w:line="277" w:lineRule="auto"/>
        <w:tabs>
          <w:tab w:leader="none" w:pos="42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This First Amendment shall be governed by and construed in accordance with the laws of the State of Delaware (excluding its conflict of law rules).</w:t>
      </w:r>
    </w:p>
    <w:p>
      <w:pPr>
        <w:spacing w:after="0" w:line="75"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All capitalized terms used but not otherwise defined herein shall have the meaning assigned to them in the Plan. Except as expressly amended hereby, the Plan shall remain in full force and effect in accordance with its terms.</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4"/>
          </w:cols>
          <w:pgMar w:left="436" w:top="121" w:right="439" w:bottom="1440" w:gutter="0" w:footer="0" w:header="0"/>
        </w:sectPr>
      </w:pPr>
    </w:p>
    <w:bookmarkStart w:id="594" w:name="page595"/>
    <w:bookmarkEnd w:id="59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undersigned has executed this First Amendment to the Aeglea Biotherapeutics, Inc. 2016 Equity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Amendment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Jonathan Alspaugh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Alspaugh</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Financial Officer</w:t>
      </w:r>
    </w:p>
    <w:p>
      <w:pPr>
        <w:sectPr>
          <w:pgSz w:w="11900" w:h="16838" w:orient="portrait"/>
          <w:cols w:equalWidth="0" w:num="1">
            <w:col w:w="10900"/>
          </w:cols>
          <w:pgMar w:left="440" w:top="269" w:right="55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2016 EMPLOYEE STOCK PURCHASE PLAN</w:t>
      </w:r>
    </w:p>
    <w:p>
      <w:pPr>
        <w:spacing w:after="0" w:line="225" w:lineRule="exact"/>
        <w:rPr>
          <w:sz w:val="20"/>
          <w:szCs w:val="20"/>
          <w:color w:val="auto"/>
        </w:rPr>
      </w:pPr>
    </w:p>
    <w:p>
      <w:pPr>
        <w:ind w:left="4" w:right="400" w:hanging="4"/>
        <w:spacing w:after="0" w:line="314" w:lineRule="auto"/>
        <w:tabs>
          <w:tab w:leader="none" w:pos="184" w:val="left"/>
        </w:tabs>
        <w:numPr>
          <w:ilvl w:val="0"/>
          <w:numId w:val="5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Aeglea BioTherapeutics, Inc. has adopted this Plan effective as of the date of the IPO. The purpose of this Plan is to provide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of the Company and the Participating Corporations with a means of acquiring an equity interest in the Company and to enhance such employees’ sense of participation in the Company’s affairs. Capitalized terms not defined elsewhere in the text are defined in Section 28.</w:t>
      </w:r>
    </w:p>
    <w:p>
      <w:pPr>
        <w:spacing w:after="0" w:line="141" w:lineRule="exact"/>
        <w:rPr>
          <w:rFonts w:ascii="Arial" w:cs="Arial" w:eastAsia="Arial" w:hAnsi="Arial"/>
          <w:sz w:val="16"/>
          <w:szCs w:val="16"/>
          <w:b w:val="1"/>
          <w:bCs w:val="1"/>
          <w:color w:val="auto"/>
        </w:rPr>
      </w:pPr>
    </w:p>
    <w:p>
      <w:pPr>
        <w:ind w:left="4" w:right="100" w:hanging="4"/>
        <w:spacing w:after="0" w:line="272" w:lineRule="auto"/>
        <w:tabs>
          <w:tab w:leader="none" w:pos="184" w:val="left"/>
        </w:tabs>
        <w:numPr>
          <w:ilvl w:val="0"/>
          <w:numId w:val="5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ESTABLISHMENT OF PLAN. </w:t>
      </w:r>
      <w:r>
        <w:rPr>
          <w:rFonts w:ascii="Arial" w:cs="Arial" w:eastAsia="Arial" w:hAnsi="Arial"/>
          <w:sz w:val="17"/>
          <w:szCs w:val="17"/>
          <w:color w:val="auto"/>
        </w:rPr>
        <w:t>The Company proposes to grant rights to purchase shares of Common Stock to eligible employees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in Section 423 of the Code shall have the definition provided by Section 423 of the Code.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the requirements of Section 423 of the Code provided that, to the extent necessary under Section 423 of the Code, the other terms and conditions of this Plan are met.</w:t>
      </w:r>
    </w:p>
    <w:p>
      <w:pPr>
        <w:spacing w:after="0" w:line="176" w:lineRule="exact"/>
        <w:rPr>
          <w:sz w:val="20"/>
          <w:szCs w:val="20"/>
          <w:color w:val="auto"/>
        </w:rPr>
      </w:pPr>
    </w:p>
    <w:p>
      <w:pPr>
        <w:ind w:left="4" w:right="40"/>
        <w:spacing w:after="0" w:line="254" w:lineRule="auto"/>
        <w:rPr>
          <w:sz w:val="20"/>
          <w:szCs w:val="20"/>
          <w:color w:val="auto"/>
        </w:rPr>
      </w:pPr>
      <w:r>
        <w:rPr>
          <w:rFonts w:ascii="Arial" w:cs="Arial" w:eastAsia="Arial" w:hAnsi="Arial"/>
          <w:sz w:val="18"/>
          <w:szCs w:val="18"/>
          <w:color w:val="auto"/>
        </w:rPr>
        <w:t>Subject to Section 14, a total of 165,000 shares of Common Stock is reserved for issuance under this Plan. In addition, on each January 1 for each of the calendar years beginning 2019 and ending 2026, the aggregate number of shares of Common Stock reserved for issuance under the Plan shall be increased automatically by the number of shares equal to one percent (1%) of the total number of outstanding shares of Common Stock and Common Stock equivalents outstanding on the immediately preceding December 31 (</w:t>
      </w:r>
      <w:r>
        <w:rPr>
          <w:rFonts w:ascii="Arial" w:cs="Arial" w:eastAsia="Arial" w:hAnsi="Arial"/>
          <w:sz w:val="18"/>
          <w:szCs w:val="18"/>
          <w:u w:val="single" w:color="auto"/>
          <w:color w:val="auto"/>
        </w:rPr>
        <w:t>rounded down to the nearest whole 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Board may in its sole discretion reduce the amount of the increase in any particular year. Subject to Section 14, no more than 2,900,000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88" w:lineRule="exact"/>
        <w:rPr>
          <w:sz w:val="20"/>
          <w:szCs w:val="20"/>
          <w:color w:val="auto"/>
        </w:rPr>
      </w:pPr>
    </w:p>
    <w:p>
      <w:pPr>
        <w:ind w:left="4" w:right="80" w:hanging="4"/>
        <w:spacing w:after="0" w:line="268" w:lineRule="auto"/>
        <w:tabs>
          <w:tab w:leader="none" w:pos="184" w:val="left"/>
        </w:tabs>
        <w:numPr>
          <w:ilvl w:val="0"/>
          <w:numId w:val="5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this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this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this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even if the dates of the applicable Offering Periods of each such offering are identical.</w:t>
      </w:r>
    </w:p>
    <w:p>
      <w:pPr>
        <w:sectPr>
          <w:pgSz w:w="11900" w:h="16838" w:orient="portrait"/>
          <w:cols w:equalWidth="0" w:num="1">
            <w:col w:w="11024"/>
          </w:cols>
          <w:pgMar w:left="436" w:top="121" w:right="439" w:bottom="1440" w:gutter="0" w:footer="0" w:header="0"/>
        </w:sectPr>
      </w:pPr>
    </w:p>
    <w:bookmarkStart w:id="596" w:name="page597"/>
    <w:bookmarkEnd w:id="59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ELIGIBILITY.</w:t>
      </w:r>
    </w:p>
    <w:p>
      <w:pPr>
        <w:spacing w:after="0" w:line="229" w:lineRule="exact"/>
        <w:rPr>
          <w:sz w:val="20"/>
          <w:szCs w:val="20"/>
          <w:color w:val="auto"/>
        </w:rPr>
      </w:pPr>
    </w:p>
    <w:p>
      <w:pPr>
        <w:ind w:left="4" w:right="180" w:hanging="4"/>
        <w:spacing w:after="0" w:line="263" w:lineRule="auto"/>
        <w:tabs>
          <w:tab w:leader="none" w:pos="249"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eligibility under this Plan by the Committee (other than where such exclusion is prohibited by applicable law):</w:t>
      </w:r>
    </w:p>
    <w:p>
      <w:pPr>
        <w:spacing w:after="0" w:line="76" w:lineRule="exact"/>
        <w:rPr>
          <w:sz w:val="20"/>
          <w:szCs w:val="20"/>
          <w:color w:val="auto"/>
        </w:rPr>
      </w:pPr>
    </w:p>
    <w:p>
      <w:pPr>
        <w:ind w:left="224" w:hanging="224"/>
        <w:spacing w:after="0"/>
        <w:tabs>
          <w:tab w:leader="none" w:pos="224" w:val="left"/>
        </w:tabs>
        <w:numPr>
          <w:ilvl w:val="0"/>
          <w:numId w:val="529"/>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hours or less per week;</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29"/>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 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29"/>
        </w:numPr>
        <w:rPr>
          <w:rFonts w:ascii="Arial" w:cs="Arial" w:eastAsia="Arial" w:hAnsi="Arial"/>
          <w:sz w:val="16"/>
          <w:szCs w:val="16"/>
          <w:color w:val="auto"/>
        </w:rPr>
      </w:pPr>
      <w:r>
        <w:rPr>
          <w:rFonts w:ascii="Arial" w:cs="Arial" w:eastAsia="Arial" w:hAnsi="Arial"/>
          <w:sz w:val="16"/>
          <w:szCs w:val="16"/>
          <w:color w:val="auto"/>
        </w:rPr>
        <w:t>employees who do not meet any other eligibility requirements that the Committee may choose to impose (within the limits permitted by the Code).</w:t>
      </w:r>
    </w:p>
    <w:p>
      <w:pPr>
        <w:spacing w:after="0" w:line="248"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Notwithstanding the foregoing, an individual shall not be eligible if his or her participation in this Plan is prohibited by the law of any country having jurisdiction over him or her, if complying with the laws of the applicable country would cause the Plan to violate Section 423 of the Code, or if he or she is subject to a collective bargaining agreement that does not provide for participation in this Plan.</w:t>
      </w:r>
    </w:p>
    <w:p>
      <w:pPr>
        <w:spacing w:after="0" w:line="184" w:lineRule="exact"/>
        <w:rPr>
          <w:sz w:val="20"/>
          <w:szCs w:val="20"/>
          <w:color w:val="auto"/>
        </w:rPr>
      </w:pPr>
    </w:p>
    <w:p>
      <w:pPr>
        <w:ind w:left="4" w:right="100" w:hanging="4"/>
        <w:spacing w:after="0" w:line="272" w:lineRule="auto"/>
        <w:tabs>
          <w:tab w:leader="none" w:pos="259" w:val="left"/>
        </w:tabs>
        <w:numPr>
          <w:ilvl w:val="0"/>
          <w:numId w:val="530"/>
        </w:numPr>
        <w:rPr>
          <w:rFonts w:ascii="Arial" w:cs="Arial" w:eastAsia="Arial" w:hAnsi="Arial"/>
          <w:sz w:val="17"/>
          <w:szCs w:val="17"/>
          <w:color w:val="auto"/>
        </w:rPr>
      </w:pPr>
      <w:r>
        <w:rPr>
          <w:rFonts w:ascii="Arial" w:cs="Arial" w:eastAsia="Arial" w:hAnsi="Arial"/>
          <w:sz w:val="17"/>
          <w:szCs w:val="17"/>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this Plan. Notwithstanding the foregoing, the rules of Section 424(d) of the Code shall apply in determining share ownership and the extent to which shares held under outstanding equity awards are to be treated as owned by the employee.</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OFFERING DATES.</w:t>
      </w:r>
    </w:p>
    <w:p>
      <w:pPr>
        <w:spacing w:after="0" w:line="229" w:lineRule="exact"/>
        <w:rPr>
          <w:sz w:val="20"/>
          <w:szCs w:val="20"/>
          <w:color w:val="auto"/>
        </w:rPr>
      </w:pPr>
    </w:p>
    <w:p>
      <w:pPr>
        <w:ind w:left="4" w:right="240" w:hanging="4"/>
        <w:spacing w:after="0" w:line="263" w:lineRule="auto"/>
        <w:tabs>
          <w:tab w:leader="none" w:pos="249" w:val="left"/>
        </w:tabs>
        <w:numPr>
          <w:ilvl w:val="0"/>
          <w:numId w:val="531"/>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Purchase Period during which Contributions made by Participants are accumulated under this Plan.</w:t>
      </w:r>
    </w:p>
    <w:p>
      <w:pPr>
        <w:spacing w:after="0" w:line="183" w:lineRule="exact"/>
        <w:rPr>
          <w:rFonts w:ascii="Arial" w:cs="Arial" w:eastAsia="Arial" w:hAnsi="Arial"/>
          <w:sz w:val="18"/>
          <w:szCs w:val="18"/>
          <w:color w:val="auto"/>
        </w:rPr>
      </w:pPr>
    </w:p>
    <w:p>
      <w:pPr>
        <w:ind w:left="4" w:right="80" w:hanging="4"/>
        <w:spacing w:after="0" w:line="254" w:lineRule="auto"/>
        <w:tabs>
          <w:tab w:leader="none" w:pos="256"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initial Offering Period shall commence on the Effective Date and shall end with the Purchase Date that occurs on August 15, 2016 or another date selected by the Committee which is approximately six (6) months after the commencement of the initial Offering Period, but no more than twenty-seven (27) months after the commencement of the initial Offering period. The initial Offering Period shall consist of one Purchase Period. Thereafter, a six-month Offering Period shall commence on each February 16 and August 16, with each such Offering Period also consisting of one six-month Purchase Period, except as otherwise provided by an applicable sub-plan, or on such other date determined by the Committee. The Committee may at any time establish a different duration for an Offering Period or Purchase Period to be effective after the next scheduled Purchase Date, up to a maximum duration of twenty-seven (27) months.</w:t>
      </w:r>
    </w:p>
    <w:p>
      <w:pPr>
        <w:spacing w:after="0" w:line="194" w:lineRule="exact"/>
        <w:rPr>
          <w:rFonts w:ascii="Arial" w:cs="Arial" w:eastAsia="Arial" w:hAnsi="Arial"/>
          <w:sz w:val="18"/>
          <w:szCs w:val="18"/>
          <w:color w:val="auto"/>
        </w:rPr>
      </w:pPr>
    </w:p>
    <w:p>
      <w:pPr>
        <w:ind w:left="4" w:right="60" w:hanging="4"/>
        <w:spacing w:after="0" w:line="257" w:lineRule="auto"/>
        <w:tabs>
          <w:tab w:leader="none" w:pos="249"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To the extent applicable, if the Fair Market Value on the first day of the current Offering Period in which a Participant is enrolled is higher than the Fair Market Value on the first day of any subsequent Purchase Period, the current Offering Period shall end, and Participant shall be automatically enrolled in the subsequent Offering Period, as specified under Section 5(a) or Section 5(b), as applicable. Any funds accumulated in a Participant’s account prior to the first day of such subsequent Offering Period will be applied to the purchase of shares on the Purchase Date immediately prior to the first day of such subsequent Offering Period, if any.</w:t>
      </w:r>
    </w:p>
    <w:p>
      <w:pPr>
        <w:sectPr>
          <w:pgSz w:w="11900" w:h="16838" w:orient="portrait"/>
          <w:cols w:equalWidth="0" w:num="1">
            <w:col w:w="10984"/>
          </w:cols>
          <w:pgMar w:left="436" w:top="269" w:right="479" w:bottom="1440" w:gutter="0" w:footer="0" w:header="0"/>
        </w:sectPr>
      </w:pPr>
    </w:p>
    <w:bookmarkStart w:id="597" w:name="page598"/>
    <w:bookmarkEnd w:id="59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 PARTICIPATION IN THIS PLAN.</w:t>
      </w:r>
    </w:p>
    <w:p>
      <w:pPr>
        <w:spacing w:after="0" w:line="229" w:lineRule="exact"/>
        <w:rPr>
          <w:sz w:val="20"/>
          <w:szCs w:val="20"/>
          <w:color w:val="auto"/>
        </w:rPr>
      </w:pPr>
    </w:p>
    <w:p>
      <w:pPr>
        <w:ind w:left="4" w:right="120" w:hanging="4"/>
        <w:spacing w:after="0" w:line="259" w:lineRule="auto"/>
        <w:tabs>
          <w:tab w:leader="none" w:pos="249"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immediately prior to the initial Offering Period will be automatically enrolled in the initial Offering Period under this Plan for the maximum number of shares of Common Stock purchasable. With respect to subsequent Offering Periods, any eligible employee determined in accordance with Section 4 will be eligible to participate in this Plan, subject to the requirement of Section 6(b) hereof and the other terms and provisions of this Plan.</w:t>
      </w:r>
    </w:p>
    <w:p>
      <w:pPr>
        <w:spacing w:after="0" w:line="186" w:lineRule="exact"/>
        <w:rPr>
          <w:rFonts w:ascii="Arial" w:cs="Arial" w:eastAsia="Arial" w:hAnsi="Arial"/>
          <w:sz w:val="18"/>
          <w:szCs w:val="18"/>
          <w:color w:val="auto"/>
        </w:rPr>
      </w:pPr>
    </w:p>
    <w:p>
      <w:pPr>
        <w:ind w:left="264" w:hanging="264"/>
        <w:spacing w:after="0"/>
        <w:tabs>
          <w:tab w:leader="none" w:pos="264" w:val="left"/>
        </w:tabs>
        <w:numPr>
          <w:ilvl w:val="0"/>
          <w:numId w:val="532"/>
        </w:numPr>
        <w:rPr>
          <w:rFonts w:ascii="Arial" w:cs="Arial" w:eastAsia="Arial" w:hAnsi="Arial"/>
          <w:sz w:val="17"/>
          <w:szCs w:val="17"/>
          <w:color w:val="auto"/>
        </w:rPr>
      </w:pPr>
      <w:r>
        <w:rPr>
          <w:rFonts w:ascii="Arial" w:cs="Arial" w:eastAsia="Arial" w:hAnsi="Arial"/>
          <w:sz w:val="17"/>
          <w:szCs w:val="17"/>
          <w:color w:val="auto"/>
        </w:rPr>
        <w:t>With respect to Offering Periods after the initial Offering Period, a Participant may elect to participate in this Plan by submitting an enrollment</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6"/>
          <w:szCs w:val="16"/>
          <w:color w:val="auto"/>
        </w:rPr>
        <w:t>agreement prior to the commencement of the Offering Period (or such earlier date as the Committee may determine) to which such agreement relates.</w:t>
      </w:r>
    </w:p>
    <w:p>
      <w:pPr>
        <w:spacing w:after="0" w:line="233" w:lineRule="exact"/>
        <w:rPr>
          <w:rFonts w:ascii="Arial" w:cs="Arial" w:eastAsia="Arial" w:hAnsi="Arial"/>
          <w:sz w:val="17"/>
          <w:szCs w:val="17"/>
          <w:color w:val="auto"/>
        </w:rPr>
      </w:pPr>
    </w:p>
    <w:p>
      <w:pPr>
        <w:ind w:left="4" w:hanging="4"/>
        <w:spacing w:after="0" w:line="273" w:lineRule="auto"/>
        <w:tabs>
          <w:tab w:leader="none" w:pos="249" w:val="left"/>
        </w:tabs>
        <w:numPr>
          <w:ilvl w:val="0"/>
          <w:numId w:val="532"/>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74" w:lineRule="exact"/>
        <w:rPr>
          <w:sz w:val="20"/>
          <w:szCs w:val="20"/>
          <w:color w:val="auto"/>
        </w:rPr>
      </w:pPr>
    </w:p>
    <w:p>
      <w:pPr>
        <w:ind w:left="4" w:hanging="4"/>
        <w:spacing w:after="0" w:line="289" w:lineRule="auto"/>
        <w:tabs>
          <w:tab w:leader="none" w:pos="184" w:val="left"/>
        </w:tabs>
        <w:numPr>
          <w:ilvl w:val="0"/>
          <w:numId w:val="5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by the Company to such Participant of an option to purchase on the Purchase Date up to that number of shares of Common Stock of the Company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for the Purchase Period within the initial Offering Period the numerator shall be fifteen percent (15%) of the Participant’s compensation for such Purchase Period, or such lower percentage as determined by the Committee prior to the start of the Offering Period, and provided, further, that the number of shares of Common Stock subject to any option granted pursuant to this Plan shall not exceed the lesser of (x) the maximum number of shares set by the Committee pursuant to Section l0(b) below with respect to the applicable Purchase Date, or (y) the maximum number of shares which may be purchased pursuant to Section 10(a) below with respect to the applicable Purchase Date.</w:t>
      </w:r>
    </w:p>
    <w:p>
      <w:pPr>
        <w:spacing w:after="0" w:line="160" w:lineRule="exact"/>
        <w:rPr>
          <w:rFonts w:ascii="Arial" w:cs="Arial" w:eastAsia="Arial" w:hAnsi="Arial"/>
          <w:sz w:val="16"/>
          <w:szCs w:val="16"/>
          <w:b w:val="1"/>
          <w:bCs w:val="1"/>
          <w:color w:val="auto"/>
        </w:rPr>
      </w:pPr>
    </w:p>
    <w:p>
      <w:pPr>
        <w:ind w:left="4" w:right="480" w:hanging="4"/>
        <w:spacing w:after="0" w:line="282" w:lineRule="auto"/>
        <w:tabs>
          <w:tab w:leader="none" w:pos="184"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58" w:lineRule="exact"/>
        <w:rPr>
          <w:sz w:val="20"/>
          <w:szCs w:val="20"/>
          <w:color w:val="auto"/>
        </w:rPr>
      </w:pPr>
    </w:p>
    <w:p>
      <w:pPr>
        <w:ind w:left="244" w:hanging="244"/>
        <w:spacing w:after="0"/>
        <w:tabs>
          <w:tab w:leader="none" w:pos="24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9. PAYMENT OF PURCHASE PRICE; CONTRIBUTION CHANGES; SHARE ISSUANCES.</w:t>
      </w:r>
    </w:p>
    <w:p>
      <w:pPr>
        <w:spacing w:after="0" w:line="229" w:lineRule="exact"/>
        <w:rPr>
          <w:sz w:val="20"/>
          <w:szCs w:val="20"/>
          <w:color w:val="auto"/>
        </w:rPr>
      </w:pPr>
    </w:p>
    <w:p>
      <w:pPr>
        <w:ind w:left="4" w:right="20" w:hanging="4"/>
        <w:spacing w:after="0" w:line="270" w:lineRule="auto"/>
        <w:tabs>
          <w:tab w:leader="none" w:pos="249" w:val="left"/>
        </w:tabs>
        <w:numPr>
          <w:ilvl w:val="0"/>
          <w:numId w:val="535"/>
        </w:numPr>
        <w:rPr>
          <w:rFonts w:ascii="Arial" w:cs="Arial" w:eastAsia="Arial" w:hAnsi="Arial"/>
          <w:sz w:val="17"/>
          <w:szCs w:val="17"/>
          <w:color w:val="auto"/>
        </w:rPr>
      </w:pPr>
      <w:r>
        <w:rPr>
          <w:rFonts w:ascii="Arial" w:cs="Arial" w:eastAsia="Arial" w:hAnsi="Arial"/>
          <w:sz w:val="17"/>
          <w:szCs w:val="17"/>
          <w:color w:val="auto"/>
        </w:rPr>
        <w:t xml:space="preserve">The Purchase Price shall be accumulated by regular payroll deductions made during each Offering Period, unless the Committee determines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xml:space="preserve"> shall mean base salary (or in foreign jurisdictions, equivalent cash compensation); however, the Committee may at any time prior to the beginning of an Offering Period determine that for that and future Offering Periods, Compensation shall mean all cash compensation reported on the employee’s Form W-2 or corresponding local country tax return, including without limitation base salary or regular hourly wages , bonuses, incentive compensation, commissions, overtime, shift premiums, and draws against commissions. For purposes of determining a Participant’s Compensation, any election by such Participant to reduce his or her regular cash remuneration under Sections 125 or 40l(k) of the Code (or in</w:t>
      </w:r>
    </w:p>
    <w:p>
      <w:pPr>
        <w:sectPr>
          <w:pgSz w:w="11900" w:h="16838" w:orient="portrait"/>
          <w:cols w:equalWidth="0" w:num="1">
            <w:col w:w="10984"/>
          </w:cols>
          <w:pgMar w:left="436" w:top="269" w:right="479" w:bottom="1440" w:gutter="0" w:footer="0" w:header="0"/>
        </w:sectPr>
      </w:pPr>
    </w:p>
    <w:bookmarkStart w:id="598" w:name="page599"/>
    <w:bookmarkEnd w:id="598"/>
    <w:p>
      <w:pPr>
        <w:jc w:val="both"/>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jurisdictions, equivalent salary deductions) shall be treated as if the Participant did not make such election. Contributions shall commence on the first payday following the last Purchase Date (with respect to the initial Offering Period, as soon as practicable following the effective date of filing with the U.S. Securities and Exchange Commission a securities registration statement for the Plan) and shall continue to the end of the Offering Period unless sooner altered or terminated as provided in this Plan. Notwithstanding the foregoing, the terms of any sub-plan may permit matching shares without the payment of any purchase price.</w:t>
      </w:r>
    </w:p>
    <w:p>
      <w:pPr>
        <w:spacing w:after="0" w:line="188" w:lineRule="exact"/>
        <w:rPr>
          <w:sz w:val="20"/>
          <w:szCs w:val="20"/>
          <w:color w:val="auto"/>
        </w:rPr>
      </w:pPr>
    </w:p>
    <w:p>
      <w:pPr>
        <w:ind w:left="4" w:hanging="4"/>
        <w:spacing w:after="0" w:line="254" w:lineRule="auto"/>
        <w:tabs>
          <w:tab w:leader="none" w:pos="259" w:val="left"/>
        </w:tabs>
        <w:numPr>
          <w:ilvl w:val="0"/>
          <w:numId w:val="536"/>
        </w:numPr>
        <w:rPr>
          <w:rFonts w:ascii="Arial" w:cs="Arial" w:eastAsia="Arial" w:hAnsi="Arial"/>
          <w:sz w:val="18"/>
          <w:szCs w:val="18"/>
          <w:color w:val="auto"/>
        </w:rPr>
      </w:pPr>
      <w:r>
        <w:rPr>
          <w:rFonts w:ascii="Arial" w:cs="Arial" w:eastAsia="Arial" w:hAnsi="Arial"/>
          <w:sz w:val="18"/>
          <w:szCs w:val="18"/>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but up to twice during the initial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94" w:lineRule="exact"/>
        <w:rPr>
          <w:rFonts w:ascii="Arial" w:cs="Arial" w:eastAsia="Arial" w:hAnsi="Arial"/>
          <w:sz w:val="18"/>
          <w:szCs w:val="18"/>
          <w:color w:val="auto"/>
        </w:rPr>
      </w:pPr>
    </w:p>
    <w:p>
      <w:pPr>
        <w:ind w:left="4" w:hanging="4"/>
        <w:spacing w:after="0" w:line="286" w:lineRule="auto"/>
        <w:tabs>
          <w:tab w:leader="none" w:pos="249" w:val="left"/>
        </w:tabs>
        <w:numPr>
          <w:ilvl w:val="0"/>
          <w:numId w:val="536"/>
        </w:numPr>
        <w:rPr>
          <w:rFonts w:ascii="Arial" w:cs="Arial" w:eastAsia="Arial" w:hAnsi="Arial"/>
          <w:sz w:val="16"/>
          <w:szCs w:val="16"/>
          <w:color w:val="auto"/>
        </w:rPr>
      </w:pPr>
      <w:r>
        <w:rPr>
          <w:rFonts w:ascii="Arial" w:cs="Arial" w:eastAsia="Arial" w:hAnsi="Arial"/>
          <w:sz w:val="16"/>
          <w:szCs w:val="16"/>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w:t>
      </w:r>
    </w:p>
    <w:p>
      <w:pPr>
        <w:spacing w:after="0" w:line="1" w:lineRule="exact"/>
        <w:rPr>
          <w:rFonts w:ascii="Arial" w:cs="Arial" w:eastAsia="Arial" w:hAnsi="Arial"/>
          <w:sz w:val="16"/>
          <w:szCs w:val="16"/>
          <w:color w:val="auto"/>
        </w:rPr>
      </w:pPr>
    </w:p>
    <w:p>
      <w:pPr>
        <w:ind w:left="4" w:right="180" w:hanging="4"/>
        <w:spacing w:after="0" w:line="260" w:lineRule="auto"/>
        <w:tabs>
          <w:tab w:leader="none" w:pos="249" w:val="left"/>
        </w:tabs>
        <w:numPr>
          <w:ilvl w:val="0"/>
          <w:numId w:val="537"/>
        </w:numPr>
        <w:rPr>
          <w:rFonts w:ascii="Arial" w:cs="Arial" w:eastAsia="Arial" w:hAnsi="Arial"/>
          <w:sz w:val="18"/>
          <w:szCs w:val="18"/>
          <w:color w:val="auto"/>
        </w:rPr>
      </w:pPr>
      <w:r>
        <w:rPr>
          <w:rFonts w:ascii="Arial" w:cs="Arial" w:eastAsia="Arial" w:hAnsi="Arial"/>
          <w:sz w:val="18"/>
          <w:szCs w:val="18"/>
          <w:color w:val="auto"/>
        </w:rPr>
        <w:t>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85" w:lineRule="exact"/>
        <w:rPr>
          <w:rFonts w:ascii="Arial" w:cs="Arial" w:eastAsia="Arial" w:hAnsi="Arial"/>
          <w:sz w:val="18"/>
          <w:szCs w:val="18"/>
          <w:color w:val="auto"/>
        </w:rPr>
      </w:pPr>
    </w:p>
    <w:p>
      <w:pPr>
        <w:ind w:left="4" w:right="140" w:hanging="4"/>
        <w:spacing w:after="0" w:line="257" w:lineRule="auto"/>
        <w:tabs>
          <w:tab w:leader="none" w:pos="259"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87" w:lineRule="exact"/>
        <w:rPr>
          <w:rFonts w:ascii="Arial" w:cs="Arial" w:eastAsia="Arial" w:hAnsi="Arial"/>
          <w:sz w:val="18"/>
          <w:szCs w:val="18"/>
          <w:color w:val="auto"/>
        </w:rPr>
      </w:pPr>
    </w:p>
    <w:p>
      <w:pPr>
        <w:ind w:left="4" w:right="20" w:hanging="4"/>
        <w:spacing w:after="0" w:line="286" w:lineRule="auto"/>
        <w:tabs>
          <w:tab w:leader="none" w:pos="249" w:val="left"/>
        </w:tabs>
        <w:numPr>
          <w:ilvl w:val="0"/>
          <w:numId w:val="538"/>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for such automatic purchase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that is less than the amount necessary to purchase a full share of Common Stock shall be returned to the Participant, without interest (except to the extent necessary to comply with local legal requirements outside the United States); however, the Committee may provide that such amounts may be carried forward into the next Purchase Period or Offering Period, as the case may be.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ectPr>
          <w:pgSz w:w="11900" w:h="16838" w:orient="portrait"/>
          <w:cols w:equalWidth="0" w:num="1">
            <w:col w:w="11004"/>
          </w:cols>
          <w:pgMar w:left="436" w:top="273" w:right="459" w:bottom="1440" w:gutter="0" w:footer="0" w:header="0"/>
        </w:sectPr>
      </w:pPr>
    </w:p>
    <w:bookmarkStart w:id="599" w:name="page600"/>
    <w:bookmarkEnd w:id="599"/>
    <w:p>
      <w:pPr>
        <w:ind w:left="4" w:right="320" w:hanging="4"/>
        <w:spacing w:after="0" w:line="277" w:lineRule="auto"/>
        <w:tabs>
          <w:tab w:leader="none" w:pos="229" w:val="left"/>
        </w:tabs>
        <w:numPr>
          <w:ilvl w:val="0"/>
          <w:numId w:val="5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promptly as practicable after the Purchase Date, the Company shall issue shares for the Participant’s benefit representing the shares purchased upon exercise of his or her option to purchase shares hereunder.</w:t>
      </w:r>
    </w:p>
    <w:p>
      <w:pPr>
        <w:spacing w:after="0" w:line="170" w:lineRule="exact"/>
        <w:rPr>
          <w:rFonts w:ascii="Arial" w:cs="Arial" w:eastAsia="Arial" w:hAnsi="Arial"/>
          <w:sz w:val="18"/>
          <w:szCs w:val="18"/>
          <w:color w:val="auto"/>
        </w:rPr>
      </w:pPr>
    </w:p>
    <w:p>
      <w:pPr>
        <w:ind w:left="4" w:right="60" w:hanging="4"/>
        <w:spacing w:after="0" w:line="277" w:lineRule="auto"/>
        <w:tabs>
          <w:tab w:leader="none" w:pos="25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beenexercised.</w:t>
      </w:r>
    </w:p>
    <w:p>
      <w:pPr>
        <w:spacing w:after="0" w:line="170" w:lineRule="exact"/>
        <w:rPr>
          <w:rFonts w:ascii="Arial" w:cs="Arial" w:eastAsia="Arial" w:hAnsi="Arial"/>
          <w:sz w:val="18"/>
          <w:szCs w:val="18"/>
          <w:color w:val="auto"/>
        </w:rPr>
      </w:pPr>
    </w:p>
    <w:p>
      <w:pPr>
        <w:ind w:left="4" w:right="40" w:hanging="4"/>
        <w:spacing w:after="0" w:line="293" w:lineRule="auto"/>
        <w:tabs>
          <w:tab w:leader="none" w:pos="259"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 LIMITATIONS ON SHARES TO BE PURCHASED.</w:t>
      </w:r>
    </w:p>
    <w:p>
      <w:pPr>
        <w:spacing w:after="0" w:line="229" w:lineRule="exact"/>
        <w:rPr>
          <w:sz w:val="20"/>
          <w:szCs w:val="20"/>
          <w:color w:val="auto"/>
        </w:rPr>
      </w:pPr>
    </w:p>
    <w:p>
      <w:pPr>
        <w:ind w:left="4" w:right="200" w:hanging="4"/>
        <w:spacing w:after="0" w:line="277" w:lineRule="auto"/>
        <w:tabs>
          <w:tab w:leader="none" w:pos="249"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other provision of the Plan notwithstanding, no Participant shall purchase Common Stock with a Fair Market Value in excess of the following limit: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7"/>
          <w:szCs w:val="17"/>
          <w:color w:val="auto"/>
        </w:rPr>
        <w:t>(i) In the case of Common Stock purchased during an Offering Period that commenced in the current calendar year, the limit shall be equal to (A)</w:t>
      </w:r>
    </w:p>
    <w:p>
      <w:pPr>
        <w:spacing w:after="0" w:line="35" w:lineRule="exact"/>
        <w:rPr>
          <w:sz w:val="20"/>
          <w:szCs w:val="20"/>
          <w:color w:val="auto"/>
        </w:rPr>
      </w:pPr>
    </w:p>
    <w:p>
      <w:pPr>
        <w:ind w:left="4" w:right="220"/>
        <w:spacing w:after="0" w:line="260" w:lineRule="auto"/>
        <w:rPr>
          <w:sz w:val="20"/>
          <w:szCs w:val="20"/>
          <w:color w:val="auto"/>
        </w:rPr>
      </w:pPr>
      <w:r>
        <w:rPr>
          <w:rFonts w:ascii="Arial" w:cs="Arial" w:eastAsia="Arial" w:hAnsi="Arial"/>
          <w:sz w:val="18"/>
          <w:szCs w:val="18"/>
          <w:color w:val="auto"/>
        </w:rPr>
        <w:t>$25,000 minus (B) the Fair Market Value of the Common Stock that the Participant previously purchased in the current calendar year (under this Plan and all other employee stock purchase plans of the Company or any Parent or Subsidiary).</w:t>
      </w:r>
    </w:p>
    <w:p>
      <w:pPr>
        <w:spacing w:after="0" w:line="185" w:lineRule="exact"/>
        <w:rPr>
          <w:sz w:val="20"/>
          <w:szCs w:val="20"/>
          <w:color w:val="auto"/>
        </w:rPr>
      </w:pPr>
    </w:p>
    <w:p>
      <w:pPr>
        <w:ind w:left="4" w:right="260" w:hanging="4"/>
        <w:spacing w:after="0" w:line="259" w:lineRule="auto"/>
        <w:tabs>
          <w:tab w:leader="none" w:pos="269"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87"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92" w:lineRule="exact"/>
        <w:rPr>
          <w:sz w:val="20"/>
          <w:szCs w:val="20"/>
          <w:color w:val="auto"/>
        </w:rPr>
      </w:pPr>
    </w:p>
    <w:p>
      <w:pPr>
        <w:ind w:left="4" w:hanging="4"/>
        <w:spacing w:after="0" w:line="263" w:lineRule="auto"/>
        <w:tabs>
          <w:tab w:leader="none" w:pos="259"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2,000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83" w:lineRule="exact"/>
        <w:rPr>
          <w:rFonts w:ascii="Arial" w:cs="Arial" w:eastAsia="Arial" w:hAnsi="Arial"/>
          <w:sz w:val="18"/>
          <w:szCs w:val="18"/>
          <w:color w:val="auto"/>
        </w:rPr>
      </w:pPr>
    </w:p>
    <w:p>
      <w:pPr>
        <w:ind w:left="4" w:right="20" w:hanging="4"/>
        <w:spacing w:after="0" w:line="259" w:lineRule="auto"/>
        <w:tabs>
          <w:tab w:leader="none" w:pos="249"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ectPr>
          <w:pgSz w:w="11900" w:h="16838" w:orient="portrait"/>
          <w:cols w:equalWidth="0" w:num="1">
            <w:col w:w="11004"/>
          </w:cols>
          <w:pgMar w:left="436" w:top="273" w:right="459" w:bottom="1440" w:gutter="0" w:footer="0" w:header="0"/>
        </w:sectPr>
      </w:pPr>
    </w:p>
    <w:bookmarkStart w:id="600" w:name="page601"/>
    <w:bookmarkEnd w:id="600"/>
    <w:p>
      <w:pPr>
        <w:ind w:left="4" w:right="20" w:hanging="4"/>
        <w:spacing w:after="0" w:line="286" w:lineRule="auto"/>
        <w:tabs>
          <w:tab w:leader="none" w:pos="259" w:val="left"/>
        </w:tabs>
        <w:numPr>
          <w:ilvl w:val="0"/>
          <w:numId w:val="5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Contributions accumulated in a Participant’s account that are not used to purchase stock due to the limitations in this Section 10, and not subject to the automatic purchase provision of Section 9(e), shall be returned to the Participant as soon as practicable after the end of the applicable Purchase Period, without interest (except to the extent required due to local legal requirements outside the United States).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11. WITHDRAW AL.</w:t>
      </w:r>
    </w:p>
    <w:p>
      <w:pPr>
        <w:spacing w:after="0" w:line="229" w:lineRule="exact"/>
        <w:rPr>
          <w:sz w:val="20"/>
          <w:szCs w:val="20"/>
          <w:color w:val="auto"/>
        </w:rPr>
      </w:pPr>
    </w:p>
    <w:p>
      <w:pPr>
        <w:ind w:left="4" w:right="420" w:hanging="4"/>
        <w:spacing w:after="0" w:line="342" w:lineRule="auto"/>
        <w:tabs>
          <w:tab w:leader="none" w:pos="249" w:val="left"/>
        </w:tabs>
        <w:numPr>
          <w:ilvl w:val="0"/>
          <w:numId w:val="544"/>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123" w:lineRule="exact"/>
        <w:rPr>
          <w:rFonts w:ascii="Arial" w:cs="Arial" w:eastAsia="Arial" w:hAnsi="Arial"/>
          <w:sz w:val="16"/>
          <w:szCs w:val="16"/>
          <w:color w:val="auto"/>
        </w:rPr>
      </w:pPr>
    </w:p>
    <w:p>
      <w:pPr>
        <w:ind w:left="4" w:right="80" w:hanging="4"/>
        <w:spacing w:after="0" w:line="275" w:lineRule="auto"/>
        <w:tabs>
          <w:tab w:leader="none" w:pos="259" w:val="left"/>
        </w:tabs>
        <w:numPr>
          <w:ilvl w:val="0"/>
          <w:numId w:val="544"/>
        </w:numPr>
        <w:rPr>
          <w:rFonts w:ascii="Arial" w:cs="Arial" w:eastAsia="Arial" w:hAnsi="Arial"/>
          <w:sz w:val="17"/>
          <w:szCs w:val="17"/>
          <w:color w:val="auto"/>
        </w:rPr>
      </w:pPr>
      <w:r>
        <w:rPr>
          <w:rFonts w:ascii="Arial" w:cs="Arial" w:eastAsia="Arial" w:hAnsi="Arial"/>
          <w:sz w:val="17"/>
          <w:szCs w:val="17"/>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72" w:lineRule="exact"/>
        <w:rPr>
          <w:sz w:val="20"/>
          <w:szCs w:val="20"/>
          <w:color w:val="auto"/>
        </w:rPr>
      </w:pPr>
    </w:p>
    <w:p>
      <w:pPr>
        <w:ind w:left="4" w:hanging="4"/>
        <w:spacing w:after="0" w:line="270" w:lineRule="auto"/>
        <w:tabs>
          <w:tab w:leader="none" w:pos="274"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Termination of a Participant’s employment for any reason, including retirement, death, disability,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76" w:lineRule="exact"/>
        <w:rPr>
          <w:rFonts w:ascii="Arial" w:cs="Arial" w:eastAsia="Arial" w:hAnsi="Arial"/>
          <w:sz w:val="17"/>
          <w:szCs w:val="17"/>
          <w:b w:val="1"/>
          <w:bCs w:val="1"/>
          <w:color w:val="auto"/>
        </w:rPr>
      </w:pPr>
    </w:p>
    <w:p>
      <w:pPr>
        <w:ind w:left="4" w:right="280" w:hanging="4"/>
        <w:spacing w:after="0" w:line="261" w:lineRule="auto"/>
        <w:tabs>
          <w:tab w:leader="none" w:pos="274"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79" w:lineRule="exact"/>
        <w:rPr>
          <w:rFonts w:ascii="Arial" w:cs="Arial" w:eastAsia="Arial" w:hAnsi="Arial"/>
          <w:sz w:val="18"/>
          <w:szCs w:val="18"/>
          <w:b w:val="1"/>
          <w:bCs w:val="1"/>
          <w:color w:val="auto"/>
        </w:rPr>
      </w:pPr>
    </w:p>
    <w:p>
      <w:pPr>
        <w:ind w:left="4" w:right="80" w:hanging="4"/>
        <w:spacing w:after="0" w:line="256" w:lineRule="auto"/>
        <w:tabs>
          <w:tab w:leader="none" w:pos="274"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of outstanding shares is changed by a stock dividend, recapitalization, stock split, reverse stock split,</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Sections 2 and 10 shall be proportionately adjusted, subject to any required action by the Board or the stockholders of the Company and in compliance with the applicable securities laws; provided that fractions of a share will not be issued.</w:t>
      </w:r>
    </w:p>
    <w:p>
      <w:pPr>
        <w:spacing w:after="0" w:line="187" w:lineRule="exact"/>
        <w:rPr>
          <w:rFonts w:ascii="Arial" w:cs="Arial" w:eastAsia="Arial" w:hAnsi="Arial"/>
          <w:sz w:val="18"/>
          <w:szCs w:val="18"/>
          <w:b w:val="1"/>
          <w:bCs w:val="1"/>
          <w:color w:val="auto"/>
        </w:rPr>
      </w:pPr>
    </w:p>
    <w:p>
      <w:pPr>
        <w:ind w:left="4" w:right="240" w:hanging="4"/>
        <w:spacing w:after="0" w:line="261" w:lineRule="auto"/>
        <w:tabs>
          <w:tab w:leader="none" w:pos="274"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ectPr>
          <w:pgSz w:w="11900" w:h="16838" w:orient="portrait"/>
          <w:cols w:equalWidth="0" w:num="1">
            <w:col w:w="11004"/>
          </w:cols>
          <w:pgMar w:left="436" w:top="273" w:right="459" w:bottom="1440" w:gutter="0" w:footer="0" w:header="0"/>
        </w:sectPr>
      </w:pPr>
    </w:p>
    <w:bookmarkStart w:id="601" w:name="page602"/>
    <w:bookmarkEnd w:id="601"/>
    <w:p>
      <w:pPr>
        <w:ind w:left="4" w:right="40" w:hanging="4"/>
        <w:spacing w:after="0" w:line="256" w:lineRule="auto"/>
        <w:tabs>
          <w:tab w:leader="none" w:pos="274"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187" w:lineRule="exact"/>
        <w:rPr>
          <w:rFonts w:ascii="Arial" w:cs="Arial" w:eastAsia="Arial" w:hAnsi="Arial"/>
          <w:sz w:val="18"/>
          <w:szCs w:val="18"/>
          <w:b w:val="1"/>
          <w:bCs w:val="1"/>
          <w:color w:val="auto"/>
        </w:rPr>
      </w:pPr>
    </w:p>
    <w:p>
      <w:pPr>
        <w:ind w:left="4" w:hanging="4"/>
        <w:spacing w:after="0" w:line="256" w:lineRule="auto"/>
        <w:tabs>
          <w:tab w:leader="none" w:pos="274"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xml:space="preserve">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87" w:lineRule="exact"/>
        <w:rPr>
          <w:rFonts w:ascii="Arial" w:cs="Arial" w:eastAsia="Arial" w:hAnsi="Arial"/>
          <w:sz w:val="18"/>
          <w:szCs w:val="18"/>
          <w:b w:val="1"/>
          <w:bCs w:val="1"/>
          <w:color w:val="auto"/>
        </w:rPr>
      </w:pPr>
    </w:p>
    <w:p>
      <w:pPr>
        <w:ind w:left="4" w:right="20" w:hanging="4"/>
        <w:spacing w:after="0" w:line="266" w:lineRule="auto"/>
        <w:tabs>
          <w:tab w:leader="none" w:pos="274"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to remain in the employ of the Company or any Participating Corporation, or restrict the right of the Company or any Participating Corporation to terminate such employee’s employment.</w:t>
      </w:r>
    </w:p>
    <w:p>
      <w:pPr>
        <w:spacing w:after="0" w:line="175" w:lineRule="exact"/>
        <w:rPr>
          <w:rFonts w:ascii="Arial" w:cs="Arial" w:eastAsia="Arial" w:hAnsi="Arial"/>
          <w:sz w:val="18"/>
          <w:szCs w:val="18"/>
          <w:b w:val="1"/>
          <w:bCs w:val="1"/>
          <w:color w:val="auto"/>
        </w:rPr>
      </w:pPr>
    </w:p>
    <w:p>
      <w:pPr>
        <w:ind w:left="4" w:right="160" w:hanging="4"/>
        <w:spacing w:after="0" w:line="298" w:lineRule="auto"/>
        <w:tabs>
          <w:tab w:leader="none" w:pos="274" w:val="left"/>
        </w:tabs>
        <w:numPr>
          <w:ilvl w:val="0"/>
          <w:numId w:val="5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 equal</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153" w:lineRule="exact"/>
        <w:rPr>
          <w:rFonts w:ascii="Arial" w:cs="Arial" w:eastAsia="Arial" w:hAnsi="Arial"/>
          <w:sz w:val="16"/>
          <w:szCs w:val="16"/>
          <w:b w:val="1"/>
          <w:bCs w:val="1"/>
          <w:color w:val="auto"/>
        </w:rPr>
      </w:pPr>
    </w:p>
    <w:p>
      <w:pPr>
        <w:ind w:left="4" w:right="360" w:hanging="4"/>
        <w:spacing w:after="0" w:line="266" w:lineRule="auto"/>
        <w:tabs>
          <w:tab w:leader="none" w:pos="274"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other communications by a Participant to the Company under or in connection with this Plan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received in the form specified by the Company at the location, or by the person, designated by the Company for the receipt thereof.</w:t>
      </w:r>
    </w:p>
    <w:p>
      <w:pPr>
        <w:spacing w:after="0" w:line="175" w:lineRule="exact"/>
        <w:rPr>
          <w:rFonts w:ascii="Arial" w:cs="Arial" w:eastAsia="Arial" w:hAnsi="Arial"/>
          <w:sz w:val="18"/>
          <w:szCs w:val="18"/>
          <w:b w:val="1"/>
          <w:bCs w:val="1"/>
          <w:color w:val="auto"/>
        </w:rPr>
      </w:pPr>
    </w:p>
    <w:p>
      <w:pPr>
        <w:ind w:left="4" w:hanging="4"/>
        <w:spacing w:after="0" w:line="287" w:lineRule="auto"/>
        <w:tabs>
          <w:tab w:leader="none" w:pos="274" w:val="left"/>
        </w:tabs>
        <w:numPr>
          <w:ilvl w:val="0"/>
          <w:numId w:val="5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The amendment and restatement of the Plan shall be approved by the stockholders of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any manner permitted by applicable corporate law, within twelve (12) months before or after the date this amendment and restatement of the Plan is adopted by the Board. The amendment and restatement of the Plan will become effective upon approval by stockholders at the 2018 Annual Meeting of Stockholders.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twenty-seven (27)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If the amendment and restatement of the Plan is not approved by the stockholders of the Company within twelve (12) months before or after the date this amendment and restatement of the Plan is adopted by the Board, then it shall be null and void and the Plan shall continue in effect without the terms approved in the amendment and restatement.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 under the Plan.</w:t>
      </w:r>
    </w:p>
    <w:p>
      <w:pPr>
        <w:sectPr>
          <w:pgSz w:w="11900" w:h="16838" w:orient="portrait"/>
          <w:cols w:equalWidth="0" w:num="1">
            <w:col w:w="11004"/>
          </w:cols>
          <w:pgMar w:left="436" w:top="269" w:right="459" w:bottom="1440" w:gutter="0" w:footer="0" w:header="0"/>
        </w:sectPr>
      </w:pPr>
    </w:p>
    <w:bookmarkStart w:id="602" w:name="page603"/>
    <w:bookmarkEnd w:id="60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 DESIGNATION OF BENEFICIARY.</w:t>
      </w:r>
    </w:p>
    <w:p>
      <w:pPr>
        <w:spacing w:after="0" w:line="229" w:lineRule="exact"/>
        <w:rPr>
          <w:sz w:val="20"/>
          <w:szCs w:val="20"/>
          <w:color w:val="auto"/>
        </w:rPr>
      </w:pPr>
    </w:p>
    <w:p>
      <w:pPr>
        <w:ind w:left="4" w:right="180" w:hanging="4"/>
        <w:spacing w:after="0" w:line="263" w:lineRule="auto"/>
        <w:tabs>
          <w:tab w:leader="none" w:pos="249" w:val="left"/>
        </w:tabs>
        <w:numPr>
          <w:ilvl w:val="0"/>
          <w:numId w:val="547"/>
        </w:numPr>
        <w:rPr>
          <w:rFonts w:ascii="Arial" w:cs="Arial" w:eastAsia="Arial" w:hAnsi="Arial"/>
          <w:sz w:val="18"/>
          <w:szCs w:val="18"/>
          <w:color w:val="auto"/>
        </w:rPr>
      </w:pPr>
      <w:r>
        <w:rPr>
          <w:rFonts w:ascii="Arial" w:cs="Arial" w:eastAsia="Arial" w:hAnsi="Arial"/>
          <w:sz w:val="18"/>
          <w:szCs w:val="18"/>
          <w:color w:val="auto"/>
        </w:rPr>
        <w:t>Unless otherwise determined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83" w:lineRule="exact"/>
        <w:rPr>
          <w:rFonts w:ascii="Arial" w:cs="Arial" w:eastAsia="Arial" w:hAnsi="Arial"/>
          <w:sz w:val="18"/>
          <w:szCs w:val="18"/>
          <w:color w:val="auto"/>
        </w:rPr>
      </w:pPr>
    </w:p>
    <w:p>
      <w:pPr>
        <w:ind w:left="4" w:right="140" w:hanging="4"/>
        <w:spacing w:after="0" w:line="259" w:lineRule="auto"/>
        <w:tabs>
          <w:tab w:leader="none" w:pos="259"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w:t>
      </w:r>
    </w:p>
    <w:p>
      <w:pPr>
        <w:spacing w:after="0" w:line="183" w:lineRule="exact"/>
        <w:rPr>
          <w:sz w:val="20"/>
          <w:szCs w:val="20"/>
          <w:color w:val="auto"/>
        </w:rPr>
      </w:pPr>
    </w:p>
    <w:p>
      <w:pPr>
        <w:ind w:left="4" w:right="100" w:hanging="4"/>
        <w:spacing w:after="0" w:line="294" w:lineRule="auto"/>
        <w:tabs>
          <w:tab w:leader="none" w:pos="274" w:val="left"/>
        </w:tabs>
        <w:numPr>
          <w:ilvl w:val="0"/>
          <w:numId w:val="5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CONDITIONS UPON ISSUANCE OF SHARES; LIMITATION ON SALE OF SHARES. </w:t>
      </w:r>
      <w:r>
        <w:rPr>
          <w:rFonts w:ascii="Arial" w:cs="Arial" w:eastAsia="Arial" w:hAnsi="Arial"/>
          <w:sz w:val="16"/>
          <w:szCs w:val="16"/>
          <w:color w:val="auto"/>
        </w:rPr>
        <w:t>Shares shall not be issued with respect to an option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exercise of such option and the issuance and delivery of such shares pursuant thereto shall comply with all applicable provisions of law, domestic or foreign, including, without limitation, the U.S. Securities Act of 1933, as amended, the U.S. Securities Exchange Act of 1934, as amended,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59" w:lineRule="exact"/>
        <w:rPr>
          <w:rFonts w:ascii="Arial" w:cs="Arial" w:eastAsia="Arial" w:hAnsi="Arial"/>
          <w:sz w:val="16"/>
          <w:szCs w:val="16"/>
          <w:b w:val="1"/>
          <w:bCs w:val="1"/>
          <w:color w:val="auto"/>
        </w:rPr>
      </w:pPr>
    </w:p>
    <w:p>
      <w:pPr>
        <w:ind w:left="264" w:hanging="264"/>
        <w:spacing w:after="0"/>
        <w:tabs>
          <w:tab w:leader="none" w:pos="264"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The Plan shall be governed by the substantive laws (excluding the conflict of laws rules) of the State of Delaware.</w:t>
      </w:r>
    </w:p>
    <w:p>
      <w:pPr>
        <w:spacing w:after="0" w:line="225" w:lineRule="exact"/>
        <w:rPr>
          <w:rFonts w:ascii="Arial" w:cs="Arial" w:eastAsia="Arial" w:hAnsi="Arial"/>
          <w:sz w:val="18"/>
          <w:szCs w:val="18"/>
          <w:b w:val="1"/>
          <w:bCs w:val="1"/>
          <w:color w:val="auto"/>
        </w:rPr>
      </w:pPr>
    </w:p>
    <w:p>
      <w:pPr>
        <w:ind w:left="4" w:hanging="4"/>
        <w:spacing w:after="0" w:line="283" w:lineRule="auto"/>
        <w:tabs>
          <w:tab w:leader="none" w:pos="274" w:val="left"/>
        </w:tabs>
        <w:numPr>
          <w:ilvl w:val="0"/>
          <w:numId w:val="5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w:t>
      </w:r>
    </w:p>
    <w:p>
      <w:pPr>
        <w:ind w:left="4" w:right="16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(i) amending the definition of compensation, including with respect to an Offering Period underway at the time; (ii) altering the Purchase Price for any Offering Period including an Offering Period underway at the time of the</w:t>
      </w:r>
    </w:p>
    <w:p>
      <w:pPr>
        <w:sectPr>
          <w:pgSz w:w="11900" w:h="16838" w:orient="portrait"/>
          <w:cols w:equalWidth="0" w:num="1">
            <w:col w:w="11004"/>
          </w:cols>
          <w:pgMar w:left="436" w:top="269" w:right="459" w:bottom="1440" w:gutter="0" w:footer="0" w:header="0"/>
        </w:sectPr>
      </w:pPr>
    </w:p>
    <w:bookmarkStart w:id="603" w:name="page604"/>
    <w:bookmarkEnd w:id="603"/>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83" w:lineRule="exact"/>
        <w:rPr>
          <w:sz w:val="20"/>
          <w:szCs w:val="20"/>
          <w:color w:val="auto"/>
        </w:rPr>
      </w:pPr>
    </w:p>
    <w:p>
      <w:pPr>
        <w:jc w:val="both"/>
        <w:ind w:left="4" w:right="240" w:hanging="4"/>
        <w:spacing w:after="0" w:line="261" w:lineRule="auto"/>
        <w:tabs>
          <w:tab w:leader="none" w:pos="274"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79" w:lineRule="exact"/>
        <w:rPr>
          <w:rFonts w:ascii="Arial" w:cs="Arial" w:eastAsia="Arial" w:hAnsi="Arial"/>
          <w:sz w:val="18"/>
          <w:szCs w:val="18"/>
          <w:b w:val="1"/>
          <w:bCs w:val="1"/>
          <w:color w:val="auto"/>
        </w:rPr>
      </w:pPr>
    </w:p>
    <w:p>
      <w:pPr>
        <w:ind w:left="264" w:hanging="264"/>
        <w:spacing w:after="0"/>
        <w:tabs>
          <w:tab w:leader="none" w:pos="264"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229" w:lineRule="exact"/>
        <w:rPr>
          <w:sz w:val="20"/>
          <w:szCs w:val="20"/>
          <w:color w:val="auto"/>
        </w:rPr>
      </w:pPr>
    </w:p>
    <w:p>
      <w:pPr>
        <w:ind w:left="4" w:hanging="4"/>
        <w:spacing w:after="0" w:line="269" w:lineRule="auto"/>
        <w:tabs>
          <w:tab w:leader="none" w:pos="249" w:val="left"/>
        </w:tabs>
        <w:numPr>
          <w:ilvl w:val="0"/>
          <w:numId w:val="550"/>
        </w:numPr>
        <w:rPr>
          <w:rFonts w:ascii="Arial" w:cs="Arial" w:eastAsia="Arial" w:hAnsi="Arial"/>
          <w:sz w:val="17"/>
          <w:szCs w:val="17"/>
          <w:color w:val="auto"/>
        </w:rPr>
      </w:pPr>
      <w:r>
        <w:rPr>
          <w:rFonts w:ascii="Arial" w:cs="Arial" w:eastAsia="Arial" w:hAnsi="Arial"/>
          <w:sz w:val="17"/>
          <w:szCs w:val="17"/>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78" w:lineRule="exact"/>
        <w:rPr>
          <w:rFonts w:ascii="Arial" w:cs="Arial" w:eastAsia="Arial" w:hAnsi="Arial"/>
          <w:sz w:val="17"/>
          <w:szCs w:val="17"/>
          <w:color w:val="auto"/>
        </w:rPr>
      </w:pPr>
    </w:p>
    <w:p>
      <w:pPr>
        <w:ind w:left="4" w:right="100" w:hanging="4"/>
        <w:spacing w:after="0" w:line="257" w:lineRule="auto"/>
        <w:tabs>
          <w:tab w:leader="none" w:pos="259" w:val="left"/>
        </w:tabs>
        <w:numPr>
          <w:ilvl w:val="0"/>
          <w:numId w:val="550"/>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28. DEFINITIONS.</w:t>
      </w:r>
    </w:p>
    <w:p>
      <w:pPr>
        <w:spacing w:after="0" w:line="229" w:lineRule="exact"/>
        <w:rPr>
          <w:sz w:val="20"/>
          <w:szCs w:val="20"/>
          <w:color w:val="auto"/>
        </w:rPr>
      </w:pPr>
    </w:p>
    <w:p>
      <w:pPr>
        <w:ind w:left="4" w:right="220" w:hanging="4"/>
        <w:spacing w:after="0" w:line="263" w:lineRule="auto"/>
        <w:tabs>
          <w:tab w:leader="none" w:pos="249" w:val="left"/>
        </w:tabs>
        <w:numPr>
          <w:ilvl w:val="0"/>
          <w:numId w:val="5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any entity, other than a Subsidiary or Parent, (i) that, directly or indirectly, is controlled by, controls or is under common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Company and (ii) in which the Company has a significant equity interest, in either case as determined by the Committee, whether now or hereafter existing.</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5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shall mean the Board of Directors of the Company.</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shall mean the U.S. Internal Revenue Code of 1986, as amended.</w:t>
      </w:r>
    </w:p>
    <w:p>
      <w:pPr>
        <w:spacing w:after="0" w:line="225"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5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shall mean the Compensation Committee of the Board that consists exclusively of one or more members of the Board appointed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5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shall mean the common stock of the Company.</w:t>
      </w:r>
    </w:p>
    <w:p>
      <w:pPr>
        <w:sectPr>
          <w:pgSz w:w="11900" w:h="16838" w:orient="portrait"/>
          <w:cols w:equalWidth="0" w:num="1">
            <w:col w:w="11004"/>
          </w:cols>
          <w:pgMar w:left="436" w:top="273" w:right="459" w:bottom="1440" w:gutter="0" w:footer="0" w:header="0"/>
        </w:sectPr>
      </w:pPr>
    </w:p>
    <w:bookmarkStart w:id="604" w:name="page605"/>
    <w:bookmarkEnd w:id="60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shall mean Aeglea Biotherapeutics, Inc.</w:t>
      </w:r>
    </w:p>
    <w:p>
      <w:pPr>
        <w:spacing w:after="0" w:line="22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(g)</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xml:space="preserve">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xml:space="preserve"> means the occurrence of any of the following events:</w:t>
      </w:r>
    </w:p>
    <w:p>
      <w:pPr>
        <w:spacing w:after="0" w:line="117"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(i)any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92" w:lineRule="exact"/>
        <w:rPr>
          <w:sz w:val="20"/>
          <w:szCs w:val="20"/>
          <w:color w:val="auto"/>
        </w:rPr>
      </w:pPr>
    </w:p>
    <w:p>
      <w:pPr>
        <w:ind w:left="4" w:right="440" w:hanging="4"/>
        <w:spacing w:after="0" w:line="277" w:lineRule="auto"/>
        <w:tabs>
          <w:tab w:leader="none" w:pos="219" w:val="left"/>
        </w:tabs>
        <w:numPr>
          <w:ilvl w:val="0"/>
          <w:numId w:val="5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shall mean the date on which the Registration Statement covering the initial public offering of the shares of Common Stock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declared effective by the U.S. Securities and Exchange Commission.</w:t>
      </w:r>
    </w:p>
    <w:p>
      <w:pPr>
        <w:spacing w:after="0" w:line="170" w:lineRule="exact"/>
        <w:rPr>
          <w:rFonts w:ascii="Arial" w:cs="Arial" w:eastAsia="Arial" w:hAnsi="Arial"/>
          <w:sz w:val="18"/>
          <w:szCs w:val="18"/>
          <w:color w:val="auto"/>
        </w:rPr>
      </w:pPr>
    </w:p>
    <w:p>
      <w:pPr>
        <w:ind w:left="224" w:hanging="224"/>
        <w:spacing w:after="0"/>
        <w:tabs>
          <w:tab w:leader="none" w:pos="224" w:val="left"/>
        </w:tabs>
        <w:numPr>
          <w:ilvl w:val="0"/>
          <w:numId w:val="5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shall mean, as of any date, the value of a share of Common Stock determined as follows:</w:t>
      </w:r>
    </w:p>
    <w:p>
      <w:pPr>
        <w:spacing w:after="0" w:line="117" w:lineRule="exact"/>
        <w:rPr>
          <w:sz w:val="20"/>
          <w:szCs w:val="20"/>
          <w:color w:val="auto"/>
        </w:rPr>
      </w:pPr>
    </w:p>
    <w:p>
      <w:pPr>
        <w:ind w:left="4" w:right="20" w:hanging="4"/>
        <w:spacing w:after="0" w:line="311" w:lineRule="auto"/>
        <w:tabs>
          <w:tab w:leader="none" w:pos="259" w:val="left"/>
        </w:tabs>
        <w:numPr>
          <w:ilvl w:val="0"/>
          <w:numId w:val="553"/>
        </w:numPr>
        <w:rPr>
          <w:rFonts w:ascii="Arial" w:cs="Arial" w:eastAsia="Arial" w:hAnsi="Arial"/>
          <w:sz w:val="16"/>
          <w:szCs w:val="16"/>
          <w:color w:val="auto"/>
        </w:rPr>
      </w:pPr>
      <w:r>
        <w:rPr>
          <w:rFonts w:ascii="Arial" w:cs="Arial" w:eastAsia="Arial" w:hAnsi="Arial"/>
          <w:sz w:val="16"/>
          <w:szCs w:val="16"/>
          <w:color w:val="auto"/>
        </w:rPr>
        <w:t xml:space="preserve">if such Common Stock is then quoted on the Nasdaq Global Select Market, the Nasdaq Global Market or the Nasdaq Capital Market (collectively, the </w:t>
      </w:r>
      <w:r>
        <w:rPr>
          <w:rFonts w:ascii="Arial" w:cs="Arial" w:eastAsia="Arial" w:hAnsi="Arial"/>
          <w:sz w:val="16"/>
          <w:szCs w:val="16"/>
          <w:b w:val="1"/>
          <w:bCs w:val="1"/>
          <w:i w:val="1"/>
          <w:iCs w:val="1"/>
          <w:color w:val="auto"/>
        </w:rPr>
        <w:t>“Nasdaq Market”),</w:t>
      </w:r>
      <w:r>
        <w:rPr>
          <w:rFonts w:ascii="Arial" w:cs="Arial" w:eastAsia="Arial" w:hAnsi="Arial"/>
          <w:sz w:val="16"/>
          <w:szCs w:val="16"/>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Board or the Committee deems reliable; or</w:t>
      </w:r>
    </w:p>
    <w:p>
      <w:pPr>
        <w:spacing w:after="0" w:line="148" w:lineRule="exact"/>
        <w:rPr>
          <w:rFonts w:ascii="Arial" w:cs="Arial" w:eastAsia="Arial" w:hAnsi="Arial"/>
          <w:sz w:val="16"/>
          <w:szCs w:val="16"/>
          <w:color w:val="auto"/>
        </w:rPr>
      </w:pPr>
    </w:p>
    <w:p>
      <w:pPr>
        <w:ind w:left="4" w:right="160" w:hanging="4"/>
        <w:spacing w:after="0" w:line="263" w:lineRule="auto"/>
        <w:tabs>
          <w:tab w:leader="none" w:pos="259"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83" w:lineRule="exact"/>
        <w:rPr>
          <w:rFonts w:ascii="Arial" w:cs="Arial" w:eastAsia="Arial" w:hAnsi="Arial"/>
          <w:sz w:val="18"/>
          <w:szCs w:val="18"/>
          <w:color w:val="auto"/>
        </w:rPr>
      </w:pPr>
    </w:p>
    <w:p>
      <w:pPr>
        <w:ind w:left="4" w:right="60" w:hanging="4"/>
        <w:spacing w:after="0" w:line="263" w:lineRule="auto"/>
        <w:tabs>
          <w:tab w:leader="none" w:pos="259" w:val="left"/>
        </w:tabs>
        <w:numPr>
          <w:ilvl w:val="0"/>
          <w:numId w:val="553"/>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83" w:lineRule="exact"/>
        <w:rPr>
          <w:rFonts w:ascii="Arial" w:cs="Arial" w:eastAsia="Arial" w:hAnsi="Arial"/>
          <w:sz w:val="18"/>
          <w:szCs w:val="18"/>
          <w:color w:val="auto"/>
        </w:rPr>
      </w:pPr>
    </w:p>
    <w:p>
      <w:pPr>
        <w:ind w:left="4" w:right="40" w:hanging="4"/>
        <w:spacing w:after="0" w:line="277" w:lineRule="auto"/>
        <w:tabs>
          <w:tab w:leader="none" w:pos="259" w:val="left"/>
        </w:tabs>
        <w:numPr>
          <w:ilvl w:val="0"/>
          <w:numId w:val="553"/>
        </w:numPr>
        <w:rPr>
          <w:rFonts w:ascii="Arial" w:cs="Arial" w:eastAsia="Arial" w:hAnsi="Arial"/>
          <w:sz w:val="18"/>
          <w:szCs w:val="18"/>
          <w:color w:val="auto"/>
        </w:rPr>
      </w:pPr>
      <w:r>
        <w:rPr>
          <w:rFonts w:ascii="Arial" w:cs="Arial" w:eastAsia="Arial" w:hAnsi="Arial"/>
          <w:sz w:val="18"/>
          <w:szCs w:val="18"/>
          <w:color w:val="auto"/>
        </w:rPr>
        <w:t>with respect to the initial Offering Period, Fair Market Value on the Offering Date shall be the price at which shares of Common Stock are offered to the public pursuant to the Registration Statement covering the initial public offering of shares of Common Stock; or</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225" w:lineRule="exact"/>
        <w:rPr>
          <w:sz w:val="20"/>
          <w:szCs w:val="20"/>
          <w:color w:val="auto"/>
        </w:rPr>
      </w:pPr>
    </w:p>
    <w:p>
      <w:pPr>
        <w:ind w:left="264" w:hanging="264"/>
        <w:spacing w:after="0"/>
        <w:tabs>
          <w:tab w:leader="none" w:pos="264" w:val="left"/>
        </w:tabs>
        <w:numPr>
          <w:ilvl w:val="0"/>
          <w:numId w:val="5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“IPO” </w:t>
      </w:r>
      <w:r>
        <w:rPr>
          <w:rFonts w:ascii="Arial" w:cs="Arial" w:eastAsia="Arial" w:hAnsi="Arial"/>
          <w:sz w:val="18"/>
          <w:szCs w:val="18"/>
          <w:color w:val="auto"/>
        </w:rPr>
        <w:t>shall mean the initial public offering of Common Stock.</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“Non-Section 423 Component” </w:t>
      </w:r>
      <w:r>
        <w:rPr>
          <w:rFonts w:ascii="Arial" w:cs="Arial" w:eastAsia="Arial" w:hAnsi="Arial"/>
          <w:sz w:val="16"/>
          <w:szCs w:val="16"/>
          <w:color w:val="auto"/>
        </w:rPr>
        <w:t>means the part of the Plan which is not intended to meet the requirements set forth in Section 423 of the Code.</w:t>
      </w:r>
    </w:p>
    <w:p>
      <w:pPr>
        <w:sectPr>
          <w:pgSz w:w="11900" w:h="16838" w:orient="portrait"/>
          <w:cols w:equalWidth="0" w:num="1">
            <w:col w:w="10984"/>
          </w:cols>
          <w:pgMar w:left="436" w:top="273" w:right="479" w:bottom="1440" w:gutter="0" w:footer="0" w:header="0"/>
        </w:sectPr>
      </w:pPr>
    </w:p>
    <w:bookmarkStart w:id="605" w:name="page606"/>
    <w:bookmarkEnd w:id="605"/>
    <w:p>
      <w:pPr>
        <w:ind w:left="4" w:right="100" w:hanging="4"/>
        <w:spacing w:after="0" w:line="277" w:lineRule="auto"/>
        <w:tabs>
          <w:tab w:leader="none" w:pos="309" w:val="left"/>
        </w:tabs>
        <w:numPr>
          <w:ilvl w:val="0"/>
          <w:numId w:val="55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Period’’ </w:t>
      </w:r>
      <w:r>
        <w:rPr>
          <w:rFonts w:ascii="Arial" w:cs="Arial" w:eastAsia="Arial" w:hAnsi="Arial"/>
          <w:sz w:val="18"/>
          <w:szCs w:val="18"/>
          <w:color w:val="auto"/>
        </w:rPr>
        <w:t>shall mean within two (2) years from the Offering Date or within one (1) year from the Purchase Date on which such shares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w:t>
      </w:r>
    </w:p>
    <w:p>
      <w:pPr>
        <w:spacing w:after="0" w:line="170" w:lineRule="exact"/>
        <w:rPr>
          <w:rFonts w:ascii="Arial" w:cs="Arial" w:eastAsia="Arial" w:hAnsi="Arial"/>
          <w:sz w:val="18"/>
          <w:szCs w:val="18"/>
          <w:color w:val="auto"/>
        </w:rPr>
      </w:pPr>
    </w:p>
    <w:p>
      <w:pPr>
        <w:ind w:left="4" w:right="260" w:hanging="4"/>
        <w:spacing w:after="0" w:line="277" w:lineRule="auto"/>
        <w:tabs>
          <w:tab w:leader="none" w:pos="259" w:val="left"/>
        </w:tabs>
        <w:numPr>
          <w:ilvl w:val="0"/>
          <w:numId w:val="5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“Offering Date” </w:t>
      </w:r>
      <w:r>
        <w:rPr>
          <w:rFonts w:ascii="Arial" w:cs="Arial" w:eastAsia="Arial" w:hAnsi="Arial"/>
          <w:sz w:val="18"/>
          <w:szCs w:val="18"/>
          <w:color w:val="auto"/>
        </w:rPr>
        <w:t>shall mean the first business day of each Offering Period. However, for the initial Offering Period the Offering Date shall be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w:t>
      </w:r>
    </w:p>
    <w:p>
      <w:pPr>
        <w:spacing w:after="0" w:line="170" w:lineRule="exact"/>
        <w:rPr>
          <w:rFonts w:ascii="Arial" w:cs="Arial" w:eastAsia="Arial" w:hAnsi="Arial"/>
          <w:sz w:val="18"/>
          <w:szCs w:val="18"/>
          <w:color w:val="auto"/>
        </w:rPr>
      </w:pPr>
    </w:p>
    <w:p>
      <w:pPr>
        <w:ind w:left="4" w:right="60" w:hanging="4"/>
        <w:spacing w:after="0" w:line="277" w:lineRule="auto"/>
        <w:tabs>
          <w:tab w:leader="none" w:pos="259" w:val="left"/>
        </w:tabs>
        <w:numPr>
          <w:ilvl w:val="0"/>
          <w:numId w:val="5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“Offering Period’’ </w:t>
      </w:r>
      <w:r>
        <w:rPr>
          <w:rFonts w:ascii="Arial" w:cs="Arial" w:eastAsia="Arial" w:hAnsi="Arial"/>
          <w:sz w:val="18"/>
          <w:szCs w:val="18"/>
          <w:color w:val="auto"/>
        </w:rPr>
        <w:t>shall mean a period with respect to which the right to purchase Common Stock may be granted under the Plan,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pursuant to Section 5(a).</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“Parent” </w:t>
      </w:r>
      <w:r>
        <w:rPr>
          <w:rFonts w:ascii="Arial" w:cs="Arial" w:eastAsia="Arial" w:hAnsi="Arial"/>
          <w:sz w:val="18"/>
          <w:szCs w:val="18"/>
          <w:color w:val="auto"/>
        </w:rPr>
        <w:t>shall have the same meaning as “ parent corporation” in Sections 424(e) and 424(±) of the Code.</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(q)</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shall mean an eligible employee who meets the eligibility requirements set forth in Section 4 and who is either automatically enrolled in the initial Offering Period or who elects to participate in this Plan pursuant to Section 6(b).</w:t>
      </w:r>
    </w:p>
    <w:p>
      <w:pPr>
        <w:spacing w:after="0" w:line="170" w:lineRule="exact"/>
        <w:rPr>
          <w:sz w:val="20"/>
          <w:szCs w:val="20"/>
          <w:color w:val="auto"/>
        </w:rPr>
      </w:pPr>
    </w:p>
    <w:p>
      <w:pPr>
        <w:jc w:val="both"/>
        <w:ind w:left="4" w:hanging="4"/>
        <w:spacing w:after="0" w:line="259" w:lineRule="auto"/>
        <w:tabs>
          <w:tab w:leader="none" w:pos="229" w:val="left"/>
        </w:tabs>
        <w:numPr>
          <w:ilvl w:val="0"/>
          <w:numId w:val="5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“Participating Corporation” </w:t>
      </w:r>
      <w:r>
        <w:rPr>
          <w:rFonts w:ascii="Arial" w:cs="Arial" w:eastAsia="Arial" w:hAnsi="Arial"/>
          <w:sz w:val="18"/>
          <w:szCs w:val="18"/>
          <w:color w:val="auto"/>
        </w:rPr>
        <w:t>shall mean any Parent, Subsidiary or Affiliate that the Committee designates from time to time as eligible to participate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Committee may provide that any Participating Corporation shall only be eligible to participate in the Non-Section 423 Component.</w:t>
      </w:r>
    </w:p>
    <w:p>
      <w:pPr>
        <w:spacing w:after="0" w:line="225" w:lineRule="exact"/>
        <w:rPr>
          <w:sz w:val="20"/>
          <w:szCs w:val="20"/>
          <w:color w:val="auto"/>
        </w:rPr>
      </w:pPr>
    </w:p>
    <w:p>
      <w:pPr>
        <w:ind w:left="244" w:hanging="244"/>
        <w:spacing w:after="0"/>
        <w:tabs>
          <w:tab w:leader="none" w:pos="244" w:val="left"/>
        </w:tabs>
        <w:numPr>
          <w:ilvl w:val="0"/>
          <w:numId w:val="5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shall mean this Aeglea BioTherapeutics, Inc. 2016 Employee Stock Purchase Plan, as may be amended from time to time.</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“Purchase Date” </w:t>
      </w:r>
      <w:r>
        <w:rPr>
          <w:rFonts w:ascii="Arial" w:cs="Arial" w:eastAsia="Arial" w:hAnsi="Arial"/>
          <w:sz w:val="18"/>
          <w:szCs w:val="18"/>
          <w:color w:val="auto"/>
        </w:rPr>
        <w:t>shall mean the last business day of each Purchase Period.</w:t>
      </w:r>
    </w:p>
    <w:p>
      <w:pPr>
        <w:spacing w:after="0" w:line="225" w:lineRule="exact"/>
        <w:rPr>
          <w:rFonts w:ascii="Arial" w:cs="Arial" w:eastAsia="Arial" w:hAnsi="Arial"/>
          <w:sz w:val="18"/>
          <w:szCs w:val="18"/>
          <w:color w:val="auto"/>
        </w:rPr>
      </w:pPr>
    </w:p>
    <w:p>
      <w:pPr>
        <w:ind w:left="4" w:right="600" w:hanging="4"/>
        <w:spacing w:after="0" w:line="277" w:lineRule="auto"/>
        <w:tabs>
          <w:tab w:leader="none" w:pos="259" w:val="left"/>
        </w:tabs>
        <w:numPr>
          <w:ilvl w:val="0"/>
          <w:numId w:val="5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“Purchase Period’’ </w:t>
      </w:r>
      <w:r>
        <w:rPr>
          <w:rFonts w:ascii="Arial" w:cs="Arial" w:eastAsia="Arial" w:hAnsi="Arial"/>
          <w:sz w:val="18"/>
          <w:szCs w:val="18"/>
          <w:color w:val="auto"/>
        </w:rPr>
        <w:t>shall mean a period during which Contributions may be made toward the purchase of Common Stock under the Plan,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Committee pursuant to Section S(b).</w:t>
      </w:r>
    </w:p>
    <w:p>
      <w:pPr>
        <w:spacing w:after="0" w:line="170" w:lineRule="exact"/>
        <w:rPr>
          <w:rFonts w:ascii="Arial" w:cs="Arial" w:eastAsia="Arial" w:hAnsi="Arial"/>
          <w:sz w:val="18"/>
          <w:szCs w:val="18"/>
          <w:color w:val="auto"/>
        </w:rPr>
      </w:pPr>
    </w:p>
    <w:p>
      <w:pPr>
        <w:ind w:left="4" w:right="420" w:hanging="4"/>
        <w:spacing w:after="0" w:line="277" w:lineRule="auto"/>
        <w:tabs>
          <w:tab w:leader="none" w:pos="259" w:val="left"/>
        </w:tabs>
        <w:numPr>
          <w:ilvl w:val="0"/>
          <w:numId w:val="5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“Purchase Price” </w:t>
      </w:r>
      <w:r>
        <w:rPr>
          <w:rFonts w:ascii="Arial" w:cs="Arial" w:eastAsia="Arial" w:hAnsi="Arial"/>
          <w:sz w:val="18"/>
          <w:szCs w:val="18"/>
          <w:color w:val="auto"/>
        </w:rPr>
        <w:t>shall mean the price at which Participants may purchase shares of Common Stock under the Plan, as determined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8.</w:t>
      </w:r>
    </w:p>
    <w:p>
      <w:pPr>
        <w:spacing w:after="0" w:line="170" w:lineRule="exact"/>
        <w:rPr>
          <w:rFonts w:ascii="Arial" w:cs="Arial" w:eastAsia="Arial" w:hAnsi="Arial"/>
          <w:sz w:val="18"/>
          <w:szCs w:val="18"/>
          <w:color w:val="auto"/>
        </w:rPr>
      </w:pPr>
    </w:p>
    <w:p>
      <w:pPr>
        <w:ind w:left="4" w:right="120" w:hanging="4"/>
        <w:spacing w:after="0" w:line="263" w:lineRule="auto"/>
        <w:tabs>
          <w:tab w:leader="none" w:pos="299" w:val="left"/>
        </w:tabs>
        <w:numPr>
          <w:ilvl w:val="0"/>
          <w:numId w:val="5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“Section 423 Component” </w:t>
      </w:r>
      <w:r>
        <w:rPr>
          <w:rFonts w:ascii="Arial" w:cs="Arial" w:eastAsia="Arial" w:hAnsi="Arial"/>
          <w:sz w:val="18"/>
          <w:szCs w:val="18"/>
          <w:color w:val="auto"/>
        </w:rPr>
        <w:t>means the part of the Plan, which excludes the Non- Section 423 Component, pursuant to which options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under the Plan that satisfy the requirements for “employee stock purchase plans” set forth in Section 423 of the Code may be granted to eligible employees.</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5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shall have the same meaning as “subsidiary corporation” in Sections 424(e) and 424(f) of the Code.</w:t>
      </w:r>
    </w:p>
    <w:p>
      <w:pPr>
        <w:sectPr>
          <w:pgSz w:w="11900" w:h="16838" w:orient="portrait"/>
          <w:cols w:equalWidth="0" w:num="1">
            <w:col w:w="10964"/>
          </w:cols>
          <w:pgMar w:left="436" w:top="273" w:right="499" w:bottom="1440" w:gutter="0" w:footer="0" w:header="0"/>
        </w:sectPr>
      </w:pPr>
    </w:p>
    <w:bookmarkStart w:id="606" w:name="page607"/>
    <w:bookmarkEnd w:id="60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ind w:left="4004"/>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ind w:left="4044"/>
        <w:spacing w:after="0"/>
        <w:rPr>
          <w:sz w:val="20"/>
          <w:szCs w:val="20"/>
          <w:color w:val="auto"/>
        </w:rPr>
      </w:pPr>
      <w:r>
        <w:rPr>
          <w:rFonts w:ascii="Arial" w:cs="Arial" w:eastAsia="Arial" w:hAnsi="Arial"/>
          <w:sz w:val="18"/>
          <w:szCs w:val="18"/>
          <w:b w:val="1"/>
          <w:bCs w:val="1"/>
          <w:color w:val="auto"/>
        </w:rPr>
        <w:t>2018 EQUITY INDUCEMENT PLAN</w:t>
      </w:r>
    </w:p>
    <w:p>
      <w:pPr>
        <w:spacing w:after="0" w:line="225" w:lineRule="exact"/>
        <w:rPr>
          <w:sz w:val="20"/>
          <w:szCs w:val="20"/>
          <w:color w:val="auto"/>
        </w:rPr>
      </w:pPr>
    </w:p>
    <w:p>
      <w:pPr>
        <w:ind w:left="4" w:right="20" w:hanging="4"/>
        <w:spacing w:after="0" w:line="258" w:lineRule="auto"/>
        <w:tabs>
          <w:tab w:leader="none" w:pos="184"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of this Plan is to provide incentives to attract eligible persons whose potential contributions are important to the success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any Parents, Subsidiaries and Affiliates that exist now or in the future, by offering them an opportunity to participate in the Company’s future performance through the grant of Awards. Each Award granted under the Plan is intended to qualify as an employment inducement award pursuant to Nasdaq Stock Market Rule 5635(c)(4), and shall be interpreted and administered accordingly. Capitalized terms not defined elsewhere in the text are defined in Section 21.</w:t>
      </w:r>
    </w:p>
    <w:p>
      <w:pPr>
        <w:spacing w:after="0" w:line="183" w:lineRule="exact"/>
        <w:rPr>
          <w:rFonts w:ascii="Arial" w:cs="Arial" w:eastAsia="Arial" w:hAnsi="Arial"/>
          <w:sz w:val="18"/>
          <w:szCs w:val="18"/>
          <w:b w:val="1"/>
          <w:bCs w:val="1"/>
          <w:color w:val="auto"/>
        </w:rPr>
      </w:pPr>
    </w:p>
    <w:p>
      <w:pPr>
        <w:ind w:left="184" w:hanging="184"/>
        <w:spacing w:after="0"/>
        <w:tabs>
          <w:tab w:leader="none" w:pos="184"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225" w:lineRule="exact"/>
        <w:rPr>
          <w:sz w:val="20"/>
          <w:szCs w:val="20"/>
          <w:color w:val="auto"/>
        </w:rPr>
      </w:pPr>
    </w:p>
    <w:p>
      <w:pPr>
        <w:ind w:left="4" w:right="340"/>
        <w:spacing w:after="0" w:line="312"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Number of Shares Available</w:t>
      </w:r>
      <w:r>
        <w:rPr>
          <w:rFonts w:ascii="Arial" w:cs="Arial" w:eastAsia="Arial" w:hAnsi="Arial"/>
          <w:sz w:val="17"/>
          <w:szCs w:val="17"/>
          <w:color w:val="auto"/>
        </w:rPr>
        <w:t>. Subject to Sections 2.4 and 15 and any other applicable provisions hereof, the total number of Shares reserved and</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grant and issuance pursuant to this Plan as of the date of adoption of the Plan by the Board is 1,100,000.</w:t>
      </w:r>
    </w:p>
    <w:p>
      <w:pPr>
        <w:spacing w:after="0" w:line="140" w:lineRule="exact"/>
        <w:rPr>
          <w:sz w:val="20"/>
          <w:szCs w:val="20"/>
          <w:color w:val="auto"/>
        </w:rPr>
      </w:pPr>
    </w:p>
    <w:p>
      <w:pPr>
        <w:ind w:left="4" w:right="80"/>
        <w:spacing w:after="0" w:line="273"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 grant and</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in connection with subsequent Awards under this Plan to the extent such Shares: (a) are subject to issuance upon exercise of an Option granted under this Plan but which cease to be subject to the Option for any reason other than exercise of the Option; (b) are subject to Awards granted under this Plan that are forfeited; or (c) are subject to Awards granted under this Plan that otherwise terminate without such Shares being issued.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w:t>
      </w:r>
    </w:p>
    <w:p>
      <w:pPr>
        <w:spacing w:after="0" w:line="172"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 to satisfy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all outstanding Awards granted under this Plan.</w:t>
      </w:r>
    </w:p>
    <w:p>
      <w:pPr>
        <w:spacing w:after="0" w:line="162"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of outstanding shares of Common Stock of the Company is changed by a stock dividend, recapitalization,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split, reverse stock split, subdivision, combination, reclassification or similar change in the capital structure of the Company, without consideration, then</w:t>
      </w:r>
    </w:p>
    <w:p>
      <w:pPr>
        <w:spacing w:after="0" w:line="1" w:lineRule="exact"/>
        <w:rPr>
          <w:sz w:val="20"/>
          <w:szCs w:val="20"/>
          <w:color w:val="auto"/>
        </w:rPr>
      </w:pPr>
    </w:p>
    <w:p>
      <w:pPr>
        <w:ind w:left="4" w:right="200" w:hanging="4"/>
        <w:spacing w:after="0" w:line="253" w:lineRule="auto"/>
        <w:tabs>
          <w:tab w:leader="none" w:pos="249" w:val="left"/>
        </w:tabs>
        <w:numPr>
          <w:ilvl w:val="0"/>
          <w:numId w:val="559"/>
        </w:numPr>
        <w:rPr>
          <w:rFonts w:ascii="Arial" w:cs="Arial" w:eastAsia="Arial" w:hAnsi="Arial"/>
          <w:sz w:val="18"/>
          <w:szCs w:val="18"/>
          <w:color w:val="auto"/>
        </w:rPr>
      </w:pPr>
      <w:r>
        <w:rPr>
          <w:rFonts w:ascii="Arial" w:cs="Arial" w:eastAsia="Arial" w:hAnsi="Arial"/>
          <w:sz w:val="18"/>
          <w:szCs w:val="18"/>
          <w:color w:val="auto"/>
        </w:rPr>
        <w:t>the number of Shares reserved for issuance and future grant under the Plan set forth in Section 2.1, (b) the Exercise Prices of and number of Shares subject to outstanding Options, and (c) the number of Shares subject to other outstanding Awards shall be proportionately adjusted, subject to any required action by the Board or the stockholders of the Company and in compliance with applicable securities laws; provided that fractions of a Share will not be issued.</w:t>
      </w:r>
    </w:p>
    <w:p>
      <w:pPr>
        <w:spacing w:after="0" w:line="189" w:lineRule="exact"/>
        <w:rPr>
          <w:sz w:val="20"/>
          <w:szCs w:val="20"/>
          <w:color w:val="auto"/>
        </w:rPr>
      </w:pPr>
    </w:p>
    <w:p>
      <w:pPr>
        <w:ind w:left="4" w:right="160" w:hanging="4"/>
        <w:spacing w:after="0" w:line="289" w:lineRule="auto"/>
        <w:tabs>
          <w:tab w:leader="none" w:pos="184" w:val="left"/>
        </w:tabs>
        <w:numPr>
          <w:ilvl w:val="0"/>
          <w:numId w:val="5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color w:val="auto"/>
        </w:rPr>
        <w:t>. Awards may be granted only to a person who, at the time of grant (a) has not previously been an Employee or Director, or (b) is</w:t>
      </w:r>
      <w:r>
        <w:rPr>
          <w:rFonts w:ascii="Arial" w:cs="Arial" w:eastAsia="Arial" w:hAnsi="Arial"/>
          <w:sz w:val="17"/>
          <w:szCs w:val="17"/>
          <w:b w:val="1"/>
          <w:bCs w:val="1"/>
          <w:color w:val="auto"/>
        </w:rPr>
        <w:t xml:space="preserve"> </w:t>
      </w:r>
      <w:r>
        <w:rPr>
          <w:rFonts w:ascii="Arial" w:cs="Arial" w:eastAsia="Arial" w:hAnsi="Arial"/>
          <w:sz w:val="17"/>
          <w:szCs w:val="17"/>
          <w:color w:val="auto"/>
        </w:rPr>
        <w:t>commencing employment following a bona fide period of non-employment by the Company or any Subsidiary; provided that in each case, the grant of the Award is made as a material inducement to his or her commencement as an employee of the Company or a Subsidiary.</w:t>
      </w:r>
    </w:p>
    <w:p>
      <w:pPr>
        <w:sectPr>
          <w:pgSz w:w="11900" w:h="16838" w:orient="portrait"/>
          <w:cols w:equalWidth="0" w:num="1">
            <w:col w:w="11024"/>
          </w:cols>
          <w:pgMar w:left="436" w:top="121" w:right="439" w:bottom="1440" w:gutter="0" w:footer="0" w:header="0"/>
        </w:sectPr>
      </w:pPr>
    </w:p>
    <w:bookmarkStart w:id="607" w:name="page608"/>
    <w:bookmarkEnd w:id="607"/>
    <w:p>
      <w:pPr>
        <w:ind w:left="184" w:hanging="184"/>
        <w:spacing w:after="0"/>
        <w:tabs>
          <w:tab w:leader="none" w:pos="184"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ADMINISTRATION</w:t>
      </w:r>
      <w:r>
        <w:rPr>
          <w:rFonts w:ascii="Arial" w:cs="Arial" w:eastAsia="Arial" w:hAnsi="Arial"/>
          <w:sz w:val="18"/>
          <w:szCs w:val="18"/>
          <w:color w:val="auto"/>
        </w:rPr>
        <w:t>.</w:t>
      </w:r>
    </w:p>
    <w:p>
      <w:pPr>
        <w:spacing w:after="0" w:line="225" w:lineRule="exact"/>
        <w:rPr>
          <w:sz w:val="20"/>
          <w:szCs w:val="20"/>
          <w:color w:val="auto"/>
        </w:rPr>
      </w:pPr>
    </w:p>
    <w:p>
      <w:pPr>
        <w:ind w:left="4" w:right="20"/>
        <w:spacing w:after="0" w:line="281"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u w:val="single" w:color="auto"/>
          <w:color w:val="auto"/>
        </w:rPr>
        <w:t>Committee Composition; Authority</w:t>
      </w:r>
      <w:r>
        <w:rPr>
          <w:rFonts w:ascii="Arial" w:cs="Arial" w:eastAsia="Arial" w:hAnsi="Arial"/>
          <w:sz w:val="17"/>
          <w:szCs w:val="17"/>
          <w:color w:val="auto"/>
        </w:rPr>
        <w:t>. This Plan will be administered by the Committee or by the Board acting as the Committee; provided that any</w:t>
      </w:r>
      <w:r>
        <w:rPr>
          <w:rFonts w:ascii="Arial" w:cs="Arial" w:eastAsia="Arial" w:hAnsi="Arial"/>
          <w:sz w:val="17"/>
          <w:szCs w:val="17"/>
          <w:b w:val="1"/>
          <w:bCs w:val="1"/>
          <w:color w:val="auto"/>
        </w:rPr>
        <w:t xml:space="preserve"> </w:t>
      </w:r>
      <w:r>
        <w:rPr>
          <w:rFonts w:ascii="Arial" w:cs="Arial" w:eastAsia="Arial" w:hAnsi="Arial"/>
          <w:sz w:val="17"/>
          <w:szCs w:val="17"/>
          <w:color w:val="auto"/>
        </w:rPr>
        <w:t>action taken by the Board in connection with the administration of the Plan shall not be deemed approved by the Board unless such actions are approved by a majority of the Non-Employee Directors. Subject to the general purposes, terms and conditions of this Plan, and to the direction of the Board, the Committee will have full power to implement and carry out this Plan. The Committee will have the authority to:</w:t>
      </w:r>
    </w:p>
    <w:p>
      <w:pPr>
        <w:spacing w:after="0" w:line="61" w:lineRule="exact"/>
        <w:rPr>
          <w:sz w:val="20"/>
          <w:szCs w:val="20"/>
          <w:color w:val="auto"/>
        </w:rPr>
      </w:pPr>
    </w:p>
    <w:p>
      <w:pPr>
        <w:ind w:left="244" w:hanging="244"/>
        <w:spacing w:after="0"/>
        <w:tabs>
          <w:tab w:leader="none" w:pos="24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construe and interpret this Plan, any Award Agreement and any other agreement or document executed pursuant to this Plan;</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225" w:lineRule="exact"/>
        <w:rPr>
          <w:rFonts w:ascii="Arial" w:cs="Arial" w:eastAsia="Arial" w:hAnsi="Arial"/>
          <w:sz w:val="18"/>
          <w:szCs w:val="18"/>
          <w:color w:val="auto"/>
        </w:rPr>
      </w:pPr>
    </w:p>
    <w:p>
      <w:pPr>
        <w:ind w:left="4" w:hanging="4"/>
        <w:spacing w:after="0" w:line="257" w:lineRule="auto"/>
        <w:tabs>
          <w:tab w:leader="none" w:pos="25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87" w:lineRule="exact"/>
        <w:rPr>
          <w:rFonts w:ascii="Arial" w:cs="Arial" w:eastAsia="Arial" w:hAnsi="Arial"/>
          <w:sz w:val="18"/>
          <w:szCs w:val="18"/>
          <w:color w:val="auto"/>
        </w:rPr>
      </w:pPr>
    </w:p>
    <w:p>
      <w:pPr>
        <w:ind w:left="244" w:hanging="244"/>
        <w:spacing w:after="0"/>
        <w:tabs>
          <w:tab w:leader="none" w:pos="24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225" w:lineRule="exact"/>
        <w:rPr>
          <w:rFonts w:ascii="Arial" w:cs="Arial" w:eastAsia="Arial" w:hAnsi="Arial"/>
          <w:sz w:val="18"/>
          <w:szCs w:val="18"/>
          <w:color w:val="auto"/>
        </w:rPr>
      </w:pPr>
    </w:p>
    <w:p>
      <w:pPr>
        <w:ind w:left="4" w:right="760" w:hanging="4"/>
        <w:spacing w:after="0" w:line="277" w:lineRule="auto"/>
        <w:tabs>
          <w:tab w:leader="none" w:pos="22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70" w:lineRule="exact"/>
        <w:rPr>
          <w:rFonts w:ascii="Arial" w:cs="Arial" w:eastAsia="Arial" w:hAnsi="Arial"/>
          <w:sz w:val="18"/>
          <w:szCs w:val="18"/>
          <w:color w:val="auto"/>
        </w:rPr>
      </w:pPr>
    </w:p>
    <w:p>
      <w:pPr>
        <w:ind w:left="4" w:right="340" w:hanging="4"/>
        <w:spacing w:after="0" w:line="277" w:lineRule="auto"/>
        <w:tabs>
          <w:tab w:leader="none" w:pos="25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determine whether Awards will be granted singly, in combination with, in tandem with, or as alternatives to, other Awards under this Plan or any other incentive or compensation plan of the Company or any Parent, Subsidiary or Affiliate;</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determine whether an Award has been earned;</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reduce or waive any criteria with respect to Performance Factors;</w:t>
      </w:r>
    </w:p>
    <w:p>
      <w:pPr>
        <w:spacing w:after="0" w:line="225" w:lineRule="exact"/>
        <w:rPr>
          <w:rFonts w:ascii="Arial" w:cs="Arial" w:eastAsia="Arial" w:hAnsi="Arial"/>
          <w:sz w:val="18"/>
          <w:szCs w:val="18"/>
          <w:color w:val="auto"/>
        </w:rPr>
      </w:pPr>
    </w:p>
    <w:p>
      <w:pPr>
        <w:ind w:left="4" w:right="360" w:hanging="4"/>
        <w:spacing w:after="0" w:line="277" w:lineRule="auto"/>
        <w:tabs>
          <w:tab w:leader="none" w:pos="30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70" w:lineRule="exact"/>
        <w:rPr>
          <w:rFonts w:ascii="Arial" w:cs="Arial" w:eastAsia="Arial" w:hAnsi="Arial"/>
          <w:sz w:val="18"/>
          <w:szCs w:val="18"/>
          <w:color w:val="auto"/>
        </w:rPr>
      </w:pPr>
    </w:p>
    <w:p>
      <w:pPr>
        <w:ind w:left="4" w:right="440" w:hanging="4"/>
        <w:spacing w:after="0" w:line="277" w:lineRule="auto"/>
        <w:tabs>
          <w:tab w:leader="none" w:pos="259" w:val="left"/>
        </w:tabs>
        <w:numPr>
          <w:ilvl w:val="0"/>
          <w:numId w:val="562"/>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62"/>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ectPr>
          <w:pgSz w:w="11900" w:h="16838" w:orient="portrait"/>
          <w:cols w:equalWidth="0" w:num="1">
            <w:col w:w="11004"/>
          </w:cols>
          <w:pgMar w:left="436" w:top="269" w:right="459" w:bottom="1440" w:gutter="0" w:footer="0" w:header="0"/>
        </w:sectPr>
      </w:pPr>
    </w:p>
    <w:bookmarkStart w:id="608" w:name="page609"/>
    <w:bookmarkEnd w:id="60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 to exercise negative discretion on Performance Awards, reducing or eliminating the amount to be paid to Participants.</w:t>
      </w:r>
    </w:p>
    <w:p>
      <w:pPr>
        <w:spacing w:after="0" w:line="22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89"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“non-employee directors” (as defined in the regulations promulgated under Section 16 of the Exchange Act).</w:t>
      </w:r>
    </w:p>
    <w:p>
      <w:pPr>
        <w:spacing w:after="0" w:line="162"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Documentation</w:t>
      </w:r>
      <w:r>
        <w:rPr>
          <w:rFonts w:ascii="Arial" w:cs="Arial" w:eastAsia="Arial" w:hAnsi="Arial"/>
          <w:sz w:val="18"/>
          <w:szCs w:val="18"/>
          <w:color w:val="auto"/>
        </w:rPr>
        <w:t>. The Award Agreement for a given Award, the Plan and any other documents may be delivered to, and accepted by, a Participant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person in any manner (including electronic distribution or posting) that meets applicable legal requirements.</w:t>
      </w:r>
    </w:p>
    <w:p>
      <w:pPr>
        <w:spacing w:after="0" w:line="162" w:lineRule="exact"/>
        <w:rPr>
          <w:sz w:val="20"/>
          <w:szCs w:val="20"/>
          <w:color w:val="auto"/>
        </w:rPr>
      </w:pPr>
    </w:p>
    <w:p>
      <w:pPr>
        <w:ind w:left="4"/>
        <w:spacing w:after="0" w:line="289"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its Subsidiaries and Affiliates operate or have Employees eligible for Awards, the Committee, in its sole discretion, shall have the power and authority to: (a) determine which Subsidiaries and Affiliates shall be covered by the Plan; (b) determine which Employees outside the United States are eligible to participate in the Plan; (c) modify the terms and conditions of any Award granted to individuals outside the United States to comply with applicable foreign laws; (d) establish subplans and modify exercise procedures and other terms and procedures, to the extent the Committee determines such actions to be necessary or advisable (and such subplans and/or modifications shall be attached to this Plan as appendices); provided, however, that no such subplans and/or modifications shall increase the share limitations contained in the Plan;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61" w:lineRule="exact"/>
        <w:rPr>
          <w:sz w:val="20"/>
          <w:szCs w:val="20"/>
          <w:color w:val="auto"/>
        </w:rPr>
      </w:pPr>
    </w:p>
    <w:p>
      <w:pPr>
        <w:ind w:left="4" w:right="120" w:hanging="4"/>
        <w:spacing w:after="0" w:line="314" w:lineRule="auto"/>
        <w:tabs>
          <w:tab w:leader="none" w:pos="184" w:val="left"/>
        </w:tabs>
        <w:numPr>
          <w:ilvl w:val="0"/>
          <w:numId w:val="5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OPTIONS</w:t>
      </w:r>
      <w:r>
        <w:rPr>
          <w:rFonts w:ascii="Arial" w:cs="Arial" w:eastAsia="Arial" w:hAnsi="Arial"/>
          <w:sz w:val="16"/>
          <w:szCs w:val="16"/>
          <w:color w:val="auto"/>
        </w:rPr>
        <w:t>. An Option is the right but not the obligation to purchase a Share, subject to certain conditions, if applicable. The Committee may grant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to eligible Employees and will determine the number of Shares subject to the Option, the Exercise Price of the Option, the period during which the Option may vest and be exercised, and all other terms and conditions of the Option, subject to the following terms of this section.</w:t>
      </w:r>
    </w:p>
    <w:p>
      <w:pPr>
        <w:spacing w:after="0" w:line="142" w:lineRule="exact"/>
        <w:rPr>
          <w:sz w:val="20"/>
          <w:szCs w:val="20"/>
          <w:color w:val="auto"/>
        </w:rPr>
      </w:pPr>
    </w:p>
    <w:p>
      <w:pPr>
        <w:ind w:left="4"/>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be a nonqualified stock option. An Option may be, but need not be, awarded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ectPr>
          <w:pgSz w:w="11900" w:h="16838" w:orient="portrait"/>
          <w:cols w:equalWidth="0" w:num="1">
            <w:col w:w="11024"/>
          </w:cols>
          <w:pgMar w:left="436" w:top="275" w:right="439" w:bottom="1440" w:gutter="0" w:footer="0" w:header="0"/>
        </w:sectPr>
      </w:pPr>
    </w:p>
    <w:bookmarkStart w:id="609" w:name="page610"/>
    <w:bookmarkEnd w:id="609"/>
    <w:p>
      <w:pPr>
        <w:ind w:left="4" w:right="6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 a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future date. The Award Agreement will be delivered to the Participant within a reasonable time after the granting of the Option.</w:t>
      </w:r>
    </w:p>
    <w:p>
      <w:pPr>
        <w:spacing w:after="0" w:line="140"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Exercise Period</w:t>
      </w:r>
      <w:r>
        <w:rPr>
          <w:rFonts w:ascii="Arial" w:cs="Arial" w:eastAsia="Arial" w:hAnsi="Arial"/>
          <w:sz w:val="18"/>
          <w:szCs w:val="18"/>
          <w:color w:val="auto"/>
        </w:rPr>
        <w:t>. Options may be vested and exercisable within the times or upon the conditions as set forth in the Award Agreement governing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Option will be exercisable after the expiration of ten (10) years from the date the Option is granted. The Committee also may provide for Options to become exercisable at one time or from time to time, periodically or otherwise, in such number of Shares or percentage of Shares as the Committee determines.</w:t>
      </w:r>
    </w:p>
    <w:p>
      <w:pPr>
        <w:spacing w:after="0" w:line="180" w:lineRule="exact"/>
        <w:rPr>
          <w:sz w:val="20"/>
          <w:szCs w:val="20"/>
          <w:color w:val="auto"/>
        </w:rPr>
      </w:pPr>
    </w:p>
    <w:p>
      <w:pPr>
        <w:ind w:left="4" w:right="140"/>
        <w:spacing w:after="0" w:line="314"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Option will be determined by the Committee when the Option is granted; provided that the Exercise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of an Option will be not less than one hundred percent (100%) of the Fair Market Value of the Shares on the date of grant. Payment for the Shares purchased may be made in accordance with Section 7 and the Award Agreement and in accordance with any procedures established by the Company.</w:t>
      </w:r>
    </w:p>
    <w:p>
      <w:pPr>
        <w:spacing w:after="0" w:line="142" w:lineRule="exact"/>
        <w:rPr>
          <w:sz w:val="20"/>
          <w:szCs w:val="20"/>
          <w:color w:val="auto"/>
        </w:rPr>
      </w:pPr>
    </w:p>
    <w:p>
      <w:pPr>
        <w:ind w:left="4"/>
        <w:spacing w:after="0" w:line="26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Any Option granted hereunder will be vested and exercisable according to the terms of the Plan and at such times and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2.4 of the Plan. Exercising an Option in any manner will decrease the number of Shares thereafter available, both for purposes of the Plan and for sale under the Option, by the number of Shares as to which the Option is exercised.</w:t>
      </w:r>
    </w:p>
    <w:p>
      <w:pPr>
        <w:spacing w:after="0" w:line="179" w:lineRule="exact"/>
        <w:rPr>
          <w:sz w:val="20"/>
          <w:szCs w:val="20"/>
          <w:color w:val="auto"/>
        </w:rPr>
      </w:pPr>
    </w:p>
    <w:p>
      <w:pPr>
        <w:ind w:left="4" w:right="300"/>
        <w:spacing w:after="0" w:line="281" w:lineRule="auto"/>
        <w:rPr>
          <w:sz w:val="20"/>
          <w:szCs w:val="20"/>
          <w:color w:val="auto"/>
        </w:rPr>
      </w:pPr>
      <w:r>
        <w:rPr>
          <w:rFonts w:ascii="Arial" w:cs="Arial" w:eastAsia="Arial" w:hAnsi="Arial"/>
          <w:sz w:val="17"/>
          <w:szCs w:val="17"/>
          <w:b w:val="1"/>
          <w:bCs w:val="1"/>
          <w:color w:val="auto"/>
        </w:rPr>
        <w:t xml:space="preserve">5.6. </w:t>
      </w:r>
      <w:r>
        <w:rPr>
          <w:rFonts w:ascii="Arial" w:cs="Arial" w:eastAsia="Arial" w:hAnsi="Arial"/>
          <w:sz w:val="17"/>
          <w:szCs w:val="17"/>
          <w:u w:val="single" w:color="auto"/>
          <w:color w:val="auto"/>
        </w:rPr>
        <w:t>Termination of Service</w:t>
      </w:r>
      <w:r>
        <w:rPr>
          <w:rFonts w:ascii="Arial" w:cs="Arial" w:eastAsia="Arial" w:hAnsi="Arial"/>
          <w:sz w:val="17"/>
          <w:szCs w:val="17"/>
          <w:color w:val="auto"/>
        </w:rPr>
        <w:t>. If the Participant’s Service terminates for any reason except for Cause or the Participant’s death or Disability,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but in any event no later than the expiration date of the Options.</w:t>
      </w:r>
    </w:p>
    <w:p>
      <w:pPr>
        <w:spacing w:after="0" w:line="169" w:lineRule="exact"/>
        <w:rPr>
          <w:sz w:val="20"/>
          <w:szCs w:val="20"/>
          <w:color w:val="auto"/>
        </w:rPr>
      </w:pPr>
    </w:p>
    <w:p>
      <w:pPr>
        <w:ind w:left="4" w:hanging="4"/>
        <w:spacing w:after="0" w:line="296" w:lineRule="auto"/>
        <w:tabs>
          <w:tab w:leader="none" w:pos="248"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not less than six (6) months or longer time period as may be determined by the Committee), but in any event no later than the expiration date of the Options.</w:t>
      </w:r>
    </w:p>
    <w:p>
      <w:pPr>
        <w:sectPr>
          <w:pgSz w:w="11900" w:h="16838" w:orient="portrait"/>
          <w:cols w:equalWidth="0" w:num="1">
            <w:col w:w="11004"/>
          </w:cols>
          <w:pgMar w:left="436" w:top="270" w:right="459" w:bottom="1440" w:gutter="0" w:footer="0" w:header="0"/>
        </w:sectPr>
      </w:pPr>
    </w:p>
    <w:bookmarkStart w:id="610" w:name="page611"/>
    <w:bookmarkEnd w:id="610"/>
    <w:p>
      <w:pPr>
        <w:ind w:left="4" w:right="120" w:hanging="4"/>
        <w:spacing w:after="0" w:line="259" w:lineRule="auto"/>
        <w:tabs>
          <w:tab w:leader="none" w:pos="259"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Disability</w:t>
      </w:r>
      <w:r>
        <w:rPr>
          <w:rFonts w:ascii="Arial" w:cs="Arial" w:eastAsia="Arial" w:hAnsi="Arial"/>
          <w:sz w:val="18"/>
          <w:szCs w:val="18"/>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but in any event no later than the expiration date of the Options.</w:t>
      </w:r>
    </w:p>
    <w:p>
      <w:pPr>
        <w:spacing w:after="0" w:line="186" w:lineRule="exact"/>
        <w:rPr>
          <w:rFonts w:ascii="Arial" w:cs="Arial" w:eastAsia="Arial" w:hAnsi="Arial"/>
          <w:sz w:val="18"/>
          <w:szCs w:val="18"/>
          <w:color w:val="auto"/>
        </w:rPr>
      </w:pPr>
    </w:p>
    <w:p>
      <w:pPr>
        <w:jc w:val="both"/>
        <w:ind w:left="4" w:right="300" w:hanging="4"/>
        <w:spacing w:after="0" w:line="286" w:lineRule="auto"/>
        <w:tabs>
          <w:tab w:leader="none" w:pos="248" w:val="left"/>
        </w:tabs>
        <w:numPr>
          <w:ilvl w:val="0"/>
          <w:numId w:val="565"/>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If the Participant is terminated for Cause, then Participant’s Options shall expire on such Participant’s date of termination of Service, or at such later time and on such conditions as are determined by the Committee, but in any no event later than the expiration date of the Options. Unless otherwise provided in the Award Agreement, Cause shall have the meaning set forth in the Plan.</w:t>
      </w:r>
    </w:p>
    <w:p>
      <w:pPr>
        <w:spacing w:after="0" w:line="161" w:lineRule="exact"/>
        <w:rPr>
          <w:sz w:val="20"/>
          <w:szCs w:val="20"/>
          <w:color w:val="auto"/>
        </w:rPr>
      </w:pPr>
    </w:p>
    <w:p>
      <w:pPr>
        <w:jc w:val="both"/>
        <w:ind w:left="4" w:right="120"/>
        <w:spacing w:after="0" w:line="347"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u w:val="single" w:color="auto"/>
          <w:color w:val="auto"/>
        </w:rPr>
        <w:t>Limitations on Exercise</w:t>
      </w:r>
      <w:r>
        <w:rPr>
          <w:rFonts w:ascii="Arial" w:cs="Arial" w:eastAsia="Arial" w:hAnsi="Arial"/>
          <w:sz w:val="16"/>
          <w:szCs w:val="16"/>
          <w:color w:val="auto"/>
        </w:rPr>
        <w:t>. The Committee may specify a minimum number of Shares that may be purchased on any exercise of an Option,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minimum number will not prevent any Participant from exercising the Option for the full number of Shares for which it is then exercisable.</w:t>
      </w:r>
    </w:p>
    <w:p>
      <w:pPr>
        <w:spacing w:after="0" w:line="116" w:lineRule="exact"/>
        <w:rPr>
          <w:sz w:val="20"/>
          <w:szCs w:val="20"/>
          <w:color w:val="auto"/>
        </w:rPr>
      </w:pPr>
    </w:p>
    <w:p>
      <w:pPr>
        <w:jc w:val="both"/>
        <w:ind w:left="4" w:right="140"/>
        <w:spacing w:after="0" w:line="266"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 Options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substitution therefor, provided that any such action may not, without the written consent of a Participant, impair any of such Participant’s rights under any Option previously granted.</w:t>
      </w:r>
    </w:p>
    <w:p>
      <w:pPr>
        <w:spacing w:after="0" w:line="176" w:lineRule="exact"/>
        <w:rPr>
          <w:sz w:val="20"/>
          <w:szCs w:val="20"/>
          <w:color w:val="auto"/>
        </w:rPr>
      </w:pPr>
    </w:p>
    <w:p>
      <w:pPr>
        <w:ind w:left="4" w:right="260" w:hanging="4"/>
        <w:spacing w:after="0" w:line="282" w:lineRule="auto"/>
        <w:tabs>
          <w:tab w:leader="none" w:pos="184"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covering a number of Shares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settled in cash, or by issuance of those Shares. All RSUs shall be made pursuant to an Award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u w:val="single" w:color="auto"/>
          <w:color w:val="auto"/>
        </w:rPr>
        <w:t>Terms of RSUs</w:t>
      </w:r>
      <w:r>
        <w:rPr>
          <w:rFonts w:ascii="Arial" w:cs="Arial" w:eastAsia="Arial" w:hAnsi="Arial"/>
          <w:sz w:val="16"/>
          <w:szCs w:val="16"/>
          <w:color w:val="auto"/>
        </w:rPr>
        <w:t>. The Committee will determine the terms of an RSU including, without limitation: (a) the number of Shares subject to the RSU;</w:t>
      </w:r>
    </w:p>
    <w:p>
      <w:pPr>
        <w:spacing w:after="0" w:line="50" w:lineRule="exact"/>
        <w:rPr>
          <w:sz w:val="20"/>
          <w:szCs w:val="20"/>
          <w:color w:val="auto"/>
        </w:rPr>
      </w:pPr>
    </w:p>
    <w:p>
      <w:pPr>
        <w:ind w:left="4" w:hanging="4"/>
        <w:spacing w:after="0" w:line="288" w:lineRule="auto"/>
        <w:tabs>
          <w:tab w:leader="none" w:pos="259"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the time or times during which the RSU may be settled; (c) the consideration to be distributed on settlement; and (d) the effect of the Participant’s termination of Service on each RSU; provided that no RSU shall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 (z)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64" w:lineRule="exact"/>
        <w:rPr>
          <w:sz w:val="20"/>
          <w:szCs w:val="20"/>
          <w:color w:val="auto"/>
        </w:rPr>
      </w:pPr>
    </w:p>
    <w:p>
      <w:pPr>
        <w:ind w:left="4" w:right="180"/>
        <w:spacing w:after="0" w:line="261"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w:t>
      </w:r>
    </w:p>
    <w:p>
      <w:pPr>
        <w:spacing w:after="0" w:line="180" w:lineRule="exact"/>
        <w:rPr>
          <w:sz w:val="20"/>
          <w:szCs w:val="20"/>
          <w:color w:val="auto"/>
        </w:rPr>
      </w:pPr>
    </w:p>
    <w:p>
      <w:pPr>
        <w:ind w:left="4" w:right="680"/>
        <w:spacing w:after="0" w:line="282"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62" w:lineRule="exact"/>
        <w:rPr>
          <w:sz w:val="20"/>
          <w:szCs w:val="20"/>
          <w:color w:val="auto"/>
        </w:rPr>
      </w:pPr>
    </w:p>
    <w:p>
      <w:pPr>
        <w:jc w:val="both"/>
        <w:ind w:left="4" w:right="120" w:hanging="4"/>
        <w:spacing w:after="0" w:line="266" w:lineRule="auto"/>
        <w:tabs>
          <w:tab w:leader="none" w:pos="184"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purchased pursuant to this Plan may be made in cash or by check</w:t>
      </w:r>
      <w:r>
        <w:rPr>
          <w:rFonts w:ascii="Arial" w:cs="Arial" w:eastAsia="Arial" w:hAnsi="Arial"/>
          <w:sz w:val="18"/>
          <w:szCs w:val="18"/>
          <w:b w:val="1"/>
          <w:bCs w:val="1"/>
          <w:color w:val="auto"/>
        </w:rPr>
        <w:t xml:space="preserve"> </w:t>
      </w:r>
      <w:r>
        <w:rPr>
          <w:rFonts w:ascii="Arial" w:cs="Arial" w:eastAsia="Arial" w:hAnsi="Arial"/>
          <w:sz w:val="18"/>
          <w:szCs w:val="18"/>
          <w:color w:val="auto"/>
        </w:rPr>
        <w:t>or, where approved for the Participant by the Committee and where permitted by law (and to the extent not otherwise set forth in the applicable Award Agreement):</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(a) by cancellation of indebtedness of the Company to the Participant;</w:t>
      </w:r>
    </w:p>
    <w:p>
      <w:pPr>
        <w:sectPr>
          <w:pgSz w:w="11900" w:h="16838" w:orient="portrait"/>
          <w:cols w:equalWidth="0" w:num="1">
            <w:col w:w="10984"/>
          </w:cols>
          <w:pgMar w:left="436" w:top="275" w:right="479" w:bottom="1440" w:gutter="0" w:footer="0" w:header="0"/>
        </w:sectPr>
      </w:pPr>
    </w:p>
    <w:bookmarkStart w:id="611" w:name="page612"/>
    <w:bookmarkEnd w:id="611"/>
    <w:p>
      <w:pPr>
        <w:ind w:left="4" w:right="560" w:hanging="4"/>
        <w:spacing w:after="0" w:line="277" w:lineRule="auto"/>
        <w:tabs>
          <w:tab w:leader="none" w:pos="259" w:val="left"/>
        </w:tabs>
        <w:numPr>
          <w:ilvl w:val="0"/>
          <w:numId w:val="5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surrender of shares of the Company’s common stock by the Participant that have a Fair Market Value on the date of surrender equal to the aggregate exercise price of the Shares as to which said Award will be exercised or settled;</w:t>
      </w:r>
    </w:p>
    <w:p>
      <w:pPr>
        <w:spacing w:after="0" w:line="170" w:lineRule="exact"/>
        <w:rPr>
          <w:rFonts w:ascii="Arial" w:cs="Arial" w:eastAsia="Arial" w:hAnsi="Arial"/>
          <w:sz w:val="18"/>
          <w:szCs w:val="18"/>
          <w:color w:val="auto"/>
        </w:rPr>
      </w:pPr>
    </w:p>
    <w:p>
      <w:pPr>
        <w:ind w:left="4" w:right="80" w:hanging="4"/>
        <w:spacing w:after="0" w:line="277" w:lineRule="auto"/>
        <w:tabs>
          <w:tab w:leader="none" w:pos="249" w:val="left"/>
        </w:tabs>
        <w:numPr>
          <w:ilvl w:val="0"/>
          <w:numId w:val="569"/>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for services rendered or to be rendered to the Company or a Parent or Subsidiary of the Company;</w:t>
      </w:r>
    </w:p>
    <w:p>
      <w:pPr>
        <w:spacing w:after="0" w:line="170" w:lineRule="exact"/>
        <w:rPr>
          <w:rFonts w:ascii="Arial" w:cs="Arial" w:eastAsia="Arial" w:hAnsi="Arial"/>
          <w:sz w:val="18"/>
          <w:szCs w:val="18"/>
          <w:color w:val="auto"/>
        </w:rPr>
      </w:pPr>
    </w:p>
    <w:p>
      <w:pPr>
        <w:ind w:left="4" w:hanging="4"/>
        <w:spacing w:after="0" w:line="277" w:lineRule="auto"/>
        <w:tabs>
          <w:tab w:leader="none" w:pos="259" w:val="left"/>
        </w:tabs>
        <w:numPr>
          <w:ilvl w:val="0"/>
          <w:numId w:val="569"/>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69"/>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221" w:lineRule="exact"/>
        <w:rPr>
          <w:sz w:val="20"/>
          <w:szCs w:val="20"/>
          <w:color w:val="auto"/>
        </w:rPr>
      </w:pPr>
    </w:p>
    <w:p>
      <w:pPr>
        <w:ind w:left="184" w:hanging="184"/>
        <w:spacing w:after="0"/>
        <w:tabs>
          <w:tab w:leader="none" w:pos="184"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Whenever Shares are to be issued in satisfaction of Awards granted under this Plan or a tax event occurs,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the Participant to remit to the Company, or to the Parent, Subsidiary or applicable Affiliate employing the Participant, an amount sufficient to satisfy applicable U.S. federal, state, local and international withholding tax requirements or any other tax or social insurance liability legally due from the Participant prior to the delivery of Shares pursuant to exercise or settlement of any Award. Whenever payments in satisfaction of Awards granted under this Plan are to be made in cash, such payment will be net of an amount sufficient to satisfy applicable U.S. federal, state, local and international withholding tax or social insurance requirements or any other tax liability legally due from the Participant.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72"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u w:val="single" w:color="auto"/>
          <w:color w:val="auto"/>
        </w:rPr>
        <w:t>Stock Withholding</w:t>
      </w:r>
      <w:r>
        <w:rPr>
          <w:rFonts w:ascii="Arial" w:cs="Arial" w:eastAsia="Arial" w:hAnsi="Arial"/>
          <w:sz w:val="16"/>
          <w:szCs w:val="16"/>
          <w:color w:val="auto"/>
        </w:rPr>
        <w:t>. The Committee, or its delegate(s), as permitted by applicable law, in its sole discretion and pursuant to such procedures as it</w:t>
      </w:r>
      <w:r>
        <w:rPr>
          <w:rFonts w:ascii="Arial" w:cs="Arial" w:eastAsia="Arial" w:hAnsi="Arial"/>
          <w:sz w:val="16"/>
          <w:szCs w:val="16"/>
          <w:b w:val="1"/>
          <w:bCs w:val="1"/>
          <w:color w:val="auto"/>
        </w:rPr>
        <w:t xml:space="preserve"> </w:t>
      </w:r>
      <w:r>
        <w:rPr>
          <w:rFonts w:ascii="Arial" w:cs="Arial" w:eastAsia="Arial" w:hAnsi="Arial"/>
          <w:sz w:val="16"/>
          <w:szCs w:val="16"/>
          <w:color w:val="auto"/>
        </w:rPr>
        <w:t>may specify from time to time and to limitations of local law, may require or permit a Participant to satisfy such tax withholding obligation or any other tax liability legally due from the Participant, in whole or in part by (without limitation) (a) paying cash, (b) electing to have the Company withhold otherwise deliverable cash or Shares having a Fair Market Value equal to the minimum statutory amount required to be withheld, (c) delivering to the Company already-owned shares of the Company’s common stock having a Fair Market Value up to the maximum amount permitted to be withheld or</w:t>
      </w:r>
    </w:p>
    <w:p>
      <w:pPr>
        <w:spacing w:after="0" w:line="2" w:lineRule="exact"/>
        <w:rPr>
          <w:sz w:val="20"/>
          <w:szCs w:val="20"/>
          <w:color w:val="auto"/>
        </w:rPr>
      </w:pPr>
    </w:p>
    <w:p>
      <w:pPr>
        <w:ind w:left="4" w:right="260" w:hanging="4"/>
        <w:spacing w:after="0" w:line="260" w:lineRule="auto"/>
        <w:tabs>
          <w:tab w:leader="none" w:pos="259"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withholding from proceeds of the sale of otherwise deliverable Shares acquired pursuant to an Award either through a voluntary sale or through a mandatory sale arranged by the Company for up to the maximum statutory amount permitted to be withheld.</w:t>
      </w:r>
    </w:p>
    <w:p>
      <w:pPr>
        <w:spacing w:after="0" w:line="181" w:lineRule="exact"/>
        <w:rPr>
          <w:sz w:val="20"/>
          <w:szCs w:val="20"/>
          <w:color w:val="auto"/>
        </w:rPr>
      </w:pPr>
    </w:p>
    <w:p>
      <w:pPr>
        <w:ind w:left="184" w:hanging="184"/>
        <w:spacing w:after="0"/>
        <w:tabs>
          <w:tab w:leader="none" w:pos="18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w:t>
      </w:r>
    </w:p>
    <w:p>
      <w:pPr>
        <w:spacing w:after="0" w:line="225" w:lineRule="exact"/>
        <w:rPr>
          <w:sz w:val="20"/>
          <w:szCs w:val="20"/>
          <w:color w:val="auto"/>
        </w:rPr>
      </w:pPr>
    </w:p>
    <w:p>
      <w:pPr>
        <w:ind w:left="4" w:right="120"/>
        <w:spacing w:after="0" w:line="286"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u w:val="single" w:color="auto"/>
          <w:color w:val="auto"/>
        </w:rPr>
        <w:t>Transfer Generally</w:t>
      </w:r>
      <w:r>
        <w:rPr>
          <w:rFonts w:ascii="Arial" w:cs="Arial" w:eastAsia="Arial" w:hAnsi="Arial"/>
          <w:sz w:val="16"/>
          <w:szCs w:val="16"/>
          <w:color w:val="auto"/>
        </w:rPr>
        <w:t>. Unless determined otherwise by the Committee or pursuant to Section 9.2, an Award may not be sold, pledged, 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w:t>
      </w:r>
    </w:p>
    <w:p>
      <w:pPr>
        <w:spacing w:after="0" w:line="2" w:lineRule="exact"/>
        <w:rPr>
          <w:sz w:val="20"/>
          <w:szCs w:val="20"/>
          <w:color w:val="auto"/>
        </w:rPr>
      </w:pPr>
    </w:p>
    <w:p>
      <w:pPr>
        <w:ind w:left="4" w:right="240" w:hanging="4"/>
        <w:spacing w:after="0" w:line="260" w:lineRule="auto"/>
        <w:tabs>
          <w:tab w:leader="none" w:pos="269"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Participant’s guardian or legal representative; (b) after the Participant’s death, by the legal representative of the Participant’s heirs or legatees; and (c) by a Permitted Transferee.</w:t>
      </w:r>
    </w:p>
    <w:p>
      <w:pPr>
        <w:sectPr>
          <w:pgSz w:w="11900" w:h="16838" w:orient="portrait"/>
          <w:cols w:equalWidth="0" w:num="1">
            <w:col w:w="10964"/>
          </w:cols>
          <w:pgMar w:left="436" w:top="274" w:right="499" w:bottom="1440" w:gutter="0" w:footer="0" w:header="0"/>
        </w:sectPr>
      </w:pPr>
    </w:p>
    <w:bookmarkStart w:id="612" w:name="page613"/>
    <w:bookmarkEnd w:id="612"/>
    <w:p>
      <w:pPr>
        <w:ind w:left="4" w:right="2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9.2. </w:t>
      </w:r>
      <w:r>
        <w:rPr>
          <w:rFonts w:ascii="Arial" w:cs="Arial" w:eastAsia="Arial" w:hAnsi="Arial"/>
          <w:sz w:val="16"/>
          <w:szCs w:val="16"/>
          <w:u w:val="single" w:color="auto"/>
          <w:color w:val="auto"/>
        </w:rPr>
        <w:t>Award Transfer Program</w:t>
      </w:r>
      <w:r>
        <w:rPr>
          <w:rFonts w:ascii="Arial" w:cs="Arial" w:eastAsia="Arial" w:hAnsi="Arial"/>
          <w:sz w:val="16"/>
          <w:szCs w:val="16"/>
          <w:color w:val="auto"/>
        </w:rPr>
        <w:t>. Notwithstanding any contrary provision of the Plan, the Committee shall have all discretion and authority to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and implement the terms and conditions of any Award Transfer Program instituted pursuant to this Section 9.2 and shall have the authority to amend the terms of any Award participating, or otherwise eligible to participate in, the Award Transfer Program, including (but not limited to) the authority to</w:t>
      </w:r>
    </w:p>
    <w:p>
      <w:pPr>
        <w:spacing w:after="0" w:line="2" w:lineRule="exact"/>
        <w:rPr>
          <w:sz w:val="20"/>
          <w:szCs w:val="20"/>
          <w:color w:val="auto"/>
        </w:rPr>
      </w:pPr>
    </w:p>
    <w:p>
      <w:pPr>
        <w:ind w:left="4" w:right="20" w:hanging="4"/>
        <w:spacing w:after="0" w:line="290" w:lineRule="auto"/>
        <w:tabs>
          <w:tab w:leader="none" w:pos="249" w:val="left"/>
        </w:tabs>
        <w:numPr>
          <w:ilvl w:val="0"/>
          <w:numId w:val="574"/>
        </w:numPr>
        <w:rPr>
          <w:rFonts w:ascii="Arial" w:cs="Arial" w:eastAsia="Arial" w:hAnsi="Arial"/>
          <w:sz w:val="16"/>
          <w:szCs w:val="16"/>
          <w:color w:val="auto"/>
        </w:rPr>
      </w:pPr>
      <w:r>
        <w:rPr>
          <w:rFonts w:ascii="Arial" w:cs="Arial" w:eastAsia="Arial" w:hAnsi="Arial"/>
          <w:sz w:val="16"/>
          <w:szCs w:val="16"/>
          <w:color w:val="auto"/>
        </w:rPr>
        <w:t>amend (including to extend) the expiration date, post-termination exercise period and/or forfeiture conditions of any such Award, (b) amend or remove any provisions of the Award relating to the Award holder’s continued Service to the Company or its Parent, Subsidiary, or Affiliate, (c) amend the permissible payment methods with respect to the exercise or purchase of any such Award, (d) amend the adjustments to be implemented in the event of changes in the capitalization and other similar events with respect to such Award, and (e) make such other changes to the terms of such Award as the Committee deems necessary or appropriate in its sole discretion. Notwithstanding anything to the contrary in the Plan, in no event will the Committee have the right to determine and implement the terms and conditions of any Award Transfer Program without stockholder approval.</w:t>
      </w:r>
    </w:p>
    <w:p>
      <w:pPr>
        <w:spacing w:after="0" w:line="160" w:lineRule="exact"/>
        <w:rPr>
          <w:sz w:val="20"/>
          <w:szCs w:val="20"/>
          <w:color w:val="auto"/>
        </w:rPr>
      </w:pPr>
    </w:p>
    <w:p>
      <w:pPr>
        <w:ind w:left="264" w:hanging="264"/>
        <w:spacing w:after="0"/>
        <w:tabs>
          <w:tab w:leader="none" w:pos="264"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225"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u w:val="single" w:color="auto"/>
          <w:color w:val="auto"/>
        </w:rPr>
        <w:t>Voting and Dividends</w:t>
      </w:r>
      <w:r>
        <w:rPr>
          <w:rFonts w:ascii="Arial" w:cs="Arial" w:eastAsia="Arial" w:hAnsi="Arial"/>
          <w:sz w:val="16"/>
          <w:szCs w:val="16"/>
          <w:color w:val="auto"/>
        </w:rPr>
        <w:t>. No Participant will have any of the rights of a stockholder with respect to any Shares until the Shares are issued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except for any dividend equivalent rights permitted by an applicable Award Agreement (“</w:t>
      </w:r>
      <w:r>
        <w:rPr>
          <w:rFonts w:ascii="Arial" w:cs="Arial" w:eastAsia="Arial" w:hAnsi="Arial"/>
          <w:sz w:val="16"/>
          <w:szCs w:val="16"/>
          <w:b w:val="1"/>
          <w:bCs w:val="1"/>
          <w:i w:val="1"/>
          <w:iCs w:val="1"/>
          <w:color w:val="auto"/>
        </w:rPr>
        <w:t>Dividend Equivalent Rights</w:t>
      </w:r>
      <w:r>
        <w:rPr>
          <w:rFonts w:ascii="Arial" w:cs="Arial" w:eastAsia="Arial" w:hAnsi="Arial"/>
          <w:sz w:val="16"/>
          <w:szCs w:val="16"/>
          <w:color w:val="auto"/>
        </w:rPr>
        <w:t xml:space="preserve">”).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Shares are Unvested Shares,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Unvested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Participant will have no right to retain such stock dividends or stock distributions with respect to Shares that are repurchased at the Participant’s Exercise Price pursuant to Section 10.2.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Such Dividend Equivalent Rights, if any, shall be credited to the Participant in the form of additional whole Shares as of the date of payment of such cash dividends on Shares.</w:t>
      </w:r>
    </w:p>
    <w:p>
      <w:pPr>
        <w:spacing w:after="0" w:line="168" w:lineRule="exact"/>
        <w:rPr>
          <w:sz w:val="20"/>
          <w:szCs w:val="20"/>
          <w:color w:val="auto"/>
        </w:rPr>
      </w:pPr>
    </w:p>
    <w:p>
      <w:pPr>
        <w:ind w:left="4"/>
        <w:spacing w:after="0" w:line="303" w:lineRule="auto"/>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u w:val="single" w:color="auto"/>
          <w:color w:val="auto"/>
        </w:rPr>
        <w:t>Restrictions on Shares</w:t>
      </w:r>
      <w:r>
        <w:rPr>
          <w:rFonts w:ascii="Arial" w:cs="Arial" w:eastAsia="Arial" w:hAnsi="Arial"/>
          <w:sz w:val="16"/>
          <w:szCs w:val="16"/>
          <w:color w:val="auto"/>
        </w:rPr>
        <w:t>. At the discretion of the Committee, the Company may reserve to itself and/or its assignee(s) a right to repurchase (a “</w:t>
      </w:r>
      <w:r>
        <w:rPr>
          <w:rFonts w:ascii="Arial" w:cs="Arial" w:eastAsia="Arial" w:hAnsi="Arial"/>
          <w:sz w:val="16"/>
          <w:szCs w:val="16"/>
          <w:b w:val="1"/>
          <w:bCs w:val="1"/>
          <w:i w:val="1"/>
          <w:iCs w:val="1"/>
          <w:color w:val="auto"/>
        </w:rPr>
        <w:t>Right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of Repurchase</w:t>
      </w:r>
      <w:r>
        <w:rPr>
          <w:rFonts w:ascii="Arial" w:cs="Arial" w:eastAsia="Arial" w:hAnsi="Arial"/>
          <w:sz w:val="16"/>
          <w:szCs w:val="16"/>
          <w:color w:val="auto"/>
        </w:rPr>
        <w:t>”) a portion of any or all Unvested Shares held by a Participant following such Participant’s termination of Service at any time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ninety (90) days (or such longer or shorter time determined by the Committee) after the later of the date Participant’s Service terminates and the date the Participant purchases Shares under this Plan, for cash and/or cancellation of purchase money indebtedness, at the Participant’s Exercise Price.</w:t>
      </w:r>
    </w:p>
    <w:p>
      <w:pPr>
        <w:spacing w:after="0" w:line="151" w:lineRule="exact"/>
        <w:rPr>
          <w:sz w:val="20"/>
          <w:szCs w:val="20"/>
          <w:color w:val="auto"/>
        </w:rPr>
      </w:pPr>
    </w:p>
    <w:p>
      <w:pPr>
        <w:ind w:left="4" w:hanging="4"/>
        <w:spacing w:after="0" w:line="303" w:lineRule="auto"/>
        <w:tabs>
          <w:tab w:leader="none" w:pos="264" w:val="left"/>
        </w:tabs>
        <w:numPr>
          <w:ilvl w:val="0"/>
          <w:numId w:val="5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CERTIFICATES</w:t>
      </w:r>
      <w:r>
        <w:rPr>
          <w:rFonts w:ascii="Arial" w:cs="Arial" w:eastAsia="Arial" w:hAnsi="Arial"/>
          <w:sz w:val="16"/>
          <w:szCs w:val="16"/>
          <w:color w:val="auto"/>
        </w:rPr>
        <w:t>. All Shares or other securities whether or not certificated, delivered under this Plan will be subject to such stock transfer orders,</w:t>
      </w:r>
      <w:r>
        <w:rPr>
          <w:rFonts w:ascii="Arial" w:cs="Arial" w:eastAsia="Arial" w:hAnsi="Arial"/>
          <w:sz w:val="16"/>
          <w:szCs w:val="16"/>
          <w:b w:val="1"/>
          <w:bCs w:val="1"/>
          <w:color w:val="auto"/>
        </w:rPr>
        <w:t xml:space="preserve"> </w:t>
      </w:r>
      <w:r>
        <w:rPr>
          <w:rFonts w:ascii="Arial" w:cs="Arial" w:eastAsia="Arial" w:hAnsi="Arial"/>
          <w:sz w:val="16"/>
          <w:szCs w:val="16"/>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ectPr>
          <w:pgSz w:w="11900" w:h="16838" w:orient="portrait"/>
          <w:cols w:equalWidth="0" w:num="1">
            <w:col w:w="10964"/>
          </w:cols>
          <w:pgMar w:left="436" w:top="271" w:right="499" w:bottom="1440" w:gutter="0" w:footer="0" w:header="0"/>
        </w:sectPr>
      </w:pPr>
    </w:p>
    <w:bookmarkStart w:id="613" w:name="page614"/>
    <w:bookmarkEnd w:id="613"/>
    <w:p>
      <w:pPr>
        <w:ind w:left="4" w:right="20" w:hanging="4"/>
        <w:spacing w:after="0" w:line="269" w:lineRule="auto"/>
        <w:tabs>
          <w:tab w:leader="none" w:pos="274" w:val="left"/>
        </w:tabs>
        <w:numPr>
          <w:ilvl w:val="0"/>
          <w:numId w:val="5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ESCROW; PLEDGE OF SHARES</w:t>
      </w:r>
      <w:r>
        <w:rPr>
          <w:rFonts w:ascii="Arial" w:cs="Arial" w:eastAsia="Arial" w:hAnsi="Arial"/>
          <w:sz w:val="17"/>
          <w:szCs w:val="17"/>
          <w:color w:val="auto"/>
        </w:rPr>
        <w:t>. To enforce any restrictions on a Participant’s Shares, the Committee may require the Participant to deposit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81" w:lineRule="exact"/>
        <w:rPr>
          <w:rFonts w:ascii="Arial" w:cs="Arial" w:eastAsia="Arial" w:hAnsi="Arial"/>
          <w:sz w:val="17"/>
          <w:szCs w:val="17"/>
          <w:b w:val="1"/>
          <w:bCs w:val="1"/>
          <w:color w:val="auto"/>
        </w:rPr>
      </w:pPr>
    </w:p>
    <w:p>
      <w:pPr>
        <w:ind w:left="4" w:hanging="4"/>
        <w:spacing w:after="0" w:line="289" w:lineRule="auto"/>
        <w:tabs>
          <w:tab w:leader="none" w:pos="274" w:val="left"/>
        </w:tabs>
        <w:numPr>
          <w:ilvl w:val="0"/>
          <w:numId w:val="5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LAW AND OTHER REGULATORY COMPLIANCE</w:t>
      </w:r>
      <w:r>
        <w:rPr>
          <w:rFonts w:ascii="Arial" w:cs="Arial" w:eastAsia="Arial" w:hAnsi="Arial"/>
          <w:sz w:val="16"/>
          <w:szCs w:val="16"/>
          <w:color w:val="auto"/>
        </w:rPr>
        <w:t>. An Award will not be effective unless such Award is in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all 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66" w:lineRule="exact"/>
        <w:rPr>
          <w:rFonts w:ascii="Arial" w:cs="Arial" w:eastAsia="Arial" w:hAnsi="Arial"/>
          <w:sz w:val="16"/>
          <w:szCs w:val="16"/>
          <w:b w:val="1"/>
          <w:bCs w:val="1"/>
          <w:color w:val="auto"/>
        </w:rPr>
      </w:pPr>
    </w:p>
    <w:p>
      <w:pPr>
        <w:ind w:left="4" w:right="20" w:hanging="4"/>
        <w:spacing w:after="0" w:line="314" w:lineRule="auto"/>
        <w:tabs>
          <w:tab w:leader="none" w:pos="274" w:val="left"/>
        </w:tabs>
        <w:numPr>
          <w:ilvl w:val="0"/>
          <w:numId w:val="5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OBLIGATION TO EMPLOY</w:t>
      </w:r>
      <w:r>
        <w:rPr>
          <w:rFonts w:ascii="Arial" w:cs="Arial" w:eastAsia="Arial" w:hAnsi="Arial"/>
          <w:sz w:val="16"/>
          <w:szCs w:val="16"/>
          <w:color w:val="auto"/>
        </w:rPr>
        <w:t>. Nothing in this Plan or any Award granted under this Plan will confer or be deemed to confer on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41" w:lineRule="exact"/>
        <w:rPr>
          <w:rFonts w:ascii="Arial" w:cs="Arial" w:eastAsia="Arial" w:hAnsi="Arial"/>
          <w:sz w:val="16"/>
          <w:szCs w:val="16"/>
          <w:b w:val="1"/>
          <w:bCs w:val="1"/>
          <w:color w:val="auto"/>
        </w:rPr>
      </w:pPr>
    </w:p>
    <w:p>
      <w:pPr>
        <w:ind w:left="264" w:hanging="264"/>
        <w:spacing w:after="0"/>
        <w:tabs>
          <w:tab w:leader="none" w:pos="264"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225" w:lineRule="exact"/>
        <w:rPr>
          <w:sz w:val="20"/>
          <w:szCs w:val="20"/>
          <w:color w:val="auto"/>
        </w:rPr>
      </w:pPr>
    </w:p>
    <w:p>
      <w:pPr>
        <w:ind w:left="4" w:right="300"/>
        <w:spacing w:after="0" w:line="261"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76" w:lineRule="exact"/>
        <w:rPr>
          <w:sz w:val="20"/>
          <w:szCs w:val="20"/>
          <w:color w:val="auto"/>
        </w:rPr>
      </w:pPr>
    </w:p>
    <w:p>
      <w:pPr>
        <w:ind w:left="244" w:hanging="244"/>
        <w:spacing w:after="0"/>
        <w:tabs>
          <w:tab w:leader="none" w:pos="24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225" w:lineRule="exact"/>
        <w:rPr>
          <w:rFonts w:ascii="Arial" w:cs="Arial" w:eastAsia="Arial" w:hAnsi="Arial"/>
          <w:sz w:val="18"/>
          <w:szCs w:val="18"/>
          <w:color w:val="auto"/>
        </w:rPr>
      </w:pPr>
    </w:p>
    <w:p>
      <w:pPr>
        <w:ind w:left="4" w:right="20" w:hanging="4"/>
        <w:spacing w:after="0" w:line="311" w:lineRule="auto"/>
        <w:tabs>
          <w:tab w:leader="none" w:pos="259" w:val="left"/>
        </w:tabs>
        <w:numPr>
          <w:ilvl w:val="0"/>
          <w:numId w:val="578"/>
        </w:numPr>
        <w:rPr>
          <w:rFonts w:ascii="Arial" w:cs="Arial" w:eastAsia="Arial" w:hAnsi="Arial"/>
          <w:sz w:val="16"/>
          <w:szCs w:val="16"/>
          <w:color w:val="auto"/>
        </w:rPr>
      </w:pPr>
      <w:r>
        <w:rPr>
          <w:rFonts w:ascii="Arial" w:cs="Arial" w:eastAsia="Arial" w:hAnsi="Arial"/>
          <w:sz w:val="16"/>
          <w:szCs w:val="16"/>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option or any award that is subject to Section 409A of the Code will be adjusted appropriately pursuant to Section 424(a) of the Code.</w:t>
      </w:r>
    </w:p>
    <w:p>
      <w:pPr>
        <w:sectPr>
          <w:pgSz w:w="11900" w:h="16838" w:orient="portrait"/>
          <w:cols w:equalWidth="0" w:num="1">
            <w:col w:w="10984"/>
          </w:cols>
          <w:pgMar w:left="436" w:top="270" w:right="479" w:bottom="1440" w:gutter="0" w:footer="0" w:header="0"/>
        </w:sectPr>
      </w:pPr>
    </w:p>
    <w:bookmarkStart w:id="614" w:name="page615"/>
    <w:bookmarkEnd w:id="614"/>
    <w:p>
      <w:pPr>
        <w:jc w:val="both"/>
        <w:ind w:left="4" w:right="100" w:hanging="4"/>
        <w:spacing w:after="0" w:line="311" w:lineRule="auto"/>
        <w:tabs>
          <w:tab w:leader="none" w:pos="249" w:val="left"/>
        </w:tabs>
        <w:numPr>
          <w:ilvl w:val="0"/>
          <w:numId w:val="5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option or any award that is subject to Section 409A of the Code will be adjusted appropriately pursuant to Section 424(a) of the Code).</w:t>
      </w:r>
    </w:p>
    <w:p>
      <w:pPr>
        <w:spacing w:after="0" w:line="148" w:lineRule="exact"/>
        <w:rPr>
          <w:rFonts w:ascii="Arial" w:cs="Arial" w:eastAsia="Arial" w:hAnsi="Arial"/>
          <w:sz w:val="16"/>
          <w:szCs w:val="16"/>
          <w:color w:val="auto"/>
        </w:rPr>
      </w:pPr>
    </w:p>
    <w:p>
      <w:pPr>
        <w:ind w:left="4" w:right="240" w:hanging="4"/>
        <w:spacing w:after="0" w:line="308" w:lineRule="auto"/>
        <w:tabs>
          <w:tab w:leader="none" w:pos="259" w:val="left"/>
        </w:tabs>
        <w:numPr>
          <w:ilvl w:val="0"/>
          <w:numId w:val="579"/>
        </w:numPr>
        <w:rPr>
          <w:rFonts w:ascii="Arial" w:cs="Arial" w:eastAsia="Arial" w:hAnsi="Arial"/>
          <w:sz w:val="17"/>
          <w:szCs w:val="17"/>
          <w:color w:val="auto"/>
        </w:rPr>
      </w:pPr>
      <w:r>
        <w:rPr>
          <w:rFonts w:ascii="Arial" w:cs="Arial" w:eastAsia="Arial" w:hAnsi="Arial"/>
          <w:sz w:val="17"/>
          <w:szCs w:val="17"/>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146" w:lineRule="exact"/>
        <w:rPr>
          <w:rFonts w:ascii="Arial" w:cs="Arial" w:eastAsia="Arial" w:hAnsi="Arial"/>
          <w:sz w:val="17"/>
          <w:szCs w:val="17"/>
          <w:color w:val="auto"/>
        </w:rPr>
      </w:pPr>
    </w:p>
    <w:p>
      <w:pPr>
        <w:ind w:left="4" w:hanging="4"/>
        <w:spacing w:after="0" w:line="291" w:lineRule="auto"/>
        <w:tabs>
          <w:tab w:leader="none" w:pos="249" w:val="left"/>
        </w:tabs>
        <w:numPr>
          <w:ilvl w:val="0"/>
          <w:numId w:val="579"/>
        </w:numPr>
        <w:rPr>
          <w:rFonts w:ascii="Arial" w:cs="Arial" w:eastAsia="Arial" w:hAnsi="Arial"/>
          <w:sz w:val="16"/>
          <w:szCs w:val="16"/>
          <w:color w:val="auto"/>
        </w:rPr>
      </w:pPr>
      <w:r>
        <w:rPr>
          <w:rFonts w:ascii="Arial" w:cs="Arial" w:eastAsia="Arial" w:hAnsi="Arial"/>
          <w:sz w:val="16"/>
          <w:szCs w:val="16"/>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15.1(e), the Fair Market Value of any security shall be determined without regard to any vesting conditions that may apply to such security.</w:t>
      </w:r>
    </w:p>
    <w:p>
      <w:pPr>
        <w:spacing w:after="0" w:line="166" w:lineRule="exact"/>
        <w:rPr>
          <w:rFonts w:ascii="Arial" w:cs="Arial" w:eastAsia="Arial" w:hAnsi="Arial"/>
          <w:sz w:val="16"/>
          <w:szCs w:val="16"/>
          <w:color w:val="auto"/>
        </w:rPr>
      </w:pPr>
    </w:p>
    <w:p>
      <w:pPr>
        <w:ind w:left="224" w:hanging="224"/>
        <w:spacing w:after="0"/>
        <w:tabs>
          <w:tab w:leader="none" w:pos="224"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225"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Board shall have full power and authority to assign the Company’s right to repurchase or re-acquire or forfeiture rights to such successor or acquiring corporation. In addition, in the event such successor or acquiring corporation refuses to assume, convert, replace or substitute Awards, as provided above, pursuant to a Corporate Transaction,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Corporate Transaction. In addition, following a Corporate Transaction, 100% of the total number of Shares subject to each Award held by an Employee shall become vested if the holder is subject to an Involuntary Termination within 12 months after the Corporate Transaction; it being understood that the vesting acceleration set forth in the preceding clause is in addition to vesting of the Award or Shares that has occurred prior to the Involuntary Termination, subject to the Participant executing a general release (in a form prescribed by the Company) of all known and unknown claims that he or she may then have against the Company or persons affiliated with the Company and such release has become effective and agreeing not to prosecute any legal action or other proceeding based upon any of such claims except to the extent otherwise provided in an individual award agreement.</w:t>
      </w:r>
    </w:p>
    <w:p>
      <w:pPr>
        <w:spacing w:after="0" w:line="178" w:lineRule="exact"/>
        <w:rPr>
          <w:sz w:val="20"/>
          <w:szCs w:val="20"/>
          <w:color w:val="auto"/>
        </w:rPr>
      </w:pPr>
    </w:p>
    <w:p>
      <w:pPr>
        <w:ind w:left="4" w:right="260" w:hanging="4"/>
        <w:spacing w:after="0" w:line="266" w:lineRule="auto"/>
        <w:tabs>
          <w:tab w:leader="none" w:pos="274" w:val="left"/>
        </w:tabs>
        <w:numPr>
          <w:ilvl w:val="0"/>
          <w:numId w:val="5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75" w:lineRule="exact"/>
        <w:rPr>
          <w:rFonts w:ascii="Arial" w:cs="Arial" w:eastAsia="Arial" w:hAnsi="Arial"/>
          <w:sz w:val="18"/>
          <w:szCs w:val="18"/>
          <w:b w:val="1"/>
          <w:bCs w:val="1"/>
          <w:color w:val="auto"/>
        </w:rPr>
      </w:pPr>
    </w:p>
    <w:p>
      <w:pPr>
        <w:ind w:left="264" w:hanging="264"/>
        <w:spacing w:after="0"/>
        <w:tabs>
          <w:tab w:leader="none" w:pos="264" w:val="left"/>
        </w:tabs>
        <w:numPr>
          <w:ilvl w:val="0"/>
          <w:numId w:val="5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OR TERMINATION OF PLAN</w:t>
      </w:r>
      <w:r>
        <w:rPr>
          <w:rFonts w:ascii="Arial" w:cs="Arial" w:eastAsia="Arial" w:hAnsi="Arial"/>
          <w:sz w:val="17"/>
          <w:szCs w:val="17"/>
          <w:color w:val="auto"/>
        </w:rPr>
        <w:t>. The Board may at any time terminate or amend this Plan in any respect, including, without</w:t>
      </w:r>
    </w:p>
    <w:p>
      <w:pPr>
        <w:spacing w:after="0" w:line="38" w:lineRule="exact"/>
        <w:rPr>
          <w:rFonts w:ascii="Arial" w:cs="Arial" w:eastAsia="Arial" w:hAnsi="Arial"/>
          <w:sz w:val="17"/>
          <w:szCs w:val="17"/>
          <w:b w:val="1"/>
          <w:bCs w:val="1"/>
          <w:color w:val="auto"/>
        </w:rPr>
      </w:pPr>
    </w:p>
    <w:p>
      <w:pPr>
        <w:jc w:val="both"/>
        <w:ind w:left="4" w:right="100"/>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 xml:space="preserve">limitation, amendment of any form of Award Agreement or instrument to be executed pursuant to this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Board will not, without the approval of the stockholders of the Company, amend this Plan in any manner that requires such stockholder approval;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 Participant’s Award shall be governed by the version of this Plan then in effect at the time such Award was granted.</w:t>
      </w:r>
    </w:p>
    <w:p>
      <w:pPr>
        <w:sectPr>
          <w:pgSz w:w="11900" w:h="16838" w:orient="portrait"/>
          <w:cols w:equalWidth="0" w:num="1">
            <w:col w:w="11004"/>
          </w:cols>
          <w:pgMar w:left="436" w:top="275" w:right="459" w:bottom="1440" w:gutter="0" w:footer="0" w:header="0"/>
        </w:sectPr>
      </w:pPr>
    </w:p>
    <w:bookmarkStart w:id="615" w:name="page616"/>
    <w:bookmarkEnd w:id="615"/>
    <w:p>
      <w:pPr>
        <w:jc w:val="both"/>
        <w:ind w:left="4" w:hanging="4"/>
        <w:spacing w:after="0" w:line="261" w:lineRule="auto"/>
        <w:tabs>
          <w:tab w:leader="none" w:pos="27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NONEXCLUSIVITY OF THE PLAN</w:t>
      </w:r>
      <w:r>
        <w:rPr>
          <w:rFonts w:ascii="Arial" w:cs="Arial" w:eastAsia="Arial" w:hAnsi="Arial"/>
          <w:sz w:val="18"/>
          <w:szCs w:val="18"/>
          <w:color w:val="auto"/>
        </w:rPr>
        <w:t>. Neither the adoption of this Plan by the Board nor any provision of this Plan will be construed as creating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79" w:lineRule="exact"/>
        <w:rPr>
          <w:rFonts w:ascii="Arial" w:cs="Arial" w:eastAsia="Arial" w:hAnsi="Arial"/>
          <w:sz w:val="18"/>
          <w:szCs w:val="18"/>
          <w:b w:val="1"/>
          <w:bCs w:val="1"/>
          <w:color w:val="auto"/>
        </w:rPr>
      </w:pPr>
    </w:p>
    <w:p>
      <w:pPr>
        <w:ind w:left="4" w:right="40" w:hanging="4"/>
        <w:spacing w:after="0" w:line="282" w:lineRule="auto"/>
        <w:tabs>
          <w:tab w:leader="none" w:pos="27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shall comply with any policy adopted by the Company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transactions in the Company’s securities by Employees, officers and/or directors of the Company.</w:t>
      </w:r>
    </w:p>
    <w:p>
      <w:pPr>
        <w:spacing w:after="0" w:line="161" w:lineRule="exact"/>
        <w:rPr>
          <w:rFonts w:ascii="Arial" w:cs="Arial" w:eastAsia="Arial" w:hAnsi="Arial"/>
          <w:sz w:val="18"/>
          <w:szCs w:val="18"/>
          <w:b w:val="1"/>
          <w:bCs w:val="1"/>
          <w:color w:val="auto"/>
        </w:rPr>
      </w:pPr>
    </w:p>
    <w:p>
      <w:pPr>
        <w:ind w:left="4" w:right="60" w:hanging="4"/>
        <w:spacing w:after="0" w:line="258" w:lineRule="auto"/>
        <w:tabs>
          <w:tab w:leader="none" w:pos="27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shall be subject to clawback or</w:t>
      </w:r>
      <w:r>
        <w:rPr>
          <w:rFonts w:ascii="Arial" w:cs="Arial" w:eastAsia="Arial" w:hAnsi="Arial"/>
          <w:sz w:val="18"/>
          <w:szCs w:val="18"/>
          <w:b w:val="1"/>
          <w:bCs w:val="1"/>
          <w:color w:val="auto"/>
        </w:rPr>
        <w:t xml:space="preserve"> </w:t>
      </w:r>
      <w:r>
        <w:rPr>
          <w:rFonts w:ascii="Arial" w:cs="Arial" w:eastAsia="Arial" w:hAnsi="Arial"/>
          <w:sz w:val="18"/>
          <w:szCs w:val="18"/>
          <w:color w:val="auto"/>
        </w:rPr>
        <w:t>recoupment pursuant to any compensation clawback or recoupment policy adopted by the Board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83" w:lineRule="exact"/>
        <w:rPr>
          <w:rFonts w:ascii="Arial" w:cs="Arial" w:eastAsia="Arial" w:hAnsi="Arial"/>
          <w:sz w:val="18"/>
          <w:szCs w:val="18"/>
          <w:b w:val="1"/>
          <w:bCs w:val="1"/>
          <w:color w:val="auto"/>
        </w:rPr>
      </w:pPr>
    </w:p>
    <w:p>
      <w:pPr>
        <w:ind w:left="264" w:hanging="264"/>
        <w:spacing w:after="0"/>
        <w:tabs>
          <w:tab w:leader="none" w:pos="26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17" w:lineRule="exact"/>
        <w:rPr>
          <w:sz w:val="20"/>
          <w:szCs w:val="20"/>
          <w:color w:val="auto"/>
        </w:rPr>
      </w:pPr>
    </w:p>
    <w:p>
      <w:pPr>
        <w:ind w:left="4" w:right="20"/>
        <w:spacing w:after="0" w:line="256"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person or entity that directly or indirectly through one or more intermediaries controls, or is controlled by, or is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the Company, including any general partner, managing member, officer or director of the Company,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or entity, means the possession, directly or indirectly, of the power to direct or cause the direction of the management policies of such person or entity, whether through the ownership of voting securities or by contract or otherwise.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or Restricted Stock Unit.</w:t>
      </w:r>
    </w:p>
    <w:p>
      <w:pPr>
        <w:spacing w:after="0" w:line="225" w:lineRule="exact"/>
        <w:rPr>
          <w:sz w:val="20"/>
          <w:szCs w:val="20"/>
          <w:color w:val="auto"/>
        </w:rPr>
      </w:pPr>
    </w:p>
    <w:p>
      <w:pPr>
        <w:ind w:left="4" w:right="120"/>
        <w:spacing w:after="0" w:line="303" w:lineRule="auto"/>
        <w:rPr>
          <w:sz w:val="20"/>
          <w:szCs w:val="20"/>
          <w:color w:val="auto"/>
        </w:rPr>
      </w:pPr>
      <w:r>
        <w:rPr>
          <w:rFonts w:ascii="Arial" w:cs="Arial" w:eastAsia="Arial" w:hAnsi="Arial"/>
          <w:sz w:val="16"/>
          <w:szCs w:val="16"/>
          <w:b w:val="1"/>
          <w:bCs w:val="1"/>
          <w:color w:val="auto"/>
        </w:rPr>
        <w:t xml:space="preserve">21.3. </w:t>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written or electronic agreement between the Company and the Participant setting</w:t>
      </w:r>
      <w:r>
        <w:rPr>
          <w:rFonts w:ascii="Arial" w:cs="Arial" w:eastAsia="Arial" w:hAnsi="Arial"/>
          <w:sz w:val="16"/>
          <w:szCs w:val="16"/>
          <w:b w:val="1"/>
          <w:bCs w:val="1"/>
          <w:color w:val="auto"/>
        </w:rPr>
        <w:t xml:space="preserve"> </w:t>
      </w:r>
      <w:r>
        <w:rPr>
          <w:rFonts w:ascii="Arial" w:cs="Arial" w:eastAsia="Arial" w:hAnsi="Arial"/>
          <w:sz w:val="16"/>
          <w:szCs w:val="16"/>
          <w:color w:val="auto"/>
        </w:rPr>
        <w:t>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51" w:lineRule="exact"/>
        <w:rPr>
          <w:sz w:val="20"/>
          <w:szCs w:val="20"/>
          <w:color w:val="auto"/>
        </w:rPr>
      </w:pPr>
    </w:p>
    <w:p>
      <w:pPr>
        <w:ind w:left="4" w:right="420"/>
        <w:spacing w:after="0" w:line="282"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 Transfer Program</w:t>
      </w:r>
      <w:r>
        <w:rPr>
          <w:rFonts w:ascii="Arial" w:cs="Arial" w:eastAsia="Arial" w:hAnsi="Arial"/>
          <w:sz w:val="18"/>
          <w:szCs w:val="18"/>
          <w:color w:val="auto"/>
        </w:rPr>
        <w:t>” means any program instituted by the Committee which would permit Participants the opportunity to transfer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Awards to a financial institution or other person or entity approved by the Committee.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 w:right="100"/>
        <w:spacing w:after="0" w:line="258"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(i) an unauthorized use or disclosure by Participant of the Company’s confidential information or trade secrets, which use or</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causes material harm to the Company or is reasonably likely to cause material harm to the Company, (ii) a material breach of any agreement between Participant and the Company, (iii) a material failure to comply with the Company’s written policies or rules that has caused or is reasonably likely to cause material injury to the Company, its successor, or its affiliates, or any of their business, (iv) conviction of, or plea of “guilty” or “no contest” to, a felony under</w:t>
      </w:r>
    </w:p>
    <w:p>
      <w:pPr>
        <w:sectPr>
          <w:pgSz w:w="11900" w:h="16838" w:orient="portrait"/>
          <w:cols w:equalWidth="0" w:num="1">
            <w:col w:w="10984"/>
          </w:cols>
          <w:pgMar w:left="436" w:top="270" w:right="479" w:bottom="1440" w:gutter="0" w:footer="0" w:header="0"/>
        </w:sectPr>
      </w:pPr>
    </w:p>
    <w:bookmarkStart w:id="616" w:name="page617"/>
    <w:bookmarkEnd w:id="616"/>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laws of the United States or any state thereof, (v) willful misconduct that has caused or is reasonably likely to cause material injury to the Company, its successor, or its affiliates, or any of their business, (vi) embezzlement, (vii) failure to cooperate with the Company in any investigation or formal proceeding if the Company has requested Participant’s reasonable cooperation, (viii) violation of any applicable federal, state or foreign statutes or laws that govern or regulate employment, pharmaceutical drugs or securities, including but not limited to the laws enforced by the federal Equal Employment Opportunity Commission, Department of Labor, Food and Drug Administration, Securities and Exchange Commission and Department of Justice or</w:t>
      </w:r>
    </w:p>
    <w:p>
      <w:pPr>
        <w:spacing w:after="0" w:line="2" w:lineRule="exact"/>
        <w:rPr>
          <w:sz w:val="20"/>
          <w:szCs w:val="20"/>
          <w:color w:val="auto"/>
        </w:rPr>
      </w:pPr>
    </w:p>
    <w:p>
      <w:pPr>
        <w:ind w:left="4" w:right="20" w:hanging="4"/>
        <w:spacing w:after="0" w:line="268" w:lineRule="auto"/>
        <w:tabs>
          <w:tab w:leader="none" w:pos="309" w:val="left"/>
        </w:tabs>
        <w:numPr>
          <w:ilvl w:val="0"/>
          <w:numId w:val="582"/>
        </w:numPr>
        <w:rPr>
          <w:rFonts w:ascii="Arial" w:cs="Arial" w:eastAsia="Arial" w:hAnsi="Arial"/>
          <w:sz w:val="17"/>
          <w:szCs w:val="17"/>
          <w:color w:val="auto"/>
        </w:rPr>
      </w:pPr>
      <w:r>
        <w:rPr>
          <w:rFonts w:ascii="Arial" w:cs="Arial" w:eastAsia="Arial" w:hAnsi="Arial"/>
          <w:sz w:val="17"/>
          <w:szCs w:val="17"/>
          <w:color w:val="auto"/>
        </w:rPr>
        <w:t xml:space="preserve">a continued failure to perform assigned duties after receiving written notification of such failure from the Company’s Chief Executive Officer;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Participant must be provided with written notice of Participant’s termination for “Cause” and Participant must be provided with a thirty</w:t>
      </w:r>
      <w:r>
        <w:rPr>
          <w:rFonts w:ascii="Arial" w:cs="Arial" w:eastAsia="Arial" w:hAnsi="Arial"/>
          <w:sz w:val="17"/>
          <w:szCs w:val="17"/>
          <w:i w:val="1"/>
          <w:iCs w:val="1"/>
          <w:color w:val="auto"/>
        </w:rPr>
        <w:t xml:space="preserve"> </w:t>
      </w:r>
      <w:r>
        <w:rPr>
          <w:rFonts w:ascii="Arial" w:cs="Arial" w:eastAsia="Arial" w:hAnsi="Arial"/>
          <w:sz w:val="17"/>
          <w:szCs w:val="17"/>
          <w:color w:val="auto"/>
        </w:rPr>
        <w:t>(30) day period following Participant’s receipt of such notice to cure the event(s) that trigger “Cause,” with the Company’s Chief Executive Officer making the final determination whether Participant has cured any Cause.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service at any time as provided in Section 14 above, and the term “Company” will be interpreted to include any Parent, Subsidiary or Affiliate, as appropriate. Notwithstanding the foregoing, the foregoing definition of “Cause” may, in part or in whole, be modified or replaced in each individual employment agreement or Award Agreement with any Participant, provided that such document supersedes the definition provided in this Section 21.6.</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in such capacity.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21.10.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Aeglea BioTherapeutics, Inc., or any successor corporation.</w:t>
      </w:r>
    </w:p>
    <w:p>
      <w:pPr>
        <w:spacing w:after="0" w:line="225" w:lineRule="exact"/>
        <w:rPr>
          <w:sz w:val="20"/>
          <w:szCs w:val="20"/>
          <w:color w:val="auto"/>
        </w:rPr>
      </w:pPr>
    </w:p>
    <w:p>
      <w:pPr>
        <w:ind w:left="4"/>
        <w:spacing w:after="0" w:line="286" w:lineRule="auto"/>
        <w:rPr>
          <w:sz w:val="20"/>
          <w:szCs w:val="20"/>
          <w:color w:val="auto"/>
        </w:rPr>
      </w:pPr>
      <w:r>
        <w:rPr>
          <w:rFonts w:ascii="Arial" w:cs="Arial" w:eastAsia="Arial" w:hAnsi="Arial"/>
          <w:sz w:val="16"/>
          <w:szCs w:val="16"/>
          <w:b w:val="1"/>
          <w:bCs w:val="1"/>
          <w:color w:val="auto"/>
        </w:rPr>
        <w:t xml:space="preserve">21.11. </w:t>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 (a) any “Person” (as such term is used in Sections 13(d) and 14(d)</w:t>
      </w:r>
      <w:r>
        <w:rPr>
          <w:rFonts w:ascii="Arial" w:cs="Arial" w:eastAsia="Arial" w:hAnsi="Arial"/>
          <w:sz w:val="16"/>
          <w:szCs w:val="16"/>
          <w:b w:val="1"/>
          <w:bCs w:val="1"/>
          <w:color w:val="auto"/>
        </w:rPr>
        <w:t xml:space="preserve"> </w:t>
      </w:r>
      <w:r>
        <w:rPr>
          <w:rFonts w:ascii="Arial" w:cs="Arial" w:eastAsia="Arial" w:hAnsi="Arial"/>
          <w:sz w:val="16"/>
          <w:szCs w:val="16"/>
          <w:color w:val="auto"/>
        </w:rPr>
        <w:t>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w:t>
      </w:r>
    </w:p>
    <w:p>
      <w:pPr>
        <w:sectPr>
          <w:pgSz w:w="11900" w:h="16838" w:orient="portrait"/>
          <w:cols w:equalWidth="0" w:num="1">
            <w:col w:w="11004"/>
          </w:cols>
          <w:pgMar w:left="436" w:top="275" w:right="459" w:bottom="1440" w:gutter="0" w:footer="0" w:header="0"/>
        </w:sectPr>
      </w:pPr>
    </w:p>
    <w:bookmarkStart w:id="617" w:name="page618"/>
    <w:bookmarkEnd w:id="617"/>
    <w:p>
      <w:pPr>
        <w:ind w:left="4"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21.12. </w:t>
      </w: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4" w:right="40"/>
        <w:spacing w:after="0" w:line="347" w:lineRule="auto"/>
        <w:rPr>
          <w:sz w:val="20"/>
          <w:szCs w:val="20"/>
          <w:color w:val="auto"/>
        </w:rPr>
      </w:pPr>
      <w:r>
        <w:rPr>
          <w:rFonts w:ascii="Arial" w:cs="Arial" w:eastAsia="Arial" w:hAnsi="Arial"/>
          <w:sz w:val="16"/>
          <w:szCs w:val="16"/>
          <w:b w:val="1"/>
          <w:bCs w:val="1"/>
          <w:color w:val="auto"/>
        </w:rPr>
        <w:t xml:space="preserve">21.13. </w:t>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that the Participant is unable to engage in any substantial gainful activity by reason of any medically determinable physical or</w:t>
      </w:r>
      <w:r>
        <w:rPr>
          <w:rFonts w:ascii="Arial" w:cs="Arial" w:eastAsia="Arial" w:hAnsi="Arial"/>
          <w:sz w:val="16"/>
          <w:szCs w:val="16"/>
          <w:b w:val="1"/>
          <w:bCs w:val="1"/>
          <w:color w:val="auto"/>
        </w:rPr>
        <w:t xml:space="preserve"> </w:t>
      </w:r>
      <w:r>
        <w:rPr>
          <w:rFonts w:ascii="Arial" w:cs="Arial" w:eastAsia="Arial" w:hAnsi="Arial"/>
          <w:sz w:val="16"/>
          <w:szCs w:val="16"/>
          <w:color w:val="auto"/>
        </w:rPr>
        <w:t>mental impairment that can be expected to result in death or can be expected to last for a continuous period of not less than 12 months.</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21.14.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February 20, 2018.</w:t>
      </w:r>
    </w:p>
    <w:p>
      <w:pPr>
        <w:spacing w:after="0" w:line="225"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21.15.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employed by the Company or any Parent, Subsidiary or Affiliate. Neither service as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nor payment of a director’s fee by the Company will be sufficient to constitute “employment” by the Company.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21.16. </w:t>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21.17. </w:t>
      </w:r>
      <w:r>
        <w:rPr>
          <w:rFonts w:ascii="Arial" w:cs="Arial" w:eastAsia="Arial" w:hAnsi="Arial"/>
          <w:sz w:val="16"/>
          <w:szCs w:val="16"/>
          <w:color w:val="auto"/>
        </w:rPr>
        <w:t>“</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means, with respect to an Option, the price at which a holder may purchase the Shares issuable upon exercise of an Option.</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21.18. </w:t>
      </w: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12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 xml:space="preserve">(a)if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Journal or such other source as the Committee deems reliable;</w:t>
      </w:r>
    </w:p>
    <w:p>
      <w:pPr>
        <w:spacing w:after="0" w:line="184" w:lineRule="exact"/>
        <w:rPr>
          <w:sz w:val="20"/>
          <w:szCs w:val="20"/>
          <w:color w:val="auto"/>
        </w:rPr>
      </w:pPr>
    </w:p>
    <w:p>
      <w:pPr>
        <w:ind w:left="4" w:right="100"/>
        <w:spacing w:after="0" w:line="342" w:lineRule="auto"/>
        <w:rPr>
          <w:sz w:val="20"/>
          <w:szCs w:val="20"/>
          <w:color w:val="auto"/>
        </w:rPr>
      </w:pPr>
      <w:r>
        <w:rPr>
          <w:rFonts w:ascii="Arial" w:cs="Arial" w:eastAsia="Arial" w:hAnsi="Arial"/>
          <w:sz w:val="16"/>
          <w:szCs w:val="16"/>
          <w:color w:val="auto"/>
        </w:rPr>
        <w:t xml:space="preserve">(b)if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(c)if none of the foregoing is applicable, by the Board or the Committee in good faith.</w:t>
      </w:r>
    </w:p>
    <w:p>
      <w:pPr>
        <w:spacing w:after="0" w:line="221"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b w:val="1"/>
          <w:bCs w:val="1"/>
          <w:color w:val="auto"/>
        </w:rPr>
        <w:t xml:space="preserve">21.19. </w:t>
      </w: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Participant’s consent, (i) a material reduction in the Participant’s level of responsibility and/or scope of</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(ii) a reduction by more than 10% in Participant’s base salary (other than a reduction generally applicable to Participant officers of the Company and in generally the same proportion as for the Participant), or (iii) relocation of the Participant’s principal workplace by more than thirty-five</w:t>
      </w:r>
    </w:p>
    <w:p>
      <w:pPr>
        <w:spacing w:after="0" w:line="2" w:lineRule="exact"/>
        <w:rPr>
          <w:sz w:val="20"/>
          <w:szCs w:val="20"/>
          <w:color w:val="auto"/>
        </w:rPr>
      </w:pPr>
    </w:p>
    <w:p>
      <w:pPr>
        <w:ind w:left="344" w:hanging="344"/>
        <w:spacing w:after="0"/>
        <w:tabs>
          <w:tab w:leader="none" w:pos="344" w:val="left"/>
        </w:tabs>
        <w:numPr>
          <w:ilvl w:val="0"/>
          <w:numId w:val="583"/>
        </w:numPr>
        <w:rPr>
          <w:rFonts w:ascii="Arial" w:cs="Arial" w:eastAsia="Arial" w:hAnsi="Arial"/>
          <w:sz w:val="16"/>
          <w:szCs w:val="16"/>
          <w:color w:val="auto"/>
        </w:rPr>
      </w:pPr>
      <w:r>
        <w:rPr>
          <w:rFonts w:ascii="Arial" w:cs="Arial" w:eastAsia="Arial" w:hAnsi="Arial"/>
          <w:sz w:val="16"/>
          <w:szCs w:val="16"/>
          <w:color w:val="auto"/>
        </w:rPr>
        <w:t>miles from Participant’s then current place of employment. For the purpose of clause (i), a change in responsibility shall not be deemed to occur</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 solely because Participant is part of a larger organization or (B) solely because of a change in title. For the</w:t>
      </w:r>
    </w:p>
    <w:p>
      <w:pPr>
        <w:sectPr>
          <w:pgSz w:w="11900" w:h="16838" w:orient="portrait"/>
          <w:cols w:equalWidth="0" w:num="1">
            <w:col w:w="11004"/>
          </w:cols>
          <w:pgMar w:left="436" w:top="274" w:right="459" w:bottom="1440" w:gutter="0" w:footer="0" w:header="0"/>
        </w:sectPr>
      </w:pPr>
    </w:p>
    <w:bookmarkStart w:id="618" w:name="page619"/>
    <w:bookmarkEnd w:id="61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 to receive the benefits under this Agreement as a result of a voluntary resignation under this subsection (e), all of the following requirements must be satisfied: (1) the Participant must provide notice to the Company of his or her intent to assert Good Reason within sixty (60) days of the initial existence of one or more of the conditions set forth in subclauses (i) through (iii); (2) the Company will have thirty (30) days (the “</w:t>
      </w:r>
      <w:r>
        <w:rPr>
          <w:rFonts w:ascii="Arial" w:cs="Arial" w:eastAsia="Arial" w:hAnsi="Arial"/>
          <w:sz w:val="16"/>
          <w:szCs w:val="16"/>
          <w:b w:val="1"/>
          <w:bCs w:val="1"/>
          <w:i w:val="1"/>
          <w:iCs w:val="1"/>
          <w:color w:val="auto"/>
        </w:rPr>
        <w:t>Company Cure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from the date of such notice to remedy the condition and, if it does so, the Participant may withdraw his or her resignation or may resign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benefits;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within twelve months following the occurrence of a Change in Control, the Participant may assert Good Reason again subject to all of the conditions set forth herein.</w:t>
      </w:r>
    </w:p>
    <w:p>
      <w:pPr>
        <w:spacing w:after="0" w:line="16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21.20.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 of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21.21. </w:t>
      </w:r>
      <w:r>
        <w:rPr>
          <w:rFonts w:ascii="Arial" w:cs="Arial" w:eastAsia="Arial" w:hAnsi="Arial"/>
          <w:sz w:val="17"/>
          <w:szCs w:val="17"/>
          <w:color w:val="auto"/>
        </w:rPr>
        <w:t>“</w:t>
      </w:r>
      <w:r>
        <w:rPr>
          <w:rFonts w:ascii="Arial" w:cs="Arial" w:eastAsia="Arial" w:hAnsi="Arial"/>
          <w:sz w:val="17"/>
          <w:szCs w:val="17"/>
          <w:b w:val="1"/>
          <w:bCs w:val="1"/>
          <w:i w:val="1"/>
          <w:iCs w:val="1"/>
          <w:color w:val="auto"/>
        </w:rPr>
        <w:t>Involuntary Termination</w:t>
      </w:r>
      <w:r>
        <w:rPr>
          <w:rFonts w:ascii="Arial" w:cs="Arial" w:eastAsia="Arial" w:hAnsi="Arial"/>
          <w:sz w:val="17"/>
          <w:szCs w:val="17"/>
          <w:color w:val="auto"/>
        </w:rPr>
        <w:t>” means either (a) termination of Service without Cause or (b) resignation from Service for Good Reason.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21.22. </w:t>
      </w: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21.23. </w:t>
      </w: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of the Company who is not an Employee of the Company or any Parent, Subsidiary or Affiliate,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who qualifies as “independent” within the meaning of Nasdaq Stock Market Rule 5605(a)(2), or any successor rule, if the Company’s securities are traded on the Nasdaq Stock Market, or if the requirements of any other established stock exchange on which the Company’s securities are traded, as such rules or requirements may be amended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21.24. </w:t>
      </w: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w:t>
      </w:r>
    </w:p>
    <w:p>
      <w:pPr>
        <w:spacing w:after="0" w:line="22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21.25.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Company owns stock possessing fifty percent (50%) or more of the total combined voting power of all classes of stock in one of the other corporations in such chain.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holds an Award under this Plan.</w:t>
      </w:r>
    </w:p>
    <w:p>
      <w:pPr>
        <w:spacing w:after="0" w:line="225"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21.27.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Factors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factors selected by the Committee and specified in an Award Agreement to determine whether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established by the Committee applicable to any Awards have been satisfied.</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21.28.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w:t>
      </w:r>
      <w:r>
        <w:rPr>
          <w:rFonts w:ascii="Arial" w:cs="Arial" w:eastAsia="Arial" w:hAnsi="Arial"/>
          <w:sz w:val="18"/>
          <w:szCs w:val="18"/>
          <w:b w:val="1"/>
          <w:bCs w:val="1"/>
          <w:color w:val="auto"/>
        </w:rPr>
        <w:t xml:space="preserve"> </w:t>
      </w:r>
      <w:r>
        <w:rPr>
          <w:rFonts w:ascii="Arial" w:cs="Arial" w:eastAsia="Arial" w:hAnsi="Arial"/>
          <w:sz w:val="18"/>
          <w:szCs w:val="18"/>
          <w:color w:val="auto"/>
        </w:rPr>
        <w:t>over which the attainment of one or more Performance Factors will be measured for the purpose of determining a Participant’s right to, and the payment of, a Performance Award.</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21.29.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 nephew,</w:t>
      </w:r>
      <w:r>
        <w:rPr>
          <w:rFonts w:ascii="Arial" w:cs="Arial" w:eastAsia="Arial" w:hAnsi="Arial"/>
          <w:sz w:val="18"/>
          <w:szCs w:val="18"/>
          <w:b w:val="1"/>
          <w:bCs w:val="1"/>
          <w:color w:val="auto"/>
        </w:rPr>
        <w:t xml:space="preserve"> </w:t>
      </w:r>
      <w:r>
        <w:rPr>
          <w:rFonts w:ascii="Arial" w:cs="Arial" w:eastAsia="Arial" w:hAnsi="Arial"/>
          <w:sz w:val="18"/>
          <w:szCs w:val="18"/>
          <w:color w:val="auto"/>
        </w:rPr>
        <w:t>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ectPr>
          <w:pgSz w:w="11900" w:h="16838" w:orient="portrait"/>
          <w:cols w:equalWidth="0" w:num="1">
            <w:col w:w="10980"/>
          </w:cols>
          <w:pgMar w:left="440" w:top="275" w:right="479" w:bottom="1440" w:gutter="0" w:footer="0" w:header="0"/>
        </w:sectPr>
      </w:pPr>
    </w:p>
    <w:bookmarkStart w:id="619" w:name="page620"/>
    <w:bookmarkEnd w:id="6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21.30. </w:t>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Aeglea BioTherapeutics, Inc. 2018 Equity Inducement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21.31.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6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21.32. </w:t>
      </w: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21.33. </w:t>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21.34. </w:t>
      </w: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shall mean service as an Employee, Director or consultant to the Company or a Parent or Subsidiary, subject to such further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may be set forth in the Plan or the applicable Award Agreement. An employee will not be deemed to have ceased to provide Service in the case of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or Subsidiary or during such change in working hours as it may deem appropriate, except that in no event may an Award be exercised after the expiration of the term set forth in the applicable Award Agreement. In the absence of such a determination, vesting of Awards shall be tolled during any unpaid leave of absence (unless otherwise required by applicable law). In the event of military leave, if required by applicable laws, vesting shall continue for the longest period that vesting continues under any other statutory or Company approved leave of absence and, upon a Participant’s returning from military leave (under conditions that would entitle him or her to protection upon such return under the Uniform Services Employment and Reemployment Rights Act), he or she shall be given vesting credit with respect to Awards to the same extent as would have applied had the Participant continued to provide Service throughout the leave on the same terms as he or she was providing Service immediately prior to such leave. Service shall not be considered interrupted or terminated in the case of a transfer between locations of the Company or between the Company, its Parent, Subsidiaries or Affiliates, or their respective successors, or a change in status from an employee to a consultant or from a consultant to an employee. The Committee will have sole discretion to determine whether a Participant has ceased to provide Service and the effective date on which the Participant ceased to provide Service.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21.35. </w:t>
      </w: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 and the common stock of any successor entity.</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21.36.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last corporation in the unbroken chain owns stock possessing fifty percent (50%) or more of the total combined voting power of all classes of stock in one of the other corporations in such chain.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21.37. </w:t>
      </w: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regulations promulgated by the United States Treasury Department.</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21.38.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ectPr>
          <w:pgSz w:w="11900" w:h="16838" w:orient="portrait"/>
          <w:cols w:equalWidth="0" w:num="1">
            <w:col w:w="11000"/>
          </w:cols>
          <w:pgMar w:left="440" w:top="270" w:right="459" w:bottom="1440" w:gutter="0" w:footer="0" w:header="0"/>
        </w:sectPr>
      </w:pPr>
    </w:p>
    <w:bookmarkStart w:id="620" w:name="page621"/>
    <w:bookmarkEnd w:id="620"/>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FIRST AMENDMENT TO THE</w:t>
      </w:r>
    </w:p>
    <w:p>
      <w:pPr>
        <w:spacing w:after="0" w:line="27" w:lineRule="exact"/>
        <w:rPr>
          <w:sz w:val="20"/>
          <w:szCs w:val="20"/>
          <w:color w:val="auto"/>
        </w:rPr>
      </w:pPr>
    </w:p>
    <w:p>
      <w:pPr>
        <w:ind w:left="4004"/>
        <w:spacing w:after="0"/>
        <w:rPr>
          <w:sz w:val="20"/>
          <w:szCs w:val="20"/>
          <w:color w:val="auto"/>
        </w:rPr>
      </w:pPr>
      <w:r>
        <w:rPr>
          <w:rFonts w:ascii="Arial" w:cs="Arial" w:eastAsia="Arial" w:hAnsi="Arial"/>
          <w:sz w:val="18"/>
          <w:szCs w:val="18"/>
          <w:b w:val="1"/>
          <w:bCs w:val="1"/>
          <w:color w:val="auto"/>
        </w:rPr>
        <w:t>AEGLEA BIOTHERAPEUTICS, INC.</w:t>
      </w:r>
    </w:p>
    <w:p>
      <w:pPr>
        <w:spacing w:after="0" w:line="9" w:lineRule="exact"/>
        <w:rPr>
          <w:sz w:val="20"/>
          <w:szCs w:val="20"/>
          <w:color w:val="auto"/>
        </w:rPr>
      </w:pPr>
    </w:p>
    <w:p>
      <w:pPr>
        <w:ind w:left="4044"/>
        <w:spacing w:after="0"/>
        <w:rPr>
          <w:sz w:val="20"/>
          <w:szCs w:val="20"/>
          <w:color w:val="auto"/>
        </w:rPr>
      </w:pPr>
      <w:r>
        <w:rPr>
          <w:rFonts w:ascii="Arial" w:cs="Arial" w:eastAsia="Arial" w:hAnsi="Arial"/>
          <w:sz w:val="18"/>
          <w:szCs w:val="18"/>
          <w:b w:val="1"/>
          <w:bCs w:val="1"/>
          <w:color w:val="auto"/>
        </w:rPr>
        <w:t>2018 EQUITY INDUCEMENT PLAN</w:t>
      </w:r>
    </w:p>
    <w:p>
      <w:pPr>
        <w:spacing w:after="0" w:line="207" w:lineRule="exact"/>
        <w:rPr>
          <w:sz w:val="20"/>
          <w:szCs w:val="20"/>
          <w:color w:val="auto"/>
        </w:rPr>
      </w:pPr>
    </w:p>
    <w:p>
      <w:pPr>
        <w:ind w:left="4" w:right="4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Aeglea Biotherapeutics,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maintains the Aeglea Biotherapeutics, Inc. 2018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Inducement Plan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62" w:lineRule="exact"/>
        <w:rPr>
          <w:sz w:val="20"/>
          <w:szCs w:val="20"/>
          <w:color w:val="auto"/>
        </w:rPr>
      </w:pPr>
    </w:p>
    <w:p>
      <w:pPr>
        <w:ind w:left="4" w:right="38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17 of the Plan,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may amend the Plan at any time and for any purpose as</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law, including to increase the maximum number of Shares for which awards may be granted under the Plan.</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pursuant to its authority under Section 17 of the Plan, the Board hereby amends the Plan as follows, effective as of</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22, 2023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16" w:lineRule="exact"/>
        <w:rPr>
          <w:sz w:val="20"/>
          <w:szCs w:val="20"/>
          <w:color w:val="auto"/>
        </w:rPr>
      </w:pPr>
    </w:p>
    <w:p>
      <w:pPr>
        <w:ind w:left="424" w:hanging="424"/>
        <w:spacing w:after="0"/>
        <w:tabs>
          <w:tab w:leader="none" w:pos="424" w:val="left"/>
        </w:tabs>
        <w:numPr>
          <w:ilvl w:val="0"/>
          <w:numId w:val="584"/>
        </w:numPr>
        <w:rPr>
          <w:rFonts w:ascii="Arial" w:cs="Arial" w:eastAsia="Arial" w:hAnsi="Arial"/>
          <w:sz w:val="18"/>
          <w:szCs w:val="18"/>
          <w:color w:val="auto"/>
        </w:rPr>
      </w:pPr>
      <w:r>
        <w:rPr>
          <w:rFonts w:ascii="Arial" w:cs="Arial" w:eastAsia="Arial" w:hAnsi="Arial"/>
          <w:sz w:val="18"/>
          <w:szCs w:val="18"/>
          <w:color w:val="auto"/>
        </w:rPr>
        <w:t>Section 2.1 of the Plan is hereby amended and restated in its entirety to read as follows:</w:t>
      </w:r>
    </w:p>
    <w:p>
      <w:pPr>
        <w:spacing w:after="0" w:line="113" w:lineRule="exact"/>
        <w:rPr>
          <w:sz w:val="20"/>
          <w:szCs w:val="20"/>
          <w:color w:val="auto"/>
        </w:rPr>
      </w:pPr>
    </w:p>
    <w:p>
      <w:pPr>
        <w:ind w:left="444" w:right="28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Number of Shares Available</w:t>
      </w:r>
      <w:r>
        <w:rPr>
          <w:rFonts w:ascii="Arial" w:cs="Arial" w:eastAsia="Arial" w:hAnsi="Arial"/>
          <w:sz w:val="18"/>
          <w:szCs w:val="18"/>
          <w:color w:val="auto"/>
        </w:rPr>
        <w:t>. Subject to Sections 2.4 and 15 and any other applicable provisions hereof, the total number of Shares reserved and available for grant and issuance pursuant to this Plan is 71,100,000.”</w:t>
      </w:r>
    </w:p>
    <w:p>
      <w:pPr>
        <w:spacing w:after="0" w:line="71" w:lineRule="exact"/>
        <w:rPr>
          <w:sz w:val="20"/>
          <w:szCs w:val="20"/>
          <w:color w:val="auto"/>
        </w:rPr>
      </w:pPr>
    </w:p>
    <w:p>
      <w:pPr>
        <w:ind w:left="424" w:right="420" w:hanging="424"/>
        <w:spacing w:after="0" w:line="277" w:lineRule="auto"/>
        <w:tabs>
          <w:tab w:leader="none" w:pos="42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This First Amendment shall be governed by and construed in accordance with the laws of the State of Delaware (excluding its conflict of law rules).</w:t>
      </w:r>
    </w:p>
    <w:p>
      <w:pPr>
        <w:spacing w:after="0" w:line="75"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All capitalized terms used but not otherwise defined herein shall have the meaning assigned to them in the Plan. Except as expressly amended hereby, the Plan shall remain in full force and effect in accordance with its terms.</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4"/>
          </w:cols>
          <w:pgMar w:left="436" w:top="122" w:right="439" w:bottom="1440" w:gutter="0" w:footer="0" w:header="0"/>
        </w:sectPr>
      </w:pPr>
    </w:p>
    <w:bookmarkStart w:id="621" w:name="page622"/>
    <w:bookmarkEnd w:id="62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undersigned has executed this First Amendment to the Aeglea Biotherapeutics, Inc. 2018 Equity Inducement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 effective as of the Amendment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Jonathan Alspaugh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Alspaugh</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Financial Officer</w:t>
      </w:r>
    </w:p>
    <w:p>
      <w:pPr>
        <w:sectPr>
          <w:pgSz w:w="11900" w:h="16838" w:orient="portrait"/>
          <w:cols w:equalWidth="0" w:num="1">
            <w:col w:w="10680"/>
          </w:cols>
          <w:pgMar w:left="440" w:top="270" w:right="779" w:bottom="1440" w:gutter="0" w:footer="0" w:header="0"/>
        </w:sectPr>
      </w:pPr>
    </w:p>
    <w:bookmarkStart w:id="622" w:name="page623"/>
    <w:bookmarkEnd w:id="622"/>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THIRD AMENDMENT TO THE</w:t>
      </w:r>
    </w:p>
    <w:p>
      <w:pPr>
        <w:spacing w:after="0" w:line="27" w:lineRule="exact"/>
        <w:rPr>
          <w:sz w:val="20"/>
          <w:szCs w:val="20"/>
          <w:color w:val="auto"/>
        </w:rPr>
      </w:pPr>
    </w:p>
    <w:p>
      <w:pPr>
        <w:ind w:left="4004"/>
        <w:spacing w:after="0"/>
        <w:rPr>
          <w:sz w:val="20"/>
          <w:szCs w:val="20"/>
          <w:color w:val="auto"/>
        </w:rPr>
      </w:pPr>
      <w:r>
        <w:rPr>
          <w:rFonts w:ascii="Arial" w:cs="Arial" w:eastAsia="Arial" w:hAnsi="Arial"/>
          <w:sz w:val="18"/>
          <w:szCs w:val="18"/>
          <w:b w:val="1"/>
          <w:bCs w:val="1"/>
          <w:color w:val="auto"/>
        </w:rPr>
        <w:t>AEGLEA BIOTHERAPEUTICS, INC.</w:t>
      </w:r>
    </w:p>
    <w:p>
      <w:pPr>
        <w:spacing w:after="0" w:line="9" w:lineRule="exact"/>
        <w:rPr>
          <w:sz w:val="20"/>
          <w:szCs w:val="20"/>
          <w:color w:val="auto"/>
        </w:rPr>
      </w:pPr>
    </w:p>
    <w:p>
      <w:pPr>
        <w:ind w:left="4044"/>
        <w:spacing w:after="0"/>
        <w:rPr>
          <w:sz w:val="20"/>
          <w:szCs w:val="20"/>
          <w:color w:val="auto"/>
        </w:rPr>
      </w:pPr>
      <w:r>
        <w:rPr>
          <w:rFonts w:ascii="Arial" w:cs="Arial" w:eastAsia="Arial" w:hAnsi="Arial"/>
          <w:sz w:val="18"/>
          <w:szCs w:val="18"/>
          <w:b w:val="1"/>
          <w:bCs w:val="1"/>
          <w:color w:val="auto"/>
        </w:rPr>
        <w:t>2018 EQUITY INDUCEMENT PLAN</w:t>
      </w:r>
    </w:p>
    <w:p>
      <w:pPr>
        <w:spacing w:after="0" w:line="207"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Aeglea BioTherapeutics,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maintains the Aeglea BioTherapeutics, Inc. 2018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Inducement Plan, as amended on June 22, 2023 and August 30, 2023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62" w:lineRule="exact"/>
        <w:rPr>
          <w:sz w:val="20"/>
          <w:szCs w:val="20"/>
          <w:color w:val="auto"/>
        </w:rPr>
      </w:pPr>
    </w:p>
    <w:p>
      <w:pPr>
        <w:ind w:left="4" w:right="38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17 of the Plan,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may amend the Plan at any time and for any purpose as</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law, including to increase the maximum number of Shares for which awards may be granted under the Plan.</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pursuant to its authority under Section 17 of the Plan, the Board hereby amends the Plan as follows, effective as of</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30, 2023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16" w:lineRule="exact"/>
        <w:rPr>
          <w:sz w:val="20"/>
          <w:szCs w:val="20"/>
          <w:color w:val="auto"/>
        </w:rPr>
      </w:pPr>
    </w:p>
    <w:p>
      <w:pPr>
        <w:ind w:left="424" w:hanging="424"/>
        <w:spacing w:after="0"/>
        <w:tabs>
          <w:tab w:leader="none" w:pos="424" w:val="left"/>
        </w:tabs>
        <w:numPr>
          <w:ilvl w:val="0"/>
          <w:numId w:val="586"/>
        </w:numPr>
        <w:rPr>
          <w:rFonts w:ascii="Arial" w:cs="Arial" w:eastAsia="Arial" w:hAnsi="Arial"/>
          <w:sz w:val="18"/>
          <w:szCs w:val="18"/>
          <w:color w:val="auto"/>
        </w:rPr>
      </w:pPr>
      <w:r>
        <w:rPr>
          <w:rFonts w:ascii="Arial" w:cs="Arial" w:eastAsia="Arial" w:hAnsi="Arial"/>
          <w:sz w:val="18"/>
          <w:szCs w:val="18"/>
          <w:color w:val="auto"/>
        </w:rPr>
        <w:t>Section 2.1 of the Plan is hereby amended and restated in its entirety to read as follows:</w:t>
      </w:r>
    </w:p>
    <w:p>
      <w:pPr>
        <w:spacing w:after="0" w:line="113" w:lineRule="exact"/>
        <w:rPr>
          <w:sz w:val="20"/>
          <w:szCs w:val="20"/>
          <w:color w:val="auto"/>
        </w:rPr>
      </w:pPr>
    </w:p>
    <w:p>
      <w:pPr>
        <w:ind w:left="444" w:right="28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Number of Shares Available</w:t>
      </w:r>
      <w:r>
        <w:rPr>
          <w:rFonts w:ascii="Arial" w:cs="Arial" w:eastAsia="Arial" w:hAnsi="Arial"/>
          <w:sz w:val="18"/>
          <w:szCs w:val="18"/>
          <w:color w:val="auto"/>
        </w:rPr>
        <w:t>. Subject to Sections 2.4 and 15 and any other applicable provisions hereof, the total number of Shares reserved and available for grant and issuance pursuant to this Plan is 6,044,000.”</w:t>
      </w:r>
    </w:p>
    <w:p>
      <w:pPr>
        <w:spacing w:after="0" w:line="71" w:lineRule="exact"/>
        <w:rPr>
          <w:sz w:val="20"/>
          <w:szCs w:val="20"/>
          <w:color w:val="auto"/>
        </w:rPr>
      </w:pPr>
    </w:p>
    <w:p>
      <w:pPr>
        <w:ind w:left="424" w:right="340" w:hanging="424"/>
        <w:spacing w:after="0" w:line="277" w:lineRule="auto"/>
        <w:tabs>
          <w:tab w:leader="none" w:pos="42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This Third Amendment shall be governed by and construed in accordance with the laws of the State of Delaware (excluding its conflict of law rules).</w:t>
      </w:r>
    </w:p>
    <w:p>
      <w:pPr>
        <w:spacing w:after="0" w:line="75"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All capitalized terms used but not otherwise defined herein shall have the meaning assigned to them in the Plan. Except as expressly amended hereby, the Plan shall remain in full force and effect in accordance with its terms.</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4"/>
          </w:cols>
          <w:pgMar w:left="436" w:top="122" w:right="439" w:bottom="1440" w:gutter="0" w:footer="0" w:header="0"/>
        </w:sectPr>
      </w:pPr>
    </w:p>
    <w:bookmarkStart w:id="623" w:name="page624"/>
    <w:bookmarkEnd w:id="62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undersigned has executed this Third Amendment to the Aeglea BioTherapeutics, Inc. 2018 Equity Inducement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 effective as of the Amendment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Cameron Turtle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23495</wp:posOffset>
            </wp:positionV>
            <wp:extent cx="259715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Cameron Turtle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Operating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HIRD</w:t>
      </w:r>
      <w:r>
        <w:rPr>
          <w:rFonts w:ascii="Arial" w:cs="Arial" w:eastAsia="Arial" w:hAnsi="Arial"/>
          <w:sz w:val="18"/>
          <w:szCs w:val="18"/>
          <w:color w:val="auto"/>
        </w:rPr>
        <w:t xml:space="preserve"> A</w:t>
      </w:r>
      <w:r>
        <w:rPr>
          <w:rFonts w:ascii="Arial" w:cs="Arial" w:eastAsia="Arial" w:hAnsi="Arial"/>
          <w:sz w:val="14"/>
          <w:szCs w:val="14"/>
          <w:color w:val="auto"/>
        </w:rPr>
        <w:t>MENDMENT TO THE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EGLEA</w:t>
      </w:r>
      <w:r>
        <w:rPr>
          <w:rFonts w:ascii="Arial" w:cs="Arial" w:eastAsia="Arial" w:hAnsi="Arial"/>
          <w:sz w:val="18"/>
          <w:szCs w:val="18"/>
          <w:color w:val="auto"/>
        </w:rPr>
        <w:t xml:space="preserve"> B</w:t>
      </w:r>
      <w:r>
        <w:rPr>
          <w:rFonts w:ascii="Arial" w:cs="Arial" w:eastAsia="Arial" w:hAnsi="Arial"/>
          <w:sz w:val="14"/>
          <w:szCs w:val="14"/>
          <w:color w:val="auto"/>
        </w:rPr>
        <w:t>IO</w:t>
      </w:r>
      <w:r>
        <w:rPr>
          <w:rFonts w:ascii="Arial" w:cs="Arial" w:eastAsia="Arial" w:hAnsi="Arial"/>
          <w:sz w:val="18"/>
          <w:szCs w:val="18"/>
          <w:color w:val="auto"/>
        </w:rPr>
        <w:t>T</w:t>
      </w:r>
      <w:r>
        <w:rPr>
          <w:rFonts w:ascii="Arial" w:cs="Arial" w:eastAsia="Arial" w:hAnsi="Arial"/>
          <w:sz w:val="14"/>
          <w:szCs w:val="14"/>
          <w:color w:val="auto"/>
        </w:rPr>
        <w:t>HERAPEUTICS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2018 E</w:t>
      </w:r>
      <w:r>
        <w:rPr>
          <w:rFonts w:ascii="Arial" w:cs="Arial" w:eastAsia="Arial" w:hAnsi="Arial"/>
          <w:sz w:val="14"/>
          <w:szCs w:val="14"/>
          <w:color w:val="auto"/>
        </w:rPr>
        <w:t>QUITY</w:t>
      </w:r>
      <w:r>
        <w:rPr>
          <w:rFonts w:ascii="Arial" w:cs="Arial" w:eastAsia="Arial" w:hAnsi="Arial"/>
          <w:sz w:val="18"/>
          <w:szCs w:val="18"/>
          <w:color w:val="auto"/>
        </w:rPr>
        <w:t xml:space="preserve"> I</w:t>
      </w:r>
      <w:r>
        <w:rPr>
          <w:rFonts w:ascii="Arial" w:cs="Arial" w:eastAsia="Arial" w:hAnsi="Arial"/>
          <w:sz w:val="14"/>
          <w:szCs w:val="14"/>
          <w:color w:val="auto"/>
        </w:rPr>
        <w:t>NDUCEMENT</w:t>
      </w:r>
      <w:r>
        <w:rPr>
          <w:rFonts w:ascii="Arial" w:cs="Arial" w:eastAsia="Arial" w:hAnsi="Arial"/>
          <w:sz w:val="18"/>
          <w:szCs w:val="18"/>
          <w:color w:val="auto"/>
        </w:rPr>
        <w:t xml:space="preserve"> P</w:t>
      </w:r>
      <w:r>
        <w:rPr>
          <w:rFonts w:ascii="Arial" w:cs="Arial" w:eastAsia="Arial" w:hAnsi="Arial"/>
          <w:sz w:val="14"/>
          <w:szCs w:val="14"/>
          <w:color w:val="auto"/>
        </w:rPr>
        <w:t>LAN</w:t>
      </w:r>
    </w:p>
    <w:p>
      <w:pPr>
        <w:sectPr>
          <w:pgSz w:w="11900" w:h="16838" w:orient="portrait"/>
          <w:cols w:equalWidth="0" w:num="1">
            <w:col w:w="10800"/>
          </w:cols>
          <w:pgMar w:left="440" w:top="270" w:right="659" w:bottom="1440" w:gutter="0" w:footer="0" w:header="0"/>
        </w:sectPr>
      </w:pPr>
    </w:p>
    <w:bookmarkStart w:id="624" w:name="page625"/>
    <w:bookmarkEnd w:id="624"/>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NOTICE OF STOCK OPTION GRANT</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AEGLEA BIOTHERAPEUTICS, INC.</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2018 EQUITY INDUCEMENT PLAN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Unless otherwise defined herein, the terms defined in the Aeglea BioTherapeutics,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2018 Equity Inducement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have the same meanings in this Notice of Stock Option Grant (the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and the attached Stock Option Agreement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You have been granted an Option to purchase shares of Common Stock of the Company under the Plan subject to the terms and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Plan, this Notice of Grant and the attached Option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17145</wp:posOffset>
            </wp:positionV>
            <wp:extent cx="482600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4">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17145</wp:posOffset>
            </wp:positionV>
            <wp:extent cx="482600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5">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240030</wp:posOffset>
            </wp:positionV>
            <wp:extent cx="482600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6">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1471930</wp:posOffset>
            </wp:positionH>
            <wp:positionV relativeFrom="paragraph">
              <wp:posOffset>462915</wp:posOffset>
            </wp:positionV>
            <wp:extent cx="482600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7">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1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13"/>
        </w:trPr>
        <w:tc>
          <w:tcPr>
            <w:tcW w:w="2320" w:type="dxa"/>
            <w:vAlign w:val="bottom"/>
          </w:tcPr>
          <w:p>
            <w:pPr>
              <w:spacing w:after="0"/>
              <w:rPr>
                <w:sz w:val="20"/>
                <w:szCs w:val="20"/>
                <w:color w:val="auto"/>
              </w:rPr>
            </w:pPr>
            <w:r>
              <w:rPr>
                <w:rFonts w:ascii="Arial" w:cs="Arial" w:eastAsia="Arial" w:hAnsi="Arial"/>
                <w:sz w:val="18"/>
                <w:szCs w:val="18"/>
                <w:b w:val="1"/>
                <w:bCs w:val="1"/>
                <w:color w:val="auto"/>
              </w:rPr>
              <w:t>Vesting Commencement</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1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31"/>
        </w:trPr>
        <w:tc>
          <w:tcPr>
            <w:tcW w:w="232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1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1"/>
        </w:trPr>
        <w:tc>
          <w:tcPr>
            <w:tcW w:w="2320" w:type="dxa"/>
            <w:vAlign w:val="bottom"/>
          </w:tcPr>
          <w:p>
            <w:pPr>
              <w:spacing w:after="0"/>
              <w:rPr>
                <w:sz w:val="20"/>
                <w:szCs w:val="20"/>
                <w:color w:val="auto"/>
              </w:rPr>
            </w:pPr>
            <w:r>
              <w:rPr>
                <w:rFonts w:ascii="Arial" w:cs="Arial" w:eastAsia="Arial" w:hAnsi="Arial"/>
                <w:sz w:val="18"/>
                <w:szCs w:val="18"/>
                <w:b w:val="1"/>
                <w:bCs w:val="1"/>
                <w:color w:val="auto"/>
              </w:rPr>
              <w:t>Total Number of Shares:</w:t>
            </w:r>
          </w:p>
        </w:tc>
        <w:tc>
          <w:tcPr>
            <w:tcW w:w="1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1"/>
        </w:trPr>
        <w:tc>
          <w:tcPr>
            <w:tcW w:w="232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1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0"/>
        </w:trPr>
        <w:tc>
          <w:tcPr>
            <w:tcW w:w="232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1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500" w:type="dxa"/>
            <w:vAlign w:val="bottom"/>
            <w:gridSpan w:val="7"/>
          </w:tcPr>
          <w:p>
            <w:pPr>
              <w:spacing w:after="0"/>
              <w:rPr>
                <w:sz w:val="20"/>
                <w:szCs w:val="20"/>
                <w:color w:val="auto"/>
              </w:rPr>
            </w:pPr>
            <w:r>
              <w:rPr>
                <w:rFonts w:ascii="Arial" w:cs="Arial" w:eastAsia="Arial" w:hAnsi="Arial"/>
                <w:sz w:val="18"/>
                <w:szCs w:val="18"/>
                <w:color w:val="auto"/>
                <w:w w:val="93"/>
              </w:rPr>
              <w:t>; This Option expires earlier if your Service terminates earlier, as described in the Stock</w:t>
            </w:r>
          </w:p>
        </w:tc>
      </w:tr>
      <w:tr>
        <w:trPr>
          <w:trHeight w:val="237"/>
        </w:trPr>
        <w:tc>
          <w:tcPr>
            <w:tcW w:w="232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Option Agreement.</w:t>
            </w:r>
          </w:p>
        </w:tc>
        <w:tc>
          <w:tcPr>
            <w:tcW w:w="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10"/>
        </w:trPr>
        <w:tc>
          <w:tcPr>
            <w:tcW w:w="232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520" w:type="dxa"/>
            <w:vAlign w:val="bottom"/>
            <w:gridSpan w:val="9"/>
          </w:tcPr>
          <w:p>
            <w:pPr>
              <w:spacing w:after="0"/>
              <w:rPr>
                <w:sz w:val="20"/>
                <w:szCs w:val="20"/>
                <w:color w:val="auto"/>
              </w:rPr>
            </w:pPr>
            <w:r>
              <w:rPr>
                <w:rFonts w:ascii="Arial" w:cs="Arial" w:eastAsia="Arial" w:hAnsi="Arial"/>
                <w:sz w:val="18"/>
                <w:szCs w:val="18"/>
                <w:color w:val="auto"/>
                <w:w w:val="90"/>
              </w:rPr>
              <w:t>For so long as Optionee continuously provides services to the Company (or any Subsidiary or Parent of the Company)</w:t>
            </w:r>
          </w:p>
        </w:tc>
      </w:tr>
      <w:tr>
        <w:trPr>
          <w:trHeight w:val="216"/>
        </w:trPr>
        <w:tc>
          <w:tcPr>
            <w:tcW w:w="2320" w:type="dxa"/>
            <w:vAlign w:val="bottom"/>
          </w:tcPr>
          <w:p>
            <w:pPr>
              <w:spacing w:after="0"/>
              <w:rPr>
                <w:sz w:val="18"/>
                <w:szCs w:val="18"/>
                <w:color w:val="auto"/>
              </w:rPr>
            </w:pPr>
          </w:p>
        </w:tc>
        <w:tc>
          <w:tcPr>
            <w:tcW w:w="8520" w:type="dxa"/>
            <w:vAlign w:val="bottom"/>
            <w:gridSpan w:val="9"/>
          </w:tcPr>
          <w:p>
            <w:pPr>
              <w:spacing w:after="0"/>
              <w:rPr>
                <w:sz w:val="20"/>
                <w:szCs w:val="20"/>
                <w:color w:val="auto"/>
              </w:rPr>
            </w:pPr>
            <w:r>
              <w:rPr>
                <w:rFonts w:ascii="Arial" w:cs="Arial" w:eastAsia="Arial" w:hAnsi="Arial"/>
                <w:sz w:val="18"/>
                <w:szCs w:val="18"/>
                <w:color w:val="auto"/>
                <w:w w:val="90"/>
              </w:rPr>
              <w:t>as an employee, officer, director, contractor or consultant, this Option will vest and become exercisable with respect to</w:t>
            </w:r>
          </w:p>
        </w:tc>
      </w:tr>
      <w:tr>
        <w:trPr>
          <w:trHeight w:val="190"/>
        </w:trPr>
        <w:tc>
          <w:tcPr>
            <w:tcW w:w="2320" w:type="dxa"/>
            <w:vAlign w:val="bottom"/>
          </w:tcPr>
          <w:p>
            <w:pPr>
              <w:spacing w:after="0"/>
              <w:rPr>
                <w:sz w:val="16"/>
                <w:szCs w:val="16"/>
                <w:color w:val="auto"/>
              </w:rPr>
            </w:pPr>
          </w:p>
        </w:tc>
        <w:tc>
          <w:tcPr>
            <w:tcW w:w="1580" w:type="dxa"/>
            <w:vAlign w:val="bottom"/>
          </w:tcPr>
          <w:p>
            <w:pPr>
              <w:spacing w:after="0" w:line="190" w:lineRule="exact"/>
              <w:rPr>
                <w:sz w:val="20"/>
                <w:szCs w:val="20"/>
                <w:color w:val="auto"/>
              </w:rPr>
            </w:pPr>
            <w:r>
              <w:rPr>
                <w:rFonts w:ascii="Arial" w:cs="Arial" w:eastAsia="Arial" w:hAnsi="Arial"/>
                <w:sz w:val="18"/>
                <w:szCs w:val="18"/>
                <w:color w:val="auto"/>
                <w:w w:val="88"/>
              </w:rPr>
              <w:t>the Shares as follows:</w:t>
            </w: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20" w:type="dxa"/>
            <w:vAlign w:val="bottom"/>
          </w:tcPr>
          <w:p>
            <w:pPr>
              <w:jc w:val="right"/>
              <w:ind w:right="2450"/>
              <w:spacing w:after="0" w:line="190"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04"/>
        </w:trPr>
        <w:tc>
          <w:tcPr>
            <w:tcW w:w="2320" w:type="dxa"/>
            <w:vAlign w:val="bottom"/>
          </w:tcPr>
          <w:p>
            <w:pPr>
              <w:spacing w:after="0"/>
              <w:rPr>
                <w:sz w:val="20"/>
                <w:szCs w:val="20"/>
                <w:color w:val="auto"/>
              </w:rPr>
            </w:pPr>
            <w:r>
              <w:rPr>
                <w:rFonts w:ascii="Arial" w:cs="Arial" w:eastAsia="Arial" w:hAnsi="Arial"/>
                <w:sz w:val="18"/>
                <w:szCs w:val="18"/>
                <w:b w:val="1"/>
                <w:bCs w:val="1"/>
                <w:color w:val="auto"/>
              </w:rPr>
              <w:t>Additional Terms:</w:t>
            </w:r>
          </w:p>
        </w:tc>
        <w:tc>
          <w:tcPr>
            <w:tcW w:w="852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If this box is checked, the additional terms and conditions set forth on Attachment 1 hereto (as executed by the</w:t>
            </w:r>
          </w:p>
        </w:tc>
      </w:tr>
      <w:tr>
        <w:trPr>
          <w:trHeight w:val="20"/>
        </w:trPr>
        <w:tc>
          <w:tcPr>
            <w:tcW w:w="232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8520" w:type="dxa"/>
            <w:vAlign w:val="bottom"/>
            <w:gridSpan w:val="9"/>
          </w:tcPr>
          <w:p>
            <w:pPr>
              <w:spacing w:after="0" w:line="196" w:lineRule="exact"/>
              <w:rPr>
                <w:sz w:val="20"/>
                <w:szCs w:val="20"/>
                <w:color w:val="auto"/>
              </w:rPr>
            </w:pPr>
            <w:r>
              <w:rPr>
                <w:rFonts w:ascii="Arial" w:cs="Arial" w:eastAsia="Arial" w:hAnsi="Arial"/>
                <w:sz w:val="18"/>
                <w:szCs w:val="18"/>
                <w:color w:val="auto"/>
                <w:w w:val="90"/>
              </w:rPr>
              <w:t>Company) are applicable and are incorporated herein by reference. No document need be attached as Attachment 1 if</w:t>
            </w:r>
          </w:p>
        </w:tc>
      </w:tr>
      <w:tr>
        <w:trPr>
          <w:trHeight w:val="237"/>
        </w:trPr>
        <w:tc>
          <w:tcPr>
            <w:tcW w:w="232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the box is not checked.</w:t>
            </w:r>
          </w:p>
        </w:tc>
        <w:tc>
          <w:tcPr>
            <w:tcW w:w="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Except as specifically provided in your Offer Letter, the Option Agreement or the Plan, in the event that your employment or engagement with the Company terminates, all unvested options will be forfeited immediately. Any offer will be in accordance with the terms of such plans or arrangements as they may be amended from time to time. As a condition to participation in any such plans or arrangements, you agree that the opportunity to participate shall not form part of your entitlement to remuneration or benefits pursuant to your Offer Letter or any additional agreement entered into between you and the Company or any Subsidiary and you agree that you shall not be entitled to seek any equitable relief or to receive any compensation or damage in consequence of any loss or potential loss which you may suffer in consequence of the loss or termination of your employment for any reason whatsoever (including wrongful or unfair dismissal or their equivalents). By accepting this Option, you and the Company agree that this Option is granted under and governed by the terms and conditions of the Plan, the Notice of Grant and the Option Agreement. By accepting this Option, you consent to electronic delivery as set forth in the Option Agreement.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By:</w:t>
            </w:r>
          </w:p>
        </w:tc>
      </w:tr>
      <w:tr>
        <w:trPr>
          <w:trHeight w:val="209"/>
        </w:trPr>
        <w:tc>
          <w:tcPr>
            <w:tcW w:w="900" w:type="dxa"/>
            <w:vAlign w:val="bottom"/>
          </w:tcPr>
          <w:p>
            <w:pPr>
              <w:spacing w:after="0"/>
              <w:rPr>
                <w:sz w:val="20"/>
                <w:szCs w:val="20"/>
                <w:color w:val="auto"/>
              </w:rPr>
            </w:pPr>
            <w:r>
              <w:rPr>
                <w:rFonts w:ascii="Arial" w:cs="Arial" w:eastAsia="Arial" w:hAnsi="Arial"/>
                <w:sz w:val="18"/>
                <w:szCs w:val="18"/>
                <w:color w:val="auto"/>
              </w:rPr>
              <w:t>Print</w:t>
            </w:r>
          </w:p>
        </w:tc>
        <w:tc>
          <w:tcPr>
            <w:tcW w:w="47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3"/>
        </w:trPr>
        <w:tc>
          <w:tcPr>
            <w:tcW w:w="90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Arial" w:cs="Arial" w:eastAsia="Arial" w:hAnsi="Arial"/>
                <w:sz w:val="18"/>
                <w:szCs w:val="18"/>
                <w:color w:val="auto"/>
                <w:w w:val="86"/>
              </w:rPr>
              <w:t>Name:</w:t>
            </w:r>
          </w:p>
        </w:tc>
      </w:tr>
      <w:tr>
        <w:trPr>
          <w:trHeight w:val="250"/>
        </w:trPr>
        <w:tc>
          <w:tcPr>
            <w:tcW w:w="9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-170815</wp:posOffset>
            </wp:positionV>
            <wp:extent cx="293179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-16510</wp:posOffset>
            </wp:positionV>
            <wp:extent cx="293179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625" w:name="page626"/>
    <w:bookmarkEnd w:id="6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OPTION AGREEMENT</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2018 EQUITY INDUCEMENT PLAN</w:t>
      </w:r>
    </w:p>
    <w:p>
      <w:pPr>
        <w:spacing w:after="0" w:line="21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You have been granted an Option by Aeglea BioTherapeutics,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the 2018 Equity Inducement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Shares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subject to the terms, restrictions and conditions of the Plan, the Notice of Stock Option Grant (the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and this Stock Option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right="60" w:firstLine="436"/>
        <w:spacing w:after="0" w:line="266" w:lineRule="auto"/>
        <w:tabs>
          <w:tab w:leader="none" w:pos="620"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You have been granted an Option for the number of Shares set forth in the Notice of Grant at the exercise price per Share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Notice of Grant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In the event of a conflict between the terms and conditions of the Plan and the terms and conditions of this Agreement, the terms and conditions of the Plan shall prevail.</w:t>
      </w:r>
    </w:p>
    <w:p>
      <w:pPr>
        <w:spacing w:after="0" w:line="175" w:lineRule="exact"/>
        <w:rPr>
          <w:rFonts w:ascii="Arial" w:cs="Arial" w:eastAsia="Arial" w:hAnsi="Arial"/>
          <w:sz w:val="18"/>
          <w:szCs w:val="18"/>
          <w:b w:val="1"/>
          <w:bCs w:val="1"/>
          <w:color w:val="auto"/>
        </w:rPr>
      </w:pPr>
    </w:p>
    <w:p>
      <w:pPr>
        <w:ind w:left="620" w:hanging="184"/>
        <w:spacing w:after="0"/>
        <w:tabs>
          <w:tab w:leader="none" w:pos="620"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Period</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80" w:firstLine="987"/>
        <w:spacing w:after="0" w:line="293" w:lineRule="auto"/>
        <w:tabs>
          <w:tab w:leader="none" w:pos="1236" w:val="left"/>
        </w:tabs>
        <w:numPr>
          <w:ilvl w:val="1"/>
          <w:numId w:val="588"/>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If your Service terminates for any reason except death or Disability, and other than for Cause, then this Option will expire at the close of business at Company headquarters on the date three months after your termination of Service (subject to the expiration detailed in Section 6). If your Service is terminated for Cause, this Option will expire upon the date of such termination. The Company determines when your Service terminates for all purposes under this Agreement. You acknowledge and agree that the Vesting Schedule may change prospectively in the event that your service status changes between full and part-time status in accordance with Company policies relating to work schedules and vesting of awards. You acknowledge that the vesting of the Shares pursuant to this Notice is earned only by continuing Service.</w:t>
      </w:r>
    </w:p>
    <w:p>
      <w:pPr>
        <w:spacing w:after="0" w:line="164" w:lineRule="exact"/>
        <w:rPr>
          <w:rFonts w:ascii="Arial" w:cs="Arial" w:eastAsia="Arial" w:hAnsi="Arial"/>
          <w:sz w:val="16"/>
          <w:szCs w:val="16"/>
          <w:color w:val="auto"/>
        </w:rPr>
      </w:pPr>
    </w:p>
    <w:p>
      <w:pPr>
        <w:ind w:right="100" w:firstLine="987"/>
        <w:spacing w:after="0" w:line="279" w:lineRule="auto"/>
        <w:tabs>
          <w:tab w:leader="none" w:pos="1246" w:val="left"/>
        </w:tabs>
        <w:numPr>
          <w:ilvl w:val="1"/>
          <w:numId w:val="588"/>
        </w:numPr>
        <w:rPr>
          <w:rFonts w:ascii="Arial" w:cs="Arial" w:eastAsia="Arial" w:hAnsi="Arial"/>
          <w:sz w:val="17"/>
          <w:szCs w:val="17"/>
          <w:color w:val="auto"/>
        </w:rPr>
      </w:pPr>
      <w:r>
        <w:rPr>
          <w:rFonts w:ascii="Arial" w:cs="Arial" w:eastAsia="Arial" w:hAnsi="Arial"/>
          <w:sz w:val="17"/>
          <w:szCs w:val="17"/>
          <w:u w:val="single" w:color="auto"/>
          <w:color w:val="auto"/>
        </w:rPr>
        <w:t>Death; Disability</w:t>
      </w:r>
      <w:r>
        <w:rPr>
          <w:rFonts w:ascii="Arial" w:cs="Arial" w:eastAsia="Arial" w:hAnsi="Arial"/>
          <w:sz w:val="17"/>
          <w:szCs w:val="17"/>
          <w:color w:val="auto"/>
        </w:rPr>
        <w:t>. If you die before your Service terminates (or you die within three months of your termination of Service other than for Cause), then this Option will expire at the close of business at Company headquarters on the date 12 months after the date of death (subject to the expiration detailed in Section 6). If your Service terminates because of your Disability, then this Option will expire at the close of business at Company headquarters on the date 12 months after your termination date (subject to the expiration detailed in Section 6).</w:t>
      </w:r>
    </w:p>
    <w:p>
      <w:pPr>
        <w:spacing w:after="0" w:line="171" w:lineRule="exact"/>
        <w:rPr>
          <w:rFonts w:ascii="Arial" w:cs="Arial" w:eastAsia="Arial" w:hAnsi="Arial"/>
          <w:sz w:val="17"/>
          <w:szCs w:val="17"/>
          <w:color w:val="auto"/>
        </w:rPr>
      </w:pPr>
    </w:p>
    <w:p>
      <w:pPr>
        <w:ind w:right="60" w:firstLine="987"/>
        <w:spacing w:after="0" w:line="263" w:lineRule="auto"/>
        <w:tabs>
          <w:tab w:leader="none" w:pos="1236" w:val="left"/>
        </w:tabs>
        <w:numPr>
          <w:ilvl w:val="1"/>
          <w:numId w:val="588"/>
        </w:numPr>
        <w:rPr>
          <w:rFonts w:ascii="Arial" w:cs="Arial" w:eastAsia="Arial" w:hAnsi="Arial"/>
          <w:sz w:val="18"/>
          <w:szCs w:val="18"/>
          <w:color w:val="auto"/>
        </w:rPr>
      </w:pPr>
      <w:r>
        <w:rPr>
          <w:rFonts w:ascii="Arial" w:cs="Arial" w:eastAsia="Arial" w:hAnsi="Arial"/>
          <w:sz w:val="18"/>
          <w:szCs w:val="18"/>
          <w:u w:val="single" w:color="auto"/>
          <w:color w:val="auto"/>
        </w:rPr>
        <w:t>No Notice</w:t>
      </w:r>
      <w:r>
        <w:rPr>
          <w:rFonts w:ascii="Arial" w:cs="Arial" w:eastAsia="Arial" w:hAnsi="Arial"/>
          <w:sz w:val="18"/>
          <w:szCs w:val="18"/>
          <w:color w:val="auto"/>
        </w:rPr>
        <w:t>. You are responsible for keeping track of these exercise periods following your termination of Service for any reason. The Company will not provide further notice of such periods. In no event shall this Option be exercised later than the Expiration Date set forth in the Notice of Grant.</w:t>
      </w:r>
    </w:p>
    <w:p>
      <w:pPr>
        <w:spacing w:after="0" w:line="179" w:lineRule="exact"/>
        <w:rPr>
          <w:rFonts w:ascii="Arial" w:cs="Arial" w:eastAsia="Arial" w:hAnsi="Arial"/>
          <w:sz w:val="18"/>
          <w:szCs w:val="18"/>
          <w:color w:val="auto"/>
        </w:rPr>
      </w:pPr>
    </w:p>
    <w:p>
      <w:pPr>
        <w:ind w:left="620" w:hanging="184"/>
        <w:spacing w:after="0"/>
        <w:tabs>
          <w:tab w:leader="none" w:pos="620"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987"/>
        <w:spacing w:after="0" w:line="259" w:lineRule="auto"/>
        <w:tabs>
          <w:tab w:leader="none" w:pos="1236" w:val="left"/>
        </w:tabs>
        <w:numPr>
          <w:ilvl w:val="1"/>
          <w:numId w:val="588"/>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is exercisable during its term in accordance with the Vesting Schedule set forth in the Notice of Grant and the applicable provisions of the Plan and this Agreement. In the event of your death, Disability, or other cessation of Service, the exercisability of the Option is governed by the applicable provisions of the Plan, the Notice of Grant and this Agreement. This Option may not be exercised for a fraction of a Share.</w:t>
      </w:r>
    </w:p>
    <w:p>
      <w:pPr>
        <w:spacing w:after="0" w:line="186" w:lineRule="exact"/>
        <w:rPr>
          <w:rFonts w:ascii="Arial" w:cs="Arial" w:eastAsia="Arial" w:hAnsi="Arial"/>
          <w:sz w:val="18"/>
          <w:szCs w:val="18"/>
          <w:color w:val="auto"/>
        </w:rPr>
      </w:pPr>
    </w:p>
    <w:p>
      <w:pPr>
        <w:ind w:right="180" w:firstLine="987"/>
        <w:spacing w:after="0" w:line="291" w:lineRule="auto"/>
        <w:tabs>
          <w:tab w:leader="none" w:pos="1246" w:val="left"/>
        </w:tabs>
        <w:numPr>
          <w:ilvl w:val="1"/>
          <w:numId w:val="588"/>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This Option is exercisable by delivery of an exercise notice in a form specified by the Company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which shall state the election to exercise the Option, the number of Shares in respect of which the Option is being exercised (the “</w:t>
      </w:r>
      <w:r>
        <w:rPr>
          <w:rFonts w:ascii="Arial" w:cs="Arial" w:eastAsia="Arial" w:hAnsi="Arial"/>
          <w:sz w:val="16"/>
          <w:szCs w:val="16"/>
          <w:b w:val="1"/>
          <w:bCs w:val="1"/>
          <w:i w:val="1"/>
          <w:iCs w:val="1"/>
          <w:color w:val="auto"/>
        </w:rPr>
        <w:t>Exercised Shares</w:t>
      </w:r>
      <w:r>
        <w:rPr>
          <w:rFonts w:ascii="Arial" w:cs="Arial" w:eastAsia="Arial" w:hAnsi="Arial"/>
          <w:sz w:val="16"/>
          <w:szCs w:val="16"/>
          <w:color w:val="auto"/>
        </w:rPr>
        <w:t>”), and such other representations and agreements as may be required by the Company pursuant to the provisions of the Plan. The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shall be delivered in person, by mail, via electronic mail or facsimile or by other authorized method to the Secretary of the Company or other person designated by the Company. The Exercise Notice shall be accompanied by payment of the aggregate exercise price as to all Exercised Shares. This Option shall be deemed to be exercised upon receipt by the Company of a fully executed Exercise Notice accompanied by the aggregate exercise price and any applicable tax withholding due upon exercise of the Option in all and any relevant jurisdictions.</w:t>
      </w:r>
    </w:p>
    <w:p>
      <w:pPr>
        <w:spacing w:after="0" w:line="166" w:lineRule="exact"/>
        <w:rPr>
          <w:rFonts w:ascii="Arial" w:cs="Arial" w:eastAsia="Arial" w:hAnsi="Arial"/>
          <w:sz w:val="16"/>
          <w:szCs w:val="16"/>
          <w:color w:val="auto"/>
        </w:rPr>
      </w:pPr>
    </w:p>
    <w:p>
      <w:pPr>
        <w:ind w:right="40" w:firstLine="987"/>
        <w:spacing w:after="0" w:line="259" w:lineRule="auto"/>
        <w:tabs>
          <w:tab w:leader="none" w:pos="1236" w:val="left"/>
        </w:tabs>
        <w:numPr>
          <w:ilvl w:val="1"/>
          <w:numId w:val="588"/>
        </w:numPr>
        <w:rPr>
          <w:rFonts w:ascii="Arial" w:cs="Arial" w:eastAsia="Arial" w:hAnsi="Arial"/>
          <w:sz w:val="18"/>
          <w:szCs w:val="18"/>
          <w:color w:val="auto"/>
        </w:rPr>
      </w:pPr>
      <w:r>
        <w:rPr>
          <w:rFonts w:ascii="Arial" w:cs="Arial" w:eastAsia="Arial" w:hAnsi="Arial"/>
          <w:sz w:val="18"/>
          <w:szCs w:val="18"/>
          <w:u w:val="single" w:color="auto"/>
          <w:color w:val="auto"/>
        </w:rPr>
        <w:t>Exercise by Another</w:t>
      </w:r>
      <w:r>
        <w:rPr>
          <w:rFonts w:ascii="Arial" w:cs="Arial" w:eastAsia="Arial" w:hAnsi="Arial"/>
          <w:sz w:val="18"/>
          <w:szCs w:val="18"/>
          <w:color w:val="auto"/>
        </w:rPr>
        <w:t>. If another person wants to exercise this Option after it has been transferred to him or her in compliance with this Agreement, that person must prove to the Company’s satisfaction that he or she is entitled to exercise this Option. That person must also complete the proper Exercise Notice form (as described above) and pay the exercise price (as described below) and any applicable tax withholding due upon exercise of the Option (as described below) in all and any relevant jurisdictions.</w:t>
      </w:r>
    </w:p>
    <w:p>
      <w:pPr>
        <w:spacing w:after="0" w:line="182" w:lineRule="exact"/>
        <w:rPr>
          <w:rFonts w:ascii="Arial" w:cs="Arial" w:eastAsia="Arial" w:hAnsi="Arial"/>
          <w:sz w:val="18"/>
          <w:szCs w:val="18"/>
          <w:color w:val="auto"/>
        </w:rPr>
      </w:pPr>
    </w:p>
    <w:p>
      <w:pPr>
        <w:ind w:left="620" w:hanging="184"/>
        <w:spacing w:after="0"/>
        <w:tabs>
          <w:tab w:leader="none" w:pos="620" w:val="left"/>
        </w:tabs>
        <w:numPr>
          <w:ilvl w:val="0"/>
          <w:numId w:val="5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Method of Payment</w:t>
      </w:r>
      <w:r>
        <w:rPr>
          <w:rFonts w:ascii="Arial" w:cs="Arial" w:eastAsia="Arial" w:hAnsi="Arial"/>
          <w:sz w:val="17"/>
          <w:szCs w:val="17"/>
          <w:color w:val="auto"/>
        </w:rPr>
        <w:t>. Payment of the aggregate exercise price shall be by any of the following, or a combination thereof, at your election:</w:t>
      </w:r>
    </w:p>
    <w:p>
      <w:pPr>
        <w:spacing w:after="0" w:line="132" w:lineRule="exact"/>
        <w:rPr>
          <w:rFonts w:ascii="Arial" w:cs="Arial" w:eastAsia="Arial" w:hAnsi="Arial"/>
          <w:sz w:val="17"/>
          <w:szCs w:val="17"/>
          <w:b w:val="1"/>
          <w:bCs w:val="1"/>
          <w:color w:val="auto"/>
        </w:rPr>
      </w:pPr>
    </w:p>
    <w:p>
      <w:pPr>
        <w:ind w:left="1240" w:hanging="253"/>
        <w:spacing w:after="0"/>
        <w:tabs>
          <w:tab w:leader="none" w:pos="1240" w:val="left"/>
        </w:tabs>
        <w:numPr>
          <w:ilvl w:val="1"/>
          <w:numId w:val="588"/>
        </w:numPr>
        <w:rPr>
          <w:rFonts w:ascii="Arial" w:cs="Arial" w:eastAsia="Arial" w:hAnsi="Arial"/>
          <w:sz w:val="18"/>
          <w:szCs w:val="18"/>
          <w:color w:val="auto"/>
        </w:rPr>
      </w:pPr>
      <w:r>
        <w:rPr>
          <w:rFonts w:ascii="Arial" w:cs="Arial" w:eastAsia="Arial" w:hAnsi="Arial"/>
          <w:sz w:val="18"/>
          <w:szCs w:val="18"/>
          <w:color w:val="auto"/>
        </w:rPr>
        <w:t>your personal check, wire transfer, or a cashier’s check;</w:t>
      </w:r>
    </w:p>
    <w:p>
      <w:pPr>
        <w:spacing w:after="0" w:line="225" w:lineRule="exact"/>
        <w:rPr>
          <w:rFonts w:ascii="Arial" w:cs="Arial" w:eastAsia="Arial" w:hAnsi="Arial"/>
          <w:sz w:val="18"/>
          <w:szCs w:val="18"/>
          <w:color w:val="auto"/>
        </w:rPr>
      </w:pPr>
    </w:p>
    <w:p>
      <w:pPr>
        <w:ind w:right="100" w:firstLine="987"/>
        <w:spacing w:after="0" w:line="273" w:lineRule="auto"/>
        <w:tabs>
          <w:tab w:leader="none" w:pos="1246" w:val="left"/>
        </w:tabs>
        <w:numPr>
          <w:ilvl w:val="1"/>
          <w:numId w:val="588"/>
        </w:numPr>
        <w:rPr>
          <w:rFonts w:ascii="Arial" w:cs="Arial" w:eastAsia="Arial" w:hAnsi="Arial"/>
          <w:sz w:val="17"/>
          <w:szCs w:val="17"/>
          <w:color w:val="auto"/>
        </w:rPr>
      </w:pPr>
      <w:r>
        <w:rPr>
          <w:rFonts w:ascii="Arial" w:cs="Arial" w:eastAsia="Arial" w:hAnsi="Arial"/>
          <w:sz w:val="17"/>
          <w:szCs w:val="17"/>
          <w:color w:val="auto"/>
        </w:rPr>
        <w:t>certificates for shares of Company stock that you own, along with any forms needed to effect a transfer of those shares to the Company; the value of the shares, determined as of the effective date of the Option exercise, will be applied to the Option exercise price. Instead of surrendering shares of Company stock, you may attest to the ownership of those shares on a form provided by the Company and have the same number of shares subtracted from the Option shares issued to you. However, you may not surrender, or attest to the ownership of, shares of Company stock in payment of the exercise price of your Option if your action would cause the Company to recognize compensation expense (or additional compensation expense) with respect to this Option for financial reporting purposes;</w:t>
      </w:r>
    </w:p>
    <w:p>
      <w:pPr>
        <w:sectPr>
          <w:pgSz w:w="11900" w:h="16838" w:orient="portrait"/>
          <w:cols w:equalWidth="0" w:num="1">
            <w:col w:w="10980"/>
          </w:cols>
          <w:pgMar w:left="440" w:top="270" w:right="47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980"/>
          </w:cols>
          <w:pgMar w:left="440" w:top="270" w:right="479" w:bottom="1440" w:gutter="0" w:footer="0" w:header="0"/>
          <w:type w:val="continuous"/>
        </w:sectPr>
      </w:pPr>
    </w:p>
    <w:bookmarkStart w:id="626" w:name="page627"/>
    <w:bookmarkEnd w:id="626"/>
    <w:p>
      <w:pPr>
        <w:ind w:left="4" w:firstLine="987"/>
        <w:spacing w:after="0" w:line="259" w:lineRule="auto"/>
        <w:tabs>
          <w:tab w:leader="none" w:pos="1240" w:val="left"/>
        </w:tabs>
        <w:numPr>
          <w:ilvl w:val="1"/>
          <w:numId w:val="5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cashless exercise through irrevocable directions to a securities broker approved by the Company to sell all or part of the Shares covered by this Option and to deliver to the Company from the sale proceeds an amount sufficient to pay the Option exercise price and any withholding taxes. The balance of the sale proceeds, if any, will be delivered to you. The directions must be given by signing a special notice of exercise form provided by the Company; or</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1"/>
          <w:numId w:val="589"/>
        </w:numPr>
        <w:rPr>
          <w:rFonts w:ascii="Arial" w:cs="Arial" w:eastAsia="Arial" w:hAnsi="Arial"/>
          <w:sz w:val="18"/>
          <w:szCs w:val="18"/>
          <w:color w:val="auto"/>
        </w:rPr>
      </w:pPr>
      <w:r>
        <w:rPr>
          <w:rFonts w:ascii="Arial" w:cs="Arial" w:eastAsia="Arial" w:hAnsi="Arial"/>
          <w:sz w:val="18"/>
          <w:szCs w:val="18"/>
          <w:color w:val="auto"/>
        </w:rPr>
        <w:t>other method authorized by the Company.</w:t>
      </w:r>
    </w:p>
    <w:p>
      <w:pPr>
        <w:spacing w:after="0" w:line="221" w:lineRule="exact"/>
        <w:rPr>
          <w:rFonts w:ascii="Arial" w:cs="Arial" w:eastAsia="Arial" w:hAnsi="Arial"/>
          <w:sz w:val="18"/>
          <w:szCs w:val="18"/>
          <w:color w:val="auto"/>
        </w:rPr>
      </w:pPr>
    </w:p>
    <w:p>
      <w:pPr>
        <w:ind w:left="4" w:right="20" w:firstLine="436"/>
        <w:spacing w:after="0" w:line="286" w:lineRule="auto"/>
        <w:tabs>
          <w:tab w:leader="none" w:pos="624" w:val="left"/>
        </w:tabs>
        <w:numPr>
          <w:ilvl w:val="0"/>
          <w:numId w:val="5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Non-Transferability of Option</w:t>
      </w:r>
      <w:r>
        <w:rPr>
          <w:rFonts w:ascii="Arial" w:cs="Arial" w:eastAsia="Arial" w:hAnsi="Arial"/>
          <w:sz w:val="16"/>
          <w:szCs w:val="16"/>
          <w:color w:val="auto"/>
        </w:rPr>
        <w:t>. In general, except as provided below, only you may exercise this Option prior to your death. You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or assign this Option, except as provided below. For instance, you may not sell this Option or use it as security for a loan. If you attempt to do any of these things, this Option will immediately become invalid. You may, however, dispose of this Option in your will or in a beneficiary designation. However, the Committee (as defined in the Plan) may, in its sole discretion, allow you to transfer this Option as a gift to one or more family members. For purposes of this Agreement, “family member” means a child, stepchild, grandchild, parent, stepparent, grandparent, spouse, former spouse, sibling, niece, nephew, mother-in- law, father-in-law, son-in-law, daughter-in-law, brother-in-law or sister-in-law (including adoptive relationships), any individual sharing your household (other than a tenant or employee), a trust in which one or more of these individuals have more than 50% of the beneficial interest, a foundation in which you or one or more of these persons control the management of assets, and any entity in which you or one or more of these persons own more than 50% of the voting interest. In addition, the Committee may, in its sole discretion, allow you to transfer this Option to your spouse or former spouse pursuant to a domestic relations order in settlement of marital property rights. The Committee will allow you to transfer this Option only if both you and the transferee(s) execute the forms prescribed by the Committee, which include the consent of the transferee(s) to be bound by this Agreement. This Option may not be transferred in any manner other than by will or by the laws of descent or distribution or court order and may be exercised during the lifetime of you only by you, your guardian, or legal representative, as permitted in the Plan. The terms of the Plan and this Agreement shall be binding upon the executors, administrators, heirs, successors and assigns of you.</w:t>
      </w:r>
    </w:p>
    <w:p>
      <w:pPr>
        <w:spacing w:after="0" w:line="170" w:lineRule="exact"/>
        <w:rPr>
          <w:rFonts w:ascii="Arial" w:cs="Arial" w:eastAsia="Arial" w:hAnsi="Arial"/>
          <w:sz w:val="16"/>
          <w:szCs w:val="16"/>
          <w:b w:val="1"/>
          <w:bCs w:val="1"/>
          <w:color w:val="auto"/>
        </w:rPr>
      </w:pPr>
    </w:p>
    <w:p>
      <w:pPr>
        <w:ind w:left="4" w:right="240" w:firstLine="436"/>
        <w:spacing w:after="0" w:line="282" w:lineRule="auto"/>
        <w:tabs>
          <w:tab w:leader="none" w:pos="624"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Option</w:t>
      </w:r>
      <w:r>
        <w:rPr>
          <w:rFonts w:ascii="Arial" w:cs="Arial" w:eastAsia="Arial" w:hAnsi="Arial"/>
          <w:sz w:val="18"/>
          <w:szCs w:val="18"/>
          <w:color w:val="auto"/>
        </w:rPr>
        <w:t>. This Option shall in any event expire on the expiration date set forth in the Notice of Grant, which date is 10 years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w:t>
      </w:r>
    </w:p>
    <w:p>
      <w:pPr>
        <w:spacing w:after="0" w:line="161" w:lineRule="exact"/>
        <w:rPr>
          <w:rFonts w:ascii="Arial" w:cs="Arial" w:eastAsia="Arial" w:hAnsi="Arial"/>
          <w:sz w:val="18"/>
          <w:szCs w:val="18"/>
          <w:b w:val="1"/>
          <w:bCs w:val="1"/>
          <w:color w:val="auto"/>
        </w:rPr>
      </w:pPr>
    </w:p>
    <w:p>
      <w:pPr>
        <w:ind w:left="4" w:right="120" w:firstLine="436"/>
        <w:spacing w:after="0" w:line="281" w:lineRule="auto"/>
        <w:tabs>
          <w:tab w:leader="none" w:pos="624" w:val="left"/>
        </w:tabs>
        <w:numPr>
          <w:ilvl w:val="0"/>
          <w:numId w:val="5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Consequences</w:t>
      </w:r>
      <w:r>
        <w:rPr>
          <w:rFonts w:ascii="Arial" w:cs="Arial" w:eastAsia="Arial" w:hAnsi="Arial"/>
          <w:sz w:val="17"/>
          <w:szCs w:val="17"/>
          <w:color w:val="auto"/>
        </w:rPr>
        <w:t>. You should consult a tax adviser for tax consequences relating to this Option in any jurisdiction in which you are or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subject to tax during the course of this agreement. YOU SHOULD CONSULT A TAX ADVISER BEFORE EXERCISING THIS OPTION OR DISPOSING OF THE SHARES. You will not be allowed to exercise this Option unless you make arrangements acceptable to the Company to pay any withholding taxes that may be due as a result of the Option exercise in all or any relevant jurisdiction.</w:t>
      </w:r>
    </w:p>
    <w:p>
      <w:pPr>
        <w:spacing w:after="0" w:line="164" w:lineRule="exact"/>
        <w:rPr>
          <w:rFonts w:ascii="Arial" w:cs="Arial" w:eastAsia="Arial" w:hAnsi="Arial"/>
          <w:sz w:val="17"/>
          <w:szCs w:val="17"/>
          <w:b w:val="1"/>
          <w:bCs w:val="1"/>
          <w:color w:val="auto"/>
        </w:rPr>
      </w:pPr>
    </w:p>
    <w:p>
      <w:pPr>
        <w:ind w:left="4" w:right="120" w:firstLine="436"/>
        <w:spacing w:after="0" w:line="272" w:lineRule="auto"/>
        <w:tabs>
          <w:tab w:leader="none" w:pos="624" w:val="left"/>
        </w:tabs>
        <w:numPr>
          <w:ilvl w:val="0"/>
          <w:numId w:val="5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Taxes and Stock Withholding</w:t>
      </w:r>
      <w:r>
        <w:rPr>
          <w:rFonts w:ascii="Arial" w:cs="Arial" w:eastAsia="Arial" w:hAnsi="Arial"/>
          <w:sz w:val="17"/>
          <w:szCs w:val="17"/>
          <w:color w:val="auto"/>
        </w:rPr>
        <w:t>. Regardless of any action the Company or your actual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you acknowledge that the ultimate liability for all Tax-Related Items legally due by you is and remains your responsibility and that the Company and/or the Employer (1) make no representations or undertakings regarding the treatment of any Tax-Related Items in connection with any aspect of the Option grant, including the grant, vesting or exercise of the Option, the subsequent sale of Shares acquired pursuant to such exercise and the receipt of any dividends; and (2) do not commit to structure the terms of the grant or any aspect of the Option to reduce or eliminate your liability for Tax-Related Items. You acknowledge that if you are subject to Tax-Related Items in more than one jurisdiction, the Company and/or the Employer may be required to withhold or account for Tax-Related Items in more than one jurisdiction.</w:t>
      </w:r>
    </w:p>
    <w:p>
      <w:pPr>
        <w:spacing w:after="0" w:line="176"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Prior to exercise of the Option, you shall pay or make adequate arrangements satisfactory to the Company and/or the Employer to satisfy all withholding and payment on account obligations of the Company and/or the Employer. In this regard, you authorize the Company and/or the Employer to withhold all applicable Tax-Related Items legally payable by you from your wages or other cash compensation paid to you by the Company and/or the Employer. With the Company’s consent, these arrangements may also include, if permissible under local law, (a) withholding Shares that otherwise would be issued to you when you exercise this Option by considering up to the maximum applicable statutory withholding rates, (b) having the Company withhold taxes from the proceeds of the sale of the Shares, either through a voluntary sale or through a mandatory sale arranged by the Company (on your behalf and you hereby authorize such sales by this authorization), (c) your payment of a cash amount, or (d) any other arrangement approved by the Company; all under such rules as may be established by the Committee and in compliance with the Company’s Insider Trading Policy and 10b5-1 Trading Plan Policy, if applicable; provided however, that if you are a Section 16 officer of the Company under the Exchange Act, then the Committee (as constituted in accordance with Rule 16b-3 under the Exchange Act) shall establish the method of withholding from alternatives (a)-(d) above prior to the Tax-Related Items withholding event; and if no such determination is made, then the method of withholding shall be in accordance with subsection</w:t>
      </w:r>
    </w:p>
    <w:p>
      <w:pPr>
        <w:spacing w:after="0" w:line="4" w:lineRule="exact"/>
        <w:rPr>
          <w:sz w:val="20"/>
          <w:szCs w:val="20"/>
          <w:color w:val="auto"/>
        </w:rPr>
      </w:pPr>
    </w:p>
    <w:p>
      <w:pPr>
        <w:ind w:left="4" w:right="40" w:hanging="4"/>
        <w:spacing w:after="0" w:line="323" w:lineRule="auto"/>
        <w:tabs>
          <w:tab w:leader="none" w:pos="249" w:val="left"/>
        </w:tabs>
        <w:numPr>
          <w:ilvl w:val="0"/>
          <w:numId w:val="591"/>
        </w:numPr>
        <w:rPr>
          <w:rFonts w:ascii="Arial" w:cs="Arial" w:eastAsia="Arial" w:hAnsi="Arial"/>
          <w:sz w:val="16"/>
          <w:szCs w:val="16"/>
          <w:color w:val="auto"/>
        </w:rPr>
      </w:pPr>
      <w:r>
        <w:rPr>
          <w:rFonts w:ascii="Arial" w:cs="Arial" w:eastAsia="Arial" w:hAnsi="Arial"/>
          <w:sz w:val="16"/>
          <w:szCs w:val="16"/>
          <w:color w:val="auto"/>
        </w:rPr>
        <w:t>hereof. The Fair Market Value of these Shares, determined as of the effective date of the Option exercise, will be applied as a credit against the withholding taxes. You shall pay to the Company or the Employer any amount of Tax-Related Items that the Company or the Employer may be required</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5" w:right="459" w:bottom="1440" w:gutter="0" w:footer="0" w:header="0"/>
        </w:sectPr>
      </w:pPr>
    </w:p>
    <w:bookmarkStart w:id="627" w:name="page628"/>
    <w:bookmarkEnd w:id="627"/>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withhold as a result of your participation in the Plan or your purchase of Shares that cannot be satisfied by the means previously described. Finally, you acknowledge that the Company has no obligation to deliver Shares to you until you have satisfied the obligations in connection with the Tax-Related Items as described in this Section. For the avoidance of doubt the above clause will also apply to any taxes or other liabilities due under the local statutes if you are or have been resident outside of the United States during the course of this agreement.</w:t>
      </w:r>
    </w:p>
    <w:p>
      <w:pPr>
        <w:spacing w:after="0" w:line="167" w:lineRule="exact"/>
        <w:rPr>
          <w:sz w:val="20"/>
          <w:szCs w:val="20"/>
          <w:color w:val="auto"/>
        </w:rPr>
      </w:pPr>
    </w:p>
    <w:p>
      <w:pPr>
        <w:ind w:right="120" w:firstLine="436"/>
        <w:spacing w:after="0" w:line="256" w:lineRule="auto"/>
        <w:tabs>
          <w:tab w:leader="none" w:pos="620"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that, depending on your country, you may be subject to insider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and/or market abuse laws, which may affect your ability to acquire or sell the Shares or rights to Shares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acknowledge that it is your responsibility to comply with any applicable restrictions, and you are advised to speak to your personal advisor on this matter.</w:t>
      </w:r>
    </w:p>
    <w:p>
      <w:pPr>
        <w:spacing w:after="0" w:line="187" w:lineRule="exact"/>
        <w:rPr>
          <w:rFonts w:ascii="Arial" w:cs="Arial" w:eastAsia="Arial" w:hAnsi="Arial"/>
          <w:sz w:val="18"/>
          <w:szCs w:val="18"/>
          <w:b w:val="1"/>
          <w:bCs w:val="1"/>
          <w:color w:val="auto"/>
        </w:rPr>
      </w:pPr>
    </w:p>
    <w:p>
      <w:pPr>
        <w:ind w:right="120" w:firstLine="436"/>
        <w:spacing w:after="0" w:line="277" w:lineRule="auto"/>
        <w:tabs>
          <w:tab w:leader="none" w:pos="710" w:val="left"/>
        </w:tabs>
        <w:numPr>
          <w:ilvl w:val="0"/>
          <w:numId w:val="5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color w:val="auto"/>
        </w:rPr>
        <w:t>. The Company and you agree that the Option is granted under and governed by the Notice of Grant, this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the Plan (incorporated herein by reference). You: (i) acknowledge receipt of a copy of the Plan prospectus, (ii) represent that you have carefully read and are familiar with their provisions, and (iii) hereby accept the Option subject to all of the terms and conditions set forth herein and those set forth in the Plan and the Notice of Grant. You hereby agree to accept as binding, conclusive and final all decisions or interpretations of the Committee upon any questions relating to the Plan, the Notice of Grant and the Agreement.</w:t>
      </w:r>
    </w:p>
    <w:p>
      <w:pPr>
        <w:spacing w:after="0" w:line="167" w:lineRule="exact"/>
        <w:rPr>
          <w:rFonts w:ascii="Arial" w:cs="Arial" w:eastAsia="Arial" w:hAnsi="Arial"/>
          <w:sz w:val="17"/>
          <w:szCs w:val="17"/>
          <w:b w:val="1"/>
          <w:bCs w:val="1"/>
          <w:color w:val="auto"/>
        </w:rPr>
      </w:pPr>
    </w:p>
    <w:p>
      <w:pPr>
        <w:ind w:right="180" w:firstLine="436"/>
        <w:spacing w:after="0" w:line="269" w:lineRule="auto"/>
        <w:tabs>
          <w:tab w:leader="none" w:pos="700" w:val="left"/>
        </w:tabs>
        <w:numPr>
          <w:ilvl w:val="0"/>
          <w:numId w:val="5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Consent to Electronic Delivery of All Plan Documents and Disclosures</w:t>
      </w:r>
      <w:r>
        <w:rPr>
          <w:rFonts w:ascii="Arial" w:cs="Arial" w:eastAsia="Arial" w:hAnsi="Arial"/>
          <w:sz w:val="17"/>
          <w:szCs w:val="17"/>
          <w:color w:val="auto"/>
        </w:rPr>
        <w:t>. By your acceptance of this Option, you consent to the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the Notice of Grant, this Agreement,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stockadmin@aegleabio.com.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stockadmin@aegleabio.com. Finally, you understand that you are not required to consent to electronic delivery.</w:t>
      </w:r>
    </w:p>
    <w:p>
      <w:pPr>
        <w:spacing w:after="0" w:line="175" w:lineRule="exact"/>
        <w:rPr>
          <w:rFonts w:ascii="Arial" w:cs="Arial" w:eastAsia="Arial" w:hAnsi="Arial"/>
          <w:sz w:val="17"/>
          <w:szCs w:val="17"/>
          <w:b w:val="1"/>
          <w:bCs w:val="1"/>
          <w:color w:val="auto"/>
        </w:rPr>
      </w:pPr>
    </w:p>
    <w:p>
      <w:pPr>
        <w:ind w:right="20" w:firstLine="436"/>
        <w:spacing w:after="0" w:line="281" w:lineRule="auto"/>
        <w:tabs>
          <w:tab w:leader="none" w:pos="710" w:val="left"/>
        </w:tabs>
        <w:numPr>
          <w:ilvl w:val="0"/>
          <w:numId w:val="5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 and Regulations</w:t>
      </w:r>
      <w:r>
        <w:rPr>
          <w:rFonts w:ascii="Arial" w:cs="Arial" w:eastAsia="Arial" w:hAnsi="Arial"/>
          <w:sz w:val="17"/>
          <w:szCs w:val="17"/>
          <w:color w:val="auto"/>
        </w:rPr>
        <w:t>. The exercise of this Option will be subject to and conditioned upon compliance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you with all applicable state, federal and foreign laws and regulations and with all applicable requirements of any stock exchange or automated quotation system on which the Company’s Common Stock may be listed or quoted at the time of such issuance or transfer. The Shares issued pursuant to this Agreement shall be endorsed with appropriate legends, if any, determined by the Company.</w:t>
      </w:r>
    </w:p>
    <w:p>
      <w:pPr>
        <w:spacing w:after="0" w:line="164" w:lineRule="exact"/>
        <w:rPr>
          <w:rFonts w:ascii="Arial" w:cs="Arial" w:eastAsia="Arial" w:hAnsi="Arial"/>
          <w:sz w:val="17"/>
          <w:szCs w:val="17"/>
          <w:b w:val="1"/>
          <w:bCs w:val="1"/>
          <w:color w:val="auto"/>
        </w:rPr>
      </w:pPr>
    </w:p>
    <w:p>
      <w:pPr>
        <w:ind w:right="20" w:firstLine="436"/>
        <w:spacing w:after="0" w:line="271" w:lineRule="auto"/>
        <w:tabs>
          <w:tab w:leader="none" w:pos="710" w:val="left"/>
        </w:tabs>
        <w:numPr>
          <w:ilvl w:val="0"/>
          <w:numId w:val="5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Severability</w:t>
      </w:r>
      <w:r>
        <w:rPr>
          <w:rFonts w:ascii="Arial" w:cs="Arial" w:eastAsia="Arial" w:hAnsi="Arial"/>
          <w:sz w:val="17"/>
          <w:szCs w:val="17"/>
          <w:color w:val="auto"/>
        </w:rPr>
        <w:t>. If one or more provisions of this Agreement are held to be unenforceable under applicable law,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Agreement, the parties hereby submit and consent to litigation in the exclusive jurisdiction of the State of California and agree that any such litigation shall be conducted only in the courts of California in San Francisco County or the federal courts of the United States for the Northern District of California and no other courts.</w:t>
      </w:r>
    </w:p>
    <w:p>
      <w:pPr>
        <w:spacing w:after="0" w:line="173" w:lineRule="exact"/>
        <w:rPr>
          <w:rFonts w:ascii="Arial" w:cs="Arial" w:eastAsia="Arial" w:hAnsi="Arial"/>
          <w:sz w:val="17"/>
          <w:szCs w:val="17"/>
          <w:b w:val="1"/>
          <w:bCs w:val="1"/>
          <w:color w:val="auto"/>
        </w:rPr>
      </w:pPr>
    </w:p>
    <w:p>
      <w:pPr>
        <w:ind w:right="300" w:firstLine="436"/>
        <w:spacing w:after="0" w:line="282" w:lineRule="auto"/>
        <w:tabs>
          <w:tab w:leader="none" w:pos="710"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w:t>
      </w:r>
      <w:r>
        <w:rPr>
          <w:rFonts w:ascii="Arial" w:cs="Arial" w:eastAsia="Arial" w:hAnsi="Arial"/>
          <w:sz w:val="18"/>
          <w:szCs w:val="18"/>
          <w:color w:val="auto"/>
        </w:rPr>
        <w:t>. Nothing in this Agreement shall affect in any manner whatsoever the right or power of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of the Company, to terminate your Service, for any reason, with or without Cause.</w:t>
      </w:r>
    </w:p>
    <w:p>
      <w:pPr>
        <w:spacing w:after="0" w:line="161" w:lineRule="exact"/>
        <w:rPr>
          <w:rFonts w:ascii="Arial" w:cs="Arial" w:eastAsia="Arial" w:hAnsi="Arial"/>
          <w:sz w:val="18"/>
          <w:szCs w:val="18"/>
          <w:b w:val="1"/>
          <w:bCs w:val="1"/>
          <w:color w:val="auto"/>
        </w:rPr>
      </w:pPr>
    </w:p>
    <w:p>
      <w:pPr>
        <w:ind w:firstLine="436"/>
        <w:spacing w:after="0" w:line="282" w:lineRule="auto"/>
        <w:tabs>
          <w:tab w:leader="none" w:pos="710"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w:t>
      </w:r>
      <w:r>
        <w:rPr>
          <w:rFonts w:ascii="Arial" w:cs="Arial" w:eastAsia="Arial" w:hAnsi="Arial"/>
          <w:sz w:val="18"/>
          <w:szCs w:val="18"/>
          <w:color w:val="auto"/>
        </w:rPr>
        <w:t>. In the event of a stock split, a stock dividend or a similar change in Company stock, the number of Shares covered by this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price per Share may be adjusted pursuant to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628" w:name="page629"/>
    <w:bookmarkEnd w:id="628"/>
    <w:p>
      <w:pPr>
        <w:ind w:right="140" w:firstLine="436"/>
        <w:spacing w:after="0" w:line="281" w:lineRule="auto"/>
        <w:tabs>
          <w:tab w:leader="none" w:pos="710" w:val="left"/>
        </w:tabs>
        <w:numPr>
          <w:ilvl w:val="0"/>
          <w:numId w:val="5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 Subject to Company Clawback or Recoupment</w:t>
      </w:r>
      <w:r>
        <w:rPr>
          <w:rFonts w:ascii="Arial" w:cs="Arial" w:eastAsia="Arial" w:hAnsi="Arial"/>
          <w:sz w:val="17"/>
          <w:szCs w:val="17"/>
          <w:color w:val="auto"/>
        </w:rPr>
        <w:t>. To the extent permitted by applicable law, the Option shall be subject to clawback</w:t>
      </w:r>
      <w:r>
        <w:rPr>
          <w:rFonts w:ascii="Arial" w:cs="Arial" w:eastAsia="Arial" w:hAnsi="Arial"/>
          <w:sz w:val="17"/>
          <w:szCs w:val="17"/>
          <w:b w:val="1"/>
          <w:bCs w:val="1"/>
          <w:color w:val="auto"/>
        </w:rPr>
        <w:t xml:space="preserve"> </w:t>
      </w:r>
      <w:r>
        <w:rPr>
          <w:rFonts w:ascii="Arial" w:cs="Arial" w:eastAsia="Arial" w:hAnsi="Arial"/>
          <w:sz w:val="17"/>
          <w:szCs w:val="17"/>
          <w:color w:val="auto"/>
        </w:rPr>
        <w:t>or recoupment pursuant to any compensation clawback or recoupment policy adopted by the Board or required by law during the term of your employment or other Service that is applicable to you. In addition to any other remedies available under such policy, applicable law may require the cancellation of your Option (whether vested or unvested) and the recoupment of any gains realized with respect to your Option.</w:t>
      </w:r>
    </w:p>
    <w:p>
      <w:pPr>
        <w:spacing w:after="0" w:line="164" w:lineRule="exact"/>
        <w:rPr>
          <w:rFonts w:ascii="Arial" w:cs="Arial" w:eastAsia="Arial" w:hAnsi="Arial"/>
          <w:sz w:val="17"/>
          <w:szCs w:val="17"/>
          <w:b w:val="1"/>
          <w:bCs w:val="1"/>
          <w:color w:val="auto"/>
        </w:rPr>
      </w:pPr>
    </w:p>
    <w:p>
      <w:pPr>
        <w:ind w:firstLine="436"/>
        <w:spacing w:after="0" w:line="258" w:lineRule="auto"/>
        <w:tabs>
          <w:tab w:leader="none" w:pos="710"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Plan and the Notice constitute the entire agreement and understanding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relating to the subject matter herein and supersede all prior discussions between them. Any prior agreements, commitments or negotiations concerning this Option are superseded. No modification of or amendment to this Agreement, nor any waiver of any rights under this Agreement, shall be effective unless in writing and signed by the parties to this Agreement. The failure by either party to enforce any rights under this Agreement shall not be construed as a waiver of any rights of such party.</w:t>
      </w:r>
    </w:p>
    <w:p>
      <w:pPr>
        <w:spacing w:after="0" w:line="187" w:lineRule="exact"/>
        <w:rPr>
          <w:sz w:val="20"/>
          <w:szCs w:val="20"/>
          <w:color w:val="auto"/>
        </w:rPr>
      </w:pPr>
    </w:p>
    <w:p>
      <w:pPr>
        <w:jc w:val="center"/>
        <w:ind w:right="520"/>
        <w:spacing w:after="0" w:line="449" w:lineRule="auto"/>
        <w:rPr>
          <w:sz w:val="20"/>
          <w:szCs w:val="20"/>
          <w:color w:val="auto"/>
        </w:rPr>
      </w:pPr>
      <w:r>
        <w:rPr>
          <w:rFonts w:ascii="Arial" w:cs="Arial" w:eastAsia="Arial" w:hAnsi="Arial"/>
          <w:sz w:val="18"/>
          <w:szCs w:val="18"/>
          <w:color w:val="auto"/>
        </w:rPr>
        <w:t>BY ACCEPTING THIS OPTION, YOU AGREE TO ALL OF THE TERMS AND CONDITIONS DESCRIBED ABOVE AND IN THE PLAN. 5</w:t>
      </w:r>
    </w:p>
    <w:p>
      <w:pPr>
        <w:sectPr>
          <w:pgSz w:w="11900" w:h="16838" w:orient="portrait"/>
          <w:cols w:equalWidth="0" w:num="1">
            <w:col w:w="11000"/>
          </w:cols>
          <w:pgMar w:left="440" w:top="271" w:right="459" w:bottom="1440" w:gutter="0" w:footer="0" w:header="0"/>
        </w:sectPr>
      </w:pPr>
    </w:p>
    <w:bookmarkStart w:id="629" w:name="page630"/>
    <w:bookmarkEnd w:id="629"/>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SPYRE 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2023 EQUITY INCENTIVE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BY THE BOARD OF DIRECTORS: May 19, 2023</w:t>
      </w:r>
    </w:p>
    <w:p>
      <w:pPr>
        <w:spacing w:after="0" w:line="225" w:lineRule="exact"/>
        <w:rPr>
          <w:sz w:val="20"/>
          <w:szCs w:val="20"/>
          <w:color w:val="auto"/>
        </w:rPr>
      </w:pPr>
    </w:p>
    <w:p>
      <w:pPr>
        <w:ind w:left="184" w:hanging="184"/>
        <w:spacing w:after="0"/>
        <w:tabs>
          <w:tab w:leader="none" w:pos="184"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225" w:lineRule="exact"/>
        <w:rPr>
          <w:sz w:val="20"/>
          <w:szCs w:val="20"/>
          <w:color w:val="auto"/>
        </w:rPr>
      </w:pPr>
    </w:p>
    <w:p>
      <w:pPr>
        <w:ind w:left="4" w:right="100" w:firstLine="440"/>
        <w:spacing w:after="0" w:line="272" w:lineRule="auto"/>
        <w:rPr>
          <w:sz w:val="20"/>
          <w:szCs w:val="20"/>
          <w:color w:val="auto"/>
        </w:rPr>
      </w:pPr>
      <w:r>
        <w:rPr>
          <w:rFonts w:ascii="Arial" w:cs="Arial" w:eastAsia="Arial" w:hAnsi="Arial"/>
          <w:sz w:val="17"/>
          <w:szCs w:val="17"/>
          <w:color w:val="auto"/>
        </w:rPr>
        <w:t>The purpose of this 2023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of Spyre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w:t>
      </w:r>
      <w:r>
        <w:rPr>
          <w:rFonts w:ascii="Arial" w:cs="Arial" w:eastAsia="Arial" w:hAnsi="Arial"/>
          <w:sz w:val="17"/>
          <w:szCs w:val="17"/>
          <w:b w:val="1"/>
          <w:bCs w:val="1"/>
          <w:color w:val="auto"/>
        </w:rPr>
        <w:t>Code</w:t>
      </w:r>
      <w:r>
        <w:rPr>
          <w:rFonts w:ascii="Arial" w:cs="Arial" w:eastAsia="Arial" w:hAnsi="Arial"/>
          <w:sz w:val="17"/>
          <w:szCs w:val="17"/>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w:t>
      </w:r>
    </w:p>
    <w:p>
      <w:pPr>
        <w:spacing w:after="0" w:line="172" w:lineRule="exact"/>
        <w:rPr>
          <w:sz w:val="20"/>
          <w:szCs w:val="20"/>
          <w:color w:val="auto"/>
        </w:rPr>
      </w:pPr>
    </w:p>
    <w:p>
      <w:pPr>
        <w:ind w:left="184" w:hanging="184"/>
        <w:spacing w:after="0"/>
        <w:tabs>
          <w:tab w:leader="none" w:pos="184" w:val="left"/>
        </w:tabs>
        <w:numPr>
          <w:ilvl w:val="0"/>
          <w:numId w:val="5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229"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All of the Company’s employees, officers, directors, consultants and advisors are eligible to be granted options, restricted stock,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and other stock-based awards (each, an “</w:t>
      </w:r>
      <w:r>
        <w:rPr>
          <w:rFonts w:ascii="Arial" w:cs="Arial" w:eastAsia="Arial" w:hAnsi="Arial"/>
          <w:sz w:val="18"/>
          <w:szCs w:val="18"/>
          <w:b w:val="1"/>
          <w:bCs w:val="1"/>
          <w:color w:val="auto"/>
        </w:rPr>
        <w:t>Award</w:t>
      </w:r>
      <w:r>
        <w:rPr>
          <w:rFonts w:ascii="Arial" w:cs="Arial" w:eastAsia="Arial" w:hAnsi="Arial"/>
          <w:sz w:val="18"/>
          <w:szCs w:val="18"/>
          <w:color w:val="auto"/>
        </w:rPr>
        <w:t>”) under the Plan. Each person who receives an Award under the Plan is deemed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180" w:lineRule="exact"/>
        <w:rPr>
          <w:sz w:val="20"/>
          <w:szCs w:val="20"/>
          <w:color w:val="auto"/>
        </w:rPr>
      </w:pPr>
    </w:p>
    <w:p>
      <w:pPr>
        <w:ind w:left="184" w:hanging="184"/>
        <w:spacing w:after="0"/>
        <w:tabs>
          <w:tab w:leader="none" w:pos="184"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and Delegation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right="100" w:firstLine="436"/>
        <w:spacing w:after="0" w:line="272" w:lineRule="auto"/>
        <w:tabs>
          <w:tab w:leader="none" w:pos="689" w:val="left"/>
        </w:tabs>
        <w:numPr>
          <w:ilvl w:val="1"/>
          <w:numId w:val="596"/>
        </w:numPr>
        <w:rPr>
          <w:rFonts w:ascii="Arial" w:cs="Arial" w:eastAsia="Arial" w:hAnsi="Arial"/>
          <w:sz w:val="17"/>
          <w:szCs w:val="17"/>
          <w:color w:val="auto"/>
        </w:rPr>
      </w:pPr>
      <w:r>
        <w:rPr>
          <w:rFonts w:ascii="Arial" w:cs="Arial" w:eastAsia="Arial" w:hAnsi="Arial"/>
          <w:sz w:val="17"/>
          <w:szCs w:val="17"/>
          <w:u w:val="single" w:color="auto"/>
          <w:color w:val="auto"/>
        </w:rPr>
        <w:t>Administration by Board of Directors</w:t>
      </w:r>
      <w:r>
        <w:rPr>
          <w:rFonts w:ascii="Arial" w:cs="Arial" w:eastAsia="Arial" w:hAnsi="Arial"/>
          <w:sz w:val="17"/>
          <w:szCs w:val="17"/>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77" w:lineRule="exact"/>
        <w:rPr>
          <w:rFonts w:ascii="Arial" w:cs="Arial" w:eastAsia="Arial" w:hAnsi="Arial"/>
          <w:sz w:val="17"/>
          <w:szCs w:val="17"/>
          <w:color w:val="auto"/>
        </w:rPr>
      </w:pPr>
    </w:p>
    <w:p>
      <w:pPr>
        <w:ind w:left="4" w:right="20" w:firstLine="436"/>
        <w:spacing w:after="0" w:line="257" w:lineRule="auto"/>
        <w:tabs>
          <w:tab w:leader="none" w:pos="699" w:val="left"/>
        </w:tabs>
        <w:numPr>
          <w:ilvl w:val="1"/>
          <w:numId w:val="596"/>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permitted by applicable law, the Board may delegate any or all of its powers under the Plan to one or more committees or subcommittees of the Board (a “</w:t>
      </w:r>
      <w:r>
        <w:rPr>
          <w:rFonts w:ascii="Arial" w:cs="Arial" w:eastAsia="Arial" w:hAnsi="Arial"/>
          <w:sz w:val="18"/>
          <w:szCs w:val="18"/>
          <w:b w:val="1"/>
          <w:bCs w:val="1"/>
          <w:color w:val="auto"/>
        </w:rPr>
        <w:t>Committee</w:t>
      </w:r>
      <w:r>
        <w:rPr>
          <w:rFonts w:ascii="Arial" w:cs="Arial" w:eastAsia="Arial" w:hAnsi="Arial"/>
          <w:sz w:val="18"/>
          <w:szCs w:val="18"/>
          <w:color w:val="auto"/>
        </w:rPr>
        <w:t>”). All references in the Plan to the “</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or a Committee of the Board or the officers referred to in Section 3(c) to the extent that the Board’s powers or authority under the Plan have been delegated to such Committee or officers. The Board may abolish any Committee at any time, and notwithstanding any delegation of authority, the Board will always retain full authority to take any action permitted under the Plan.</w:t>
      </w:r>
    </w:p>
    <w:p>
      <w:pPr>
        <w:spacing w:after="0" w:line="187" w:lineRule="exact"/>
        <w:rPr>
          <w:rFonts w:ascii="Arial" w:cs="Arial" w:eastAsia="Arial" w:hAnsi="Arial"/>
          <w:sz w:val="18"/>
          <w:szCs w:val="18"/>
          <w:color w:val="auto"/>
        </w:rPr>
      </w:pPr>
    </w:p>
    <w:p>
      <w:pPr>
        <w:ind w:left="4" w:right="40" w:firstLine="436"/>
        <w:spacing w:after="0" w:line="263" w:lineRule="auto"/>
        <w:tabs>
          <w:tab w:leader="none" w:pos="689" w:val="left"/>
        </w:tabs>
        <w:numPr>
          <w:ilvl w:val="1"/>
          <w:numId w:val="596"/>
        </w:numPr>
        <w:rPr>
          <w:rFonts w:ascii="Arial" w:cs="Arial" w:eastAsia="Arial" w:hAnsi="Arial"/>
          <w:sz w:val="18"/>
          <w:szCs w:val="18"/>
          <w:color w:val="auto"/>
        </w:rPr>
      </w:pPr>
      <w:r>
        <w:rPr>
          <w:rFonts w:ascii="Arial" w:cs="Arial" w:eastAsia="Arial" w:hAnsi="Arial"/>
          <w:sz w:val="18"/>
          <w:szCs w:val="18"/>
          <w:u w:val="single" w:color="auto"/>
          <w:color w:val="auto"/>
        </w:rPr>
        <w:t>Delegation to Officers</w:t>
      </w:r>
      <w:r>
        <w:rPr>
          <w:rFonts w:ascii="Arial" w:cs="Arial" w:eastAsia="Arial" w:hAnsi="Arial"/>
          <w:sz w:val="18"/>
          <w:szCs w:val="18"/>
          <w:color w:val="auto"/>
        </w:rPr>
        <w:t xml:space="preserve">. To the extent permitted by applicable law, the Board may delegate to one or more officers of the Company the power to grant Awards (subject to any limitations under the Plan) to employees or officers of the Company and to exercise such other powers under the Plan as the Board may determine,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Board shall fix the terms of the Awards to be granted by such</w:t>
      </w:r>
    </w:p>
    <w:p>
      <w:pPr>
        <w:sectPr>
          <w:pgSz w:w="11900" w:h="16838" w:orient="portrait"/>
          <w:cols w:equalWidth="0" w:num="1">
            <w:col w:w="11024"/>
          </w:cols>
          <w:pgMar w:left="436" w:top="122" w:right="439" w:bottom="1440" w:gutter="0" w:footer="0" w:header="0"/>
        </w:sectPr>
      </w:pPr>
    </w:p>
    <w:bookmarkStart w:id="630" w:name="page631"/>
    <w:bookmarkEnd w:id="630"/>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officers (including the exercise price of such Awards, which may include a formula by which the exercise price will be determined) and the maximum number of shares subject to Awards that the officers may grant;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no officer shall be authorized to grant Awards to any “executive officer” of the Company (as defined by Rule 3b-7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to any “officer” of the Company (as defined by Rule 16a-1 under the Exchange Act). The Board may rescind any such delegation at any time.</w:t>
      </w:r>
    </w:p>
    <w:p>
      <w:pPr>
        <w:spacing w:after="0" w:line="153" w:lineRule="exact"/>
        <w:rPr>
          <w:sz w:val="20"/>
          <w:szCs w:val="20"/>
          <w:color w:val="auto"/>
        </w:rPr>
      </w:pPr>
    </w:p>
    <w:p>
      <w:pPr>
        <w:ind w:left="184" w:hanging="184"/>
        <w:spacing w:after="0"/>
        <w:tabs>
          <w:tab w:leader="none" w:pos="184" w:val="left"/>
        </w:tabs>
        <w:numPr>
          <w:ilvl w:val="0"/>
          <w:numId w:val="5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Available for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firstLine="436"/>
        <w:spacing w:after="0" w:line="286" w:lineRule="auto"/>
        <w:tabs>
          <w:tab w:leader="none" w:pos="689" w:val="left"/>
        </w:tabs>
        <w:numPr>
          <w:ilvl w:val="1"/>
          <w:numId w:val="597"/>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under Section 8 hereof, Awards may be made under the Plan covering up to 2,049,133 shares of common stock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all of which may be granted as Incentive Stock Options (as hereinafter defined). If any Award expires,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(whether by actual delivery or attestation) or tendered to the Company by a Participant to satisfy the applicable exercise or purchase price of an Award and/or to satisfy any applicable tax withholding obligation (including shares retained by the Company from the Award being exercised or purchased and/or creating the tax obligation) shall again be available for the grant of Awards under the Plan. However, in the case of Incentive Stock Options) the foregoing provisions shall be subject to any limitations under the Code. Shares of Common Stock issued under the Plan may consist in whole or in part of authorized but unissued shares, shares purchased on the open market, or treasury shares. At no time while there is any Option (as defined below) outstanding and held by a Participant who was a resident of the State of California on the date of grant of such Option, shall the total number of shares of Common Stock issuable upon exercise of all outstanding options and the total number of shares provided for under any stock bonus or similar plan or agreement of the Company exceed the applicable percentage as calculated in accordance with the conditions and exclusions of Section 260.140.45 of the California Code of Regulations (the “</w:t>
      </w:r>
      <w:r>
        <w:rPr>
          <w:rFonts w:ascii="Arial" w:cs="Arial" w:eastAsia="Arial" w:hAnsi="Arial"/>
          <w:sz w:val="16"/>
          <w:szCs w:val="16"/>
          <w:b w:val="1"/>
          <w:bCs w:val="1"/>
          <w:color w:val="auto"/>
        </w:rPr>
        <w:t>California Regulations</w:t>
      </w:r>
      <w:r>
        <w:rPr>
          <w:rFonts w:ascii="Arial" w:cs="Arial" w:eastAsia="Arial" w:hAnsi="Arial"/>
          <w:sz w:val="16"/>
          <w:szCs w:val="16"/>
          <w:color w:val="auto"/>
        </w:rPr>
        <w:t>”), based on the shares of the Company which are outstanding at the time the calculation is made.</w:t>
      </w:r>
    </w:p>
    <w:p>
      <w:pPr>
        <w:spacing w:after="0" w:line="167" w:lineRule="exact"/>
        <w:rPr>
          <w:rFonts w:ascii="Arial" w:cs="Arial" w:eastAsia="Arial" w:hAnsi="Arial"/>
          <w:sz w:val="16"/>
          <w:szCs w:val="16"/>
          <w:color w:val="auto"/>
        </w:rPr>
      </w:pPr>
    </w:p>
    <w:p>
      <w:pPr>
        <w:ind w:left="4" w:right="40" w:firstLine="436"/>
        <w:spacing w:after="0" w:line="275" w:lineRule="auto"/>
        <w:tabs>
          <w:tab w:leader="none" w:pos="699" w:val="left"/>
        </w:tabs>
        <w:numPr>
          <w:ilvl w:val="1"/>
          <w:numId w:val="597"/>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 merger or consolidation of an entity with the Company or the acquisition by the Company of property or stock of an entity, the Board may grant Awards in substitution for any options or other stock or stock-based awards granted prior to such merger or consolidation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hereof, except as may be required by reason of Section 422 and related provisions of the Code.</w:t>
      </w:r>
    </w:p>
    <w:p>
      <w:pPr>
        <w:spacing w:after="0" w:line="172" w:lineRule="exact"/>
        <w:rPr>
          <w:rFonts w:ascii="Arial" w:cs="Arial" w:eastAsia="Arial" w:hAnsi="Arial"/>
          <w:sz w:val="17"/>
          <w:szCs w:val="17"/>
          <w:color w:val="auto"/>
        </w:rPr>
      </w:pPr>
    </w:p>
    <w:p>
      <w:pPr>
        <w:ind w:left="184" w:hanging="184"/>
        <w:spacing w:after="0"/>
        <w:tabs>
          <w:tab w:leader="none" w:pos="184" w:val="left"/>
        </w:tabs>
        <w:numPr>
          <w:ilvl w:val="0"/>
          <w:numId w:val="5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 w:right="20" w:firstLine="436"/>
        <w:spacing w:after="0" w:line="261" w:lineRule="auto"/>
        <w:tabs>
          <w:tab w:leader="none" w:pos="689" w:val="left"/>
        </w:tabs>
        <w:numPr>
          <w:ilvl w:val="1"/>
          <w:numId w:val="59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w:t>
      </w:r>
      <w:r>
        <w:rPr>
          <w:rFonts w:ascii="Arial" w:cs="Arial" w:eastAsia="Arial" w:hAnsi="Arial"/>
          <w:sz w:val="18"/>
          <w:szCs w:val="18"/>
          <w:b w:val="1"/>
          <w:bCs w:val="1"/>
          <w:color w:val="auto"/>
        </w:rPr>
        <w:t>Option</w:t>
      </w:r>
      <w:r>
        <w:rPr>
          <w:rFonts w:ascii="Arial" w:cs="Arial" w:eastAsia="Arial" w:hAnsi="Arial"/>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shall be designated a “</w:t>
      </w:r>
      <w:r>
        <w:rPr>
          <w:rFonts w:ascii="Arial" w:cs="Arial" w:eastAsia="Arial" w:hAnsi="Arial"/>
          <w:sz w:val="18"/>
          <w:szCs w:val="18"/>
          <w:b w:val="1"/>
          <w:bCs w:val="1"/>
          <w:color w:val="auto"/>
        </w:rPr>
        <w:t>Nonstatutory Stock Option</w:t>
      </w:r>
      <w:r>
        <w:rPr>
          <w:rFonts w:ascii="Arial" w:cs="Arial" w:eastAsia="Arial" w:hAnsi="Arial"/>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5" w:right="479" w:bottom="1440" w:gutter="0" w:footer="0" w:header="0"/>
        </w:sectPr>
      </w:pPr>
    </w:p>
    <w:bookmarkStart w:id="631" w:name="page632"/>
    <w:bookmarkEnd w:id="631"/>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Arial" w:cs="Arial" w:eastAsia="Arial" w:hAnsi="Arial"/>
          <w:sz w:val="17"/>
          <w:szCs w:val="17"/>
          <w:u w:val="single" w:color="auto"/>
          <w:color w:val="auto"/>
        </w:rPr>
        <w:t>Incentive Stock Options</w:t>
      </w:r>
      <w:r>
        <w:rPr>
          <w:rFonts w:ascii="Arial" w:cs="Arial" w:eastAsia="Arial" w:hAnsi="Arial"/>
          <w:sz w:val="17"/>
          <w:szCs w:val="17"/>
          <w:color w:val="auto"/>
        </w:rPr>
        <w:t>. An Option that the Board intends to be an “incentive stock option” as defined in Section 422 of the Code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Incentive Stock Option</w:t>
      </w:r>
      <w:r>
        <w:rPr>
          <w:rFonts w:ascii="Arial" w:cs="Arial" w:eastAsia="Arial" w:hAnsi="Arial"/>
          <w:sz w:val="16"/>
          <w:szCs w:val="16"/>
          <w:color w:val="auto"/>
        </w:rPr>
        <w:t>”) shall only be granted to employees of the Company (including any of the Company’s present or future parent or subsidiary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corporations as defined in Sections 424(e) or (f) of the Code but excluding any other business venture (including, without limitation, joint venture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in which the Company has a controlling interest). All Options intended to qualify as Incentive Stock Options shall be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and shall be construed consistently with the requirements of Section 422 of the Code, and without limiting generality of the foregoing, such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include terms that comply with the eligibility standards described section 422(b) of the Code. Subject to the remaining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Section 5(b), if an Option intended to qualify as an Incentive Stock Option does not so qualify, the Board may, at its discretion, amend the Plan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Award with respect to such Option so that such Option qualifies as an Incentive Stock Option. To the extent that the aggregate Fair Market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at the time of grant) of Common Stock with respect to which Incentive Stock Options are exercisable for the first time by any Participant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any calendar year (under all plans of the Company and any affiliates) exceeds $100,000 (or such other limit established in the Code)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does not comply with the rules governing Incentive Stock Options, the Options or portions thereof that exceed such limit (according to the order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which they were granted) or otherwise do not comply with the rules will be treated as Nonstatutory Stock Options, notwithstanding any contrary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provision of the applicable Award. Neither the Company nor the Board shall have any liability to a Participant, or any other party, (i) if an Option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any part thereof) which is intended to qualify as an Incentive Stock Option fails to qualify as such or (ii) for any action or omission by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that causes an Option not to qualify as an Incentive Stock Option, including without limitation the conversion of an Incentive Stock Option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Nonstatutory Stock Option or the grant of an Option intended as an Incentive Stock Option that fails to satisfy the requirements under the Code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applicable to an Incentive Stock Option.</w:t>
      </w:r>
    </w:p>
    <w:p>
      <w:pPr>
        <w:spacing w:after="0" w:line="211" w:lineRule="exact"/>
        <w:rPr>
          <w:sz w:val="20"/>
          <w:szCs w:val="20"/>
          <w:color w:val="auto"/>
        </w:rPr>
      </w:pPr>
    </w:p>
    <w:p>
      <w:pPr>
        <w:ind w:right="80" w:firstLine="436"/>
        <w:spacing w:after="0" w:line="255" w:lineRule="auto"/>
        <w:tabs>
          <w:tab w:leader="none" w:pos="685"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shall establish the exercise price of each Option and specify the exercise price in the applicable option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(such employee, a “</w:t>
      </w:r>
      <w:r>
        <w:rPr>
          <w:rFonts w:ascii="Arial" w:cs="Arial" w:eastAsia="Arial" w:hAnsi="Arial"/>
          <w:sz w:val="18"/>
          <w:szCs w:val="18"/>
          <w:b w:val="1"/>
          <w:bCs w:val="1"/>
          <w:color w:val="auto"/>
        </w:rPr>
        <w:t>10% Holder</w:t>
      </w:r>
      <w:r>
        <w:rPr>
          <w:rFonts w:ascii="Arial" w:cs="Arial" w:eastAsia="Arial" w:hAnsi="Arial"/>
          <w:sz w:val="18"/>
          <w:szCs w:val="18"/>
          <w:color w:val="auto"/>
        </w:rPr>
        <w:t>”), the per share exercise price shall be no less than 110% of the Fair Market Value on the date the Option is granted.</w:t>
      </w:r>
    </w:p>
    <w:p>
      <w:pPr>
        <w:spacing w:after="0" w:line="192" w:lineRule="exact"/>
        <w:rPr>
          <w:rFonts w:ascii="Arial" w:cs="Arial" w:eastAsia="Arial" w:hAnsi="Arial"/>
          <w:sz w:val="18"/>
          <w:szCs w:val="18"/>
          <w:color w:val="auto"/>
        </w:rPr>
      </w:pPr>
    </w:p>
    <w:p>
      <w:pPr>
        <w:jc w:val="both"/>
        <w:ind w:right="120" w:firstLine="436"/>
        <w:spacing w:after="0" w:line="263" w:lineRule="auto"/>
        <w:tabs>
          <w:tab w:leader="none" w:pos="695"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Each Option shall be exercisable at such times and subject to such terms and conditions as the Board may specify in the applicable option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term of any Option shall not exceed 10 years. In the case of an Incentive Stock Option granted to a 10% Holder, the term of the Option shall not exceed five years.</w:t>
      </w:r>
    </w:p>
    <w:p>
      <w:pPr>
        <w:spacing w:after="0" w:line="183" w:lineRule="exact"/>
        <w:rPr>
          <w:rFonts w:ascii="Arial" w:cs="Arial" w:eastAsia="Arial" w:hAnsi="Arial"/>
          <w:sz w:val="18"/>
          <w:szCs w:val="18"/>
          <w:color w:val="auto"/>
        </w:rPr>
      </w:pPr>
    </w:p>
    <w:p>
      <w:pPr>
        <w:ind w:firstLine="436"/>
        <w:spacing w:after="0" w:line="289" w:lineRule="auto"/>
        <w:tabs>
          <w:tab w:leader="none" w:pos="685" w:val="left"/>
        </w:tabs>
        <w:numPr>
          <w:ilvl w:val="0"/>
          <w:numId w:val="598"/>
        </w:numPr>
        <w:rPr>
          <w:rFonts w:ascii="Arial" w:cs="Arial" w:eastAsia="Arial" w:hAnsi="Arial"/>
          <w:sz w:val="16"/>
          <w:szCs w:val="16"/>
          <w:color w:val="auto"/>
        </w:rPr>
      </w:pPr>
      <w:r>
        <w:rPr>
          <w:rFonts w:ascii="Arial" w:cs="Arial" w:eastAsia="Arial" w:hAnsi="Arial"/>
          <w:sz w:val="16"/>
          <w:szCs w:val="16"/>
          <w:u w:val="single" w:color="auto"/>
          <w:color w:val="auto"/>
        </w:rPr>
        <w:t>Exercise of Option; Notification of Disposition</w:t>
      </w:r>
      <w:r>
        <w:rPr>
          <w:rFonts w:ascii="Arial" w:cs="Arial" w:eastAsia="Arial" w:hAnsi="Arial"/>
          <w:sz w:val="16"/>
          <w:szCs w:val="16"/>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Unless otherwise determined by the Board, an Option may not be exercised for a fraction of a share of Common Stock. Shares of Common Stock subject to the Option will be delivered by the Company as soon as practicable following exercise.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Reorganization Event). Such notice shall specify the date of such disposition or other transfer and the amount realized, in cash, other property, assumption of indebtedness or other consideration, by the Participant in such disposition or other transfer.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32" w:name="page633"/>
    <w:bookmarkEnd w:id="632"/>
    <w:p>
      <w:pPr>
        <w:ind w:left="664" w:hanging="224"/>
        <w:spacing w:after="0"/>
        <w:tabs>
          <w:tab w:leader="none" w:pos="664" w:val="left"/>
        </w:tabs>
        <w:numPr>
          <w:ilvl w:val="1"/>
          <w:numId w:val="5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Upon Exercise.</w:t>
      </w:r>
      <w:r>
        <w:rPr>
          <w:rFonts w:ascii="Arial" w:cs="Arial" w:eastAsia="Arial" w:hAnsi="Arial"/>
          <w:sz w:val="17"/>
          <w:szCs w:val="17"/>
          <w:color w:val="auto"/>
        </w:rPr>
        <w:t xml:space="preserve"> Common Stock purchased upon the exercise of an Option granted under the Plan shall be paid for as follows:</w:t>
      </w:r>
    </w:p>
    <w:p>
      <w:pPr>
        <w:spacing w:after="0" w:line="128" w:lineRule="exact"/>
        <w:rPr>
          <w:rFonts w:ascii="Arial" w:cs="Arial" w:eastAsia="Arial" w:hAnsi="Arial"/>
          <w:sz w:val="17"/>
          <w:szCs w:val="17"/>
          <w:color w:val="auto"/>
        </w:rPr>
      </w:pPr>
    </w:p>
    <w:p>
      <w:pPr>
        <w:ind w:left="1204" w:hanging="213"/>
        <w:spacing w:after="0"/>
        <w:tabs>
          <w:tab w:leader="none" w:pos="1204" w:val="left"/>
        </w:tabs>
        <w:numPr>
          <w:ilvl w:val="2"/>
          <w:numId w:val="599"/>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225" w:lineRule="exact"/>
        <w:rPr>
          <w:rFonts w:ascii="Arial" w:cs="Arial" w:eastAsia="Arial" w:hAnsi="Arial"/>
          <w:sz w:val="18"/>
          <w:szCs w:val="18"/>
          <w:color w:val="auto"/>
        </w:rPr>
      </w:pPr>
    </w:p>
    <w:p>
      <w:pPr>
        <w:ind w:left="4" w:right="100" w:firstLine="987"/>
        <w:spacing w:after="0" w:line="257" w:lineRule="auto"/>
        <w:tabs>
          <w:tab w:leader="none" w:pos="1260" w:val="left"/>
        </w:tabs>
        <w:numPr>
          <w:ilvl w:val="2"/>
          <w:numId w:val="599"/>
        </w:numPr>
        <w:rPr>
          <w:rFonts w:ascii="Arial" w:cs="Arial" w:eastAsia="Arial" w:hAnsi="Arial"/>
          <w:sz w:val="18"/>
          <w:szCs w:val="18"/>
          <w:color w:val="auto"/>
        </w:rPr>
      </w:pPr>
      <w:r>
        <w:rPr>
          <w:rFonts w:ascii="Arial" w:cs="Arial" w:eastAsia="Arial" w:hAnsi="Arial"/>
          <w:sz w:val="18"/>
          <w:szCs w:val="18"/>
          <w:color w:val="auto"/>
        </w:rPr>
        <w:t>when the Common Stock is registered under the Exchange Act, except as may otherwise be provided in the applicable option agreement, by (A) delivery of an irrevocable and unconditional undertaking by a creditworthy broker acceptable to the Company to deliver promptly to the Company sufficient funds to pay the exercise price and any required tax withholding or (B) delivery by the Participant to the Company of a copy of irrevocable and unconditional instructions to a creditworthy broker acceptable to the Company to deliver promptly to the Company cash or a check sufficient to pay the exercise price and any required tax withholding;</w:t>
      </w:r>
    </w:p>
    <w:p>
      <w:pPr>
        <w:spacing w:after="0" w:line="187" w:lineRule="exact"/>
        <w:rPr>
          <w:rFonts w:ascii="Arial" w:cs="Arial" w:eastAsia="Arial" w:hAnsi="Arial"/>
          <w:sz w:val="18"/>
          <w:szCs w:val="18"/>
          <w:color w:val="auto"/>
        </w:rPr>
      </w:pPr>
    </w:p>
    <w:p>
      <w:pPr>
        <w:ind w:left="4" w:right="40" w:firstLine="987"/>
        <w:spacing w:after="0" w:line="255" w:lineRule="auto"/>
        <w:tabs>
          <w:tab w:leader="none" w:pos="1310" w:val="left"/>
        </w:tabs>
        <w:numPr>
          <w:ilvl w:val="2"/>
          <w:numId w:val="599"/>
        </w:numPr>
        <w:rPr>
          <w:rFonts w:ascii="Arial" w:cs="Arial" w:eastAsia="Arial" w:hAnsi="Arial"/>
          <w:sz w:val="18"/>
          <w:szCs w:val="18"/>
          <w:color w:val="auto"/>
        </w:rPr>
      </w:pPr>
      <w:r>
        <w:rPr>
          <w:rFonts w:ascii="Arial" w:cs="Arial" w:eastAsia="Arial" w:hAnsi="Arial"/>
          <w:sz w:val="18"/>
          <w:szCs w:val="18"/>
          <w:color w:val="auto"/>
        </w:rPr>
        <w:t>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 such method of payment is then permitted under applicable law, (B) such Common Stock, if acquired directly from the Company, was owned by the Participant for such minimum period of time, if any, as may be established by the Board in its discretion and (C) such Common Stock is not subject to any repurchase, forfeiture, unfulfilled vesting or other similar requirements;</w:t>
      </w:r>
    </w:p>
    <w:p>
      <w:pPr>
        <w:spacing w:after="0" w:line="192" w:lineRule="exact"/>
        <w:rPr>
          <w:rFonts w:ascii="Arial" w:cs="Arial" w:eastAsia="Arial" w:hAnsi="Arial"/>
          <w:sz w:val="18"/>
          <w:szCs w:val="18"/>
          <w:color w:val="auto"/>
        </w:rPr>
      </w:pPr>
    </w:p>
    <w:p>
      <w:pPr>
        <w:ind w:left="4" w:right="320" w:firstLine="987"/>
        <w:spacing w:after="0" w:line="263" w:lineRule="auto"/>
        <w:tabs>
          <w:tab w:leader="none" w:pos="1300" w:val="left"/>
        </w:tabs>
        <w:numPr>
          <w:ilvl w:val="2"/>
          <w:numId w:val="599"/>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in its sole discretion, by (A) delivery of a promissory note of the Participant to the Company on terms determined by the Board, or (B) payment of such other lawful consideration as the Board may determine;</w:t>
      </w:r>
    </w:p>
    <w:p>
      <w:pPr>
        <w:spacing w:after="0" w:line="183" w:lineRule="exact"/>
        <w:rPr>
          <w:rFonts w:ascii="Arial" w:cs="Arial" w:eastAsia="Arial" w:hAnsi="Arial"/>
          <w:sz w:val="18"/>
          <w:szCs w:val="18"/>
          <w:color w:val="auto"/>
        </w:rPr>
      </w:pPr>
    </w:p>
    <w:p>
      <w:pPr>
        <w:jc w:val="both"/>
        <w:ind w:left="4" w:right="160" w:firstLine="987"/>
        <w:spacing w:after="0" w:line="342" w:lineRule="auto"/>
        <w:tabs>
          <w:tab w:leader="none" w:pos="1250" w:val="left"/>
        </w:tabs>
        <w:numPr>
          <w:ilvl w:val="2"/>
          <w:numId w:val="599"/>
        </w:numPr>
        <w:rPr>
          <w:rFonts w:ascii="Arial" w:cs="Arial" w:eastAsia="Arial" w:hAnsi="Arial"/>
          <w:sz w:val="16"/>
          <w:szCs w:val="16"/>
          <w:color w:val="auto"/>
        </w:rPr>
      </w:pPr>
      <w:r>
        <w:rPr>
          <w:rFonts w:ascii="Arial" w:cs="Arial" w:eastAsia="Arial" w:hAnsi="Arial"/>
          <w:sz w:val="16"/>
          <w:szCs w:val="16"/>
          <w:color w:val="auto"/>
        </w:rPr>
        <w:t>to the extent provided for in the applicable option agreement or approved by the Board, in its sole discretion, by having the Company retain from the shares of Common Stock otherwise issuable upon the exercise of such Option a number of shares valued at their Fair Market Value; or</w:t>
      </w:r>
    </w:p>
    <w:p>
      <w:pPr>
        <w:spacing w:after="0" w:line="123" w:lineRule="exact"/>
        <w:rPr>
          <w:rFonts w:ascii="Arial" w:cs="Arial" w:eastAsia="Arial" w:hAnsi="Arial"/>
          <w:sz w:val="16"/>
          <w:szCs w:val="16"/>
          <w:color w:val="auto"/>
        </w:rPr>
      </w:pPr>
    </w:p>
    <w:p>
      <w:pPr>
        <w:ind w:left="1304" w:hanging="313"/>
        <w:spacing w:after="0"/>
        <w:tabs>
          <w:tab w:leader="none" w:pos="1304" w:val="left"/>
        </w:tabs>
        <w:numPr>
          <w:ilvl w:val="2"/>
          <w:numId w:val="599"/>
        </w:numPr>
        <w:rPr>
          <w:rFonts w:ascii="Arial" w:cs="Arial" w:eastAsia="Arial" w:hAnsi="Arial"/>
          <w:sz w:val="16"/>
          <w:szCs w:val="16"/>
          <w:color w:val="auto"/>
        </w:rPr>
      </w:pPr>
      <w:r>
        <w:rPr>
          <w:rFonts w:ascii="Arial" w:cs="Arial" w:eastAsia="Arial" w:hAnsi="Arial"/>
          <w:sz w:val="16"/>
          <w:szCs w:val="16"/>
          <w:color w:val="auto"/>
        </w:rPr>
        <w:t>by any combination of the above permitted forms of payment or any other lawful consideration as approved by the Board in its sole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210" w:lineRule="exact"/>
        <w:rPr>
          <w:rFonts w:ascii="Arial" w:cs="Arial" w:eastAsia="Arial" w:hAnsi="Arial"/>
          <w:sz w:val="16"/>
          <w:szCs w:val="16"/>
          <w:color w:val="auto"/>
        </w:rPr>
      </w:pPr>
    </w:p>
    <w:p>
      <w:pPr>
        <w:jc w:val="both"/>
        <w:ind w:left="4" w:right="20" w:firstLine="436"/>
        <w:spacing w:after="0" w:line="259" w:lineRule="auto"/>
        <w:tabs>
          <w:tab w:leader="none" w:pos="699" w:val="left"/>
        </w:tabs>
        <w:numPr>
          <w:ilvl w:val="1"/>
          <w:numId w:val="599"/>
        </w:numPr>
        <w:rPr>
          <w:rFonts w:ascii="Arial" w:cs="Arial" w:eastAsia="Arial" w:hAnsi="Arial"/>
          <w:sz w:val="18"/>
          <w:szCs w:val="18"/>
          <w:color w:val="auto"/>
        </w:rPr>
      </w:pPr>
      <w:r>
        <w:rPr>
          <w:rFonts w:ascii="Arial" w:cs="Arial" w:eastAsia="Arial" w:hAnsi="Arial"/>
          <w:sz w:val="18"/>
          <w:szCs w:val="18"/>
          <w:u w:val="single" w:color="auto"/>
          <w:color w:val="auto"/>
        </w:rPr>
        <w:t>Early Exercise of Options</w:t>
      </w:r>
      <w:r>
        <w:rPr>
          <w:rFonts w:ascii="Arial" w:cs="Arial" w:eastAsia="Arial" w:hAnsi="Arial"/>
          <w:sz w:val="18"/>
          <w:szCs w:val="18"/>
          <w:color w:val="auto"/>
        </w:rPr>
        <w:t>. The Board may provide in the terms of an option agreement that the Participant may exercise an Option in whole or in part prior to the full vesting of the Option in exchange for unvested shares of Restricted Stock (as defined below) with respect to any unvested portion of the Option so exercised. Shares of Restricted Stock acquired upon the exercise of any unvested portion of an Option shall be subject to such terms and conditions as the Board shall determine.</w:t>
      </w:r>
    </w:p>
    <w:p>
      <w:pPr>
        <w:spacing w:after="0" w:line="182" w:lineRule="exact"/>
        <w:rPr>
          <w:rFonts w:ascii="Arial" w:cs="Arial" w:eastAsia="Arial" w:hAnsi="Arial"/>
          <w:sz w:val="18"/>
          <w:szCs w:val="18"/>
          <w:color w:val="auto"/>
        </w:rPr>
      </w:pPr>
    </w:p>
    <w:p>
      <w:pPr>
        <w:ind w:left="184" w:hanging="184"/>
        <w:spacing w:after="0"/>
        <w:tabs>
          <w:tab w:leader="none" w:pos="184"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Restricted Stock Units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 w:firstLine="436"/>
        <w:spacing w:after="0" w:line="256" w:lineRule="auto"/>
        <w:tabs>
          <w:tab w:leader="none" w:pos="689" w:val="left"/>
        </w:tabs>
        <w:numPr>
          <w:ilvl w:val="1"/>
          <w:numId w:val="60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Awards entitling recipients to acquire shares of Common Stock (“</w:t>
      </w:r>
      <w:r>
        <w:rPr>
          <w:rFonts w:ascii="Arial" w:cs="Arial" w:eastAsia="Arial" w:hAnsi="Arial"/>
          <w:sz w:val="18"/>
          <w:szCs w:val="18"/>
          <w:b w:val="1"/>
          <w:bCs w:val="1"/>
          <w:color w:val="auto"/>
        </w:rPr>
        <w:t>Restricted Stock</w:t>
      </w:r>
      <w:r>
        <w:rPr>
          <w:rFonts w:ascii="Arial" w:cs="Arial" w:eastAsia="Arial" w:hAnsi="Arial"/>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or following the time such Award vests (“</w:t>
      </w:r>
      <w:r>
        <w:rPr>
          <w:rFonts w:ascii="Arial" w:cs="Arial" w:eastAsia="Arial" w:hAnsi="Arial"/>
          <w:sz w:val="18"/>
          <w:szCs w:val="18"/>
          <w:b w:val="1"/>
          <w:bCs w:val="1"/>
          <w:color w:val="auto"/>
        </w:rPr>
        <w:t>Restricted Stock Units</w:t>
      </w:r>
      <w:r>
        <w:rPr>
          <w:rFonts w:ascii="Arial" w:cs="Arial" w:eastAsia="Arial" w:hAnsi="Arial"/>
          <w:sz w:val="18"/>
          <w:szCs w:val="18"/>
          <w:color w:val="auto"/>
        </w:rPr>
        <w:t>” or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5" w:right="459" w:bottom="1440" w:gutter="0" w:footer="0" w:header="0"/>
        </w:sectPr>
      </w:pPr>
    </w:p>
    <w:bookmarkStart w:id="633" w:name="page634"/>
    <w:bookmarkEnd w:id="633"/>
    <w:p>
      <w:pPr>
        <w:ind w:right="20" w:firstLine="436"/>
        <w:spacing w:after="0" w:line="277" w:lineRule="auto"/>
        <w:tabs>
          <w:tab w:leader="none" w:pos="695"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and Conditions</w:t>
      </w:r>
      <w:r>
        <w:rPr>
          <w:rFonts w:ascii="Arial" w:cs="Arial" w:eastAsia="Arial" w:hAnsi="Arial"/>
          <w:sz w:val="18"/>
          <w:szCs w:val="18"/>
          <w:color w:val="auto"/>
        </w:rPr>
        <w:t>. The Board shall determine and set forth in the applicable award agreement the terms and conditions of Restricted Stock or RSUs, including the conditions for vesting and repurchase (or forfeiture) and the issue price, if any.</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20" w:firstLine="987"/>
        <w:spacing w:after="0" w:line="290" w:lineRule="auto"/>
        <w:tabs>
          <w:tab w:leader="none" w:pos="1206" w:val="left"/>
        </w:tabs>
        <w:numPr>
          <w:ilvl w:val="1"/>
          <w:numId w:val="601"/>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Participants holding shares of Restricted Stock will be entitled to all ordinary cash dividends paid with respect to such shares to the extent such dividends have a record date that is on or after the date on which the Participant to whom such Restricted Stock is granted becomes the record holder of such Restricted Stock, unless otherwise provided by the Board. Unless otherwise provided by the Board, if any dividends or distributions are paid in shares, or consist of a dividend or distribution to holders of Common Stock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no later than the end of the calendar year in which the dividends are paid to shareholders of that class of stock or, if later, the 15th day of the third month following the later of (A) the date the dividends are paid to shareholders of that class of stock and (B) the date the dividends are no longer subject to forfeiture.</w:t>
      </w:r>
    </w:p>
    <w:p>
      <w:pPr>
        <w:spacing w:after="0" w:line="165" w:lineRule="exact"/>
        <w:rPr>
          <w:rFonts w:ascii="Arial" w:cs="Arial" w:eastAsia="Arial" w:hAnsi="Arial"/>
          <w:sz w:val="16"/>
          <w:szCs w:val="16"/>
          <w:color w:val="auto"/>
        </w:rPr>
      </w:pPr>
    </w:p>
    <w:p>
      <w:pPr>
        <w:ind w:right="160" w:firstLine="987"/>
        <w:spacing w:after="0" w:line="255" w:lineRule="auto"/>
        <w:tabs>
          <w:tab w:leader="none" w:pos="1256" w:val="left"/>
        </w:tabs>
        <w:numPr>
          <w:ilvl w:val="1"/>
          <w:numId w:val="601"/>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Arial" w:cs="Arial" w:eastAsia="Arial" w:hAnsi="Arial"/>
          <w:sz w:val="18"/>
          <w:szCs w:val="18"/>
          <w:b w:val="1"/>
          <w:bCs w:val="1"/>
          <w:color w:val="auto"/>
        </w:rPr>
        <w:t>Designated Beneficiary</w:t>
      </w:r>
      <w:r>
        <w:rPr>
          <w:rFonts w:ascii="Arial" w:cs="Arial" w:eastAsia="Arial" w:hAnsi="Arial"/>
          <w:sz w:val="18"/>
          <w:szCs w:val="18"/>
          <w:color w:val="auto"/>
        </w:rPr>
        <w:t>”). In the absence of an effective designation by a Participant, “Designated Beneficiary” shall mean the Participant’s estate.</w:t>
      </w:r>
    </w:p>
    <w:p>
      <w:pPr>
        <w:spacing w:after="0" w:line="192" w:lineRule="exact"/>
        <w:rPr>
          <w:rFonts w:ascii="Arial" w:cs="Arial" w:eastAsia="Arial" w:hAnsi="Arial"/>
          <w:sz w:val="18"/>
          <w:szCs w:val="18"/>
          <w:color w:val="auto"/>
        </w:rPr>
      </w:pPr>
    </w:p>
    <w:p>
      <w:pPr>
        <w:ind w:left="700" w:hanging="264"/>
        <w:spacing w:after="0"/>
        <w:tabs>
          <w:tab w:leader="none" w:pos="700"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5" w:lineRule="auto"/>
        <w:tabs>
          <w:tab w:leader="none" w:pos="1206" w:val="left"/>
        </w:tabs>
        <w:numPr>
          <w:ilvl w:val="1"/>
          <w:numId w:val="601"/>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Upon or following the vesting of a Restricted Stock Unit, the Participant shall be entitled to receive from the Company one share of Common Stock or an amount of cash or other property equal to the Fair Market Value of one share of Common Stock on the settlement date, as the Board shall determine and as provided in the applicable award agreement. The Board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 of the Code.</w:t>
      </w:r>
    </w:p>
    <w:p>
      <w:pPr>
        <w:spacing w:after="0" w:line="176" w:lineRule="exact"/>
        <w:rPr>
          <w:rFonts w:ascii="Arial" w:cs="Arial" w:eastAsia="Arial" w:hAnsi="Arial"/>
          <w:sz w:val="17"/>
          <w:szCs w:val="17"/>
          <w:color w:val="auto"/>
        </w:rPr>
      </w:pPr>
    </w:p>
    <w:p>
      <w:pPr>
        <w:ind w:right="40" w:firstLine="987"/>
        <w:spacing w:after="0" w:line="277" w:lineRule="auto"/>
        <w:tabs>
          <w:tab w:leader="none" w:pos="1256" w:val="left"/>
        </w:tabs>
        <w:numPr>
          <w:ilvl w:val="1"/>
          <w:numId w:val="60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 unless and until shares are delivered in settlement thereof.</w:t>
      </w:r>
    </w:p>
    <w:p>
      <w:pPr>
        <w:spacing w:after="0" w:line="170" w:lineRule="exact"/>
        <w:rPr>
          <w:rFonts w:ascii="Arial" w:cs="Arial" w:eastAsia="Arial" w:hAnsi="Arial"/>
          <w:sz w:val="18"/>
          <w:szCs w:val="18"/>
          <w:color w:val="auto"/>
        </w:rPr>
      </w:pPr>
    </w:p>
    <w:p>
      <w:pPr>
        <w:ind w:firstLine="987"/>
        <w:spacing w:after="0" w:line="273" w:lineRule="auto"/>
        <w:tabs>
          <w:tab w:leader="none" w:pos="1306" w:val="left"/>
        </w:tabs>
        <w:numPr>
          <w:ilvl w:val="1"/>
          <w:numId w:val="601"/>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To the extent provided by the Board, a grant of Restricted Stock Units may provide a Participant 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Board, subject, in each case, to such terms and conditions as the Board shall establish and set forth in the applicable award agreement. “</w:t>
      </w:r>
      <w:r>
        <w:rPr>
          <w:rFonts w:ascii="Arial" w:cs="Arial" w:eastAsia="Arial" w:hAnsi="Arial"/>
          <w:sz w:val="17"/>
          <w:szCs w:val="17"/>
          <w:b w:val="1"/>
          <w:bCs w:val="1"/>
          <w:color w:val="auto"/>
        </w:rPr>
        <w:t>Dividend Equivalents</w:t>
      </w:r>
      <w:r>
        <w:rPr>
          <w:rFonts w:ascii="Arial" w:cs="Arial" w:eastAsia="Arial" w:hAnsi="Arial"/>
          <w:sz w:val="17"/>
          <w:szCs w:val="17"/>
          <w:color w:val="auto"/>
        </w:rPr>
        <w:t>” means a right granted to a Participant to receive the equivalent value (in cash or shares of Common Stock) of dividends paid on shares of Common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34" w:name="page635"/>
    <w:bookmarkEnd w:id="634"/>
    <w:p>
      <w:pPr>
        <w:ind w:left="184" w:hanging="184"/>
        <w:spacing w:after="0"/>
        <w:tabs>
          <w:tab w:leader="none" w:pos="184"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Stock-Based Awards</w:t>
      </w:r>
      <w:r>
        <w:rPr>
          <w:rFonts w:ascii="Arial" w:cs="Arial" w:eastAsia="Arial" w:hAnsi="Arial"/>
          <w:sz w:val="18"/>
          <w:szCs w:val="18"/>
          <w:b w:val="1"/>
          <w:bCs w:val="1"/>
          <w:color w:val="auto"/>
        </w:rPr>
        <w:t>.</w:t>
      </w:r>
    </w:p>
    <w:p>
      <w:pPr>
        <w:spacing w:after="0" w:line="22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Other Awards of shares of Common Stock, and other Awards that are valued in whole or in part by reference to, or are otherwise based on, shares of Common Stock or other property, may be granted hereunder to Participants (“</w:t>
      </w:r>
      <w:r>
        <w:rPr>
          <w:rFonts w:ascii="Arial" w:cs="Arial" w:eastAsia="Arial" w:hAnsi="Arial"/>
          <w:sz w:val="17"/>
          <w:szCs w:val="17"/>
          <w:b w:val="1"/>
          <w:bCs w:val="1"/>
          <w:color w:val="auto"/>
        </w:rPr>
        <w:t>Other Stock-Based Awards</w:t>
      </w:r>
      <w:r>
        <w:rPr>
          <w:rFonts w:ascii="Arial" w:cs="Arial" w:eastAsia="Arial" w:hAnsi="Arial"/>
          <w:sz w:val="17"/>
          <w:szCs w:val="17"/>
          <w:color w:val="auto"/>
        </w:rPr>
        <w:t>”), including without limitation stock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(which shall be subject to the same limitations applicable to awards of Nonstatutory Stock Options) 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transfer restrictions, vesting conditions and other terms and conditions applicable thereto.</w:t>
      </w:r>
    </w:p>
    <w:p>
      <w:pPr>
        <w:spacing w:after="0" w:line="174" w:lineRule="exact"/>
        <w:rPr>
          <w:sz w:val="20"/>
          <w:szCs w:val="20"/>
          <w:color w:val="auto"/>
        </w:rPr>
      </w:pPr>
    </w:p>
    <w:p>
      <w:pPr>
        <w:ind w:left="184" w:hanging="184"/>
        <w:spacing w:after="0"/>
        <w:tabs>
          <w:tab w:leader="none" w:pos="184"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for Changes in Common Stock and Certain Other Events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right="60" w:firstLine="436"/>
        <w:spacing w:after="0" w:line="269" w:lineRule="auto"/>
        <w:tabs>
          <w:tab w:leader="none" w:pos="689" w:val="left"/>
        </w:tabs>
        <w:numPr>
          <w:ilvl w:val="1"/>
          <w:numId w:val="603"/>
        </w:numPr>
        <w:rPr>
          <w:rFonts w:ascii="Arial" w:cs="Arial" w:eastAsia="Arial" w:hAnsi="Arial"/>
          <w:sz w:val="17"/>
          <w:szCs w:val="17"/>
          <w:color w:val="auto"/>
        </w:rPr>
      </w:pPr>
      <w:r>
        <w:rPr>
          <w:rFonts w:ascii="Arial" w:cs="Arial" w:eastAsia="Arial" w:hAnsi="Arial"/>
          <w:sz w:val="17"/>
          <w:szCs w:val="17"/>
          <w:color w:val="auto"/>
        </w:rPr>
        <w:t xml:space="preserve">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other outstanding Award, and (iv) the terms of each other outstanding Award shall be equitably adjusted by the Company (or substituted Awards may be made, if applicable) in the manner determined by the Board; </w:t>
      </w:r>
      <w:r>
        <w:rPr>
          <w:rFonts w:ascii="Arial" w:cs="Arial" w:eastAsia="Arial" w:hAnsi="Arial"/>
          <w:sz w:val="17"/>
          <w:szCs w:val="17"/>
          <w:i w:val="1"/>
          <w:iCs w:val="1"/>
          <w:color w:val="auto"/>
        </w:rPr>
        <w:t>provided that</w:t>
      </w:r>
      <w:r>
        <w:rPr>
          <w:rFonts w:ascii="Arial" w:cs="Arial" w:eastAsia="Arial" w:hAnsi="Arial"/>
          <w:sz w:val="17"/>
          <w:szCs w:val="17"/>
          <w:color w:val="auto"/>
        </w:rPr>
        <w:t>, unless otherwise determined by the Board, such changes to the Options shall comply with section 1.424-1 of the Treasury Regulations.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 Participant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78" w:lineRule="exact"/>
        <w:rPr>
          <w:rFonts w:ascii="Arial" w:cs="Arial" w:eastAsia="Arial" w:hAnsi="Arial"/>
          <w:sz w:val="17"/>
          <w:szCs w:val="17"/>
          <w:color w:val="auto"/>
        </w:rPr>
      </w:pPr>
    </w:p>
    <w:p>
      <w:pPr>
        <w:ind w:left="704" w:hanging="264"/>
        <w:spacing w:after="0"/>
        <w:tabs>
          <w:tab w:leader="none" w:pos="704" w:val="left"/>
        </w:tabs>
        <w:numPr>
          <w:ilvl w:val="1"/>
          <w:numId w:val="603"/>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4" w:firstLine="987"/>
        <w:spacing w:after="0" w:line="289" w:lineRule="auto"/>
        <w:tabs>
          <w:tab w:leader="none" w:pos="1210" w:val="left"/>
        </w:tabs>
        <w:numPr>
          <w:ilvl w:val="2"/>
          <w:numId w:val="603"/>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A “</w:t>
      </w:r>
      <w:r>
        <w:rPr>
          <w:rFonts w:ascii="Arial" w:cs="Arial" w:eastAsia="Arial" w:hAnsi="Arial"/>
          <w:sz w:val="16"/>
          <w:szCs w:val="16"/>
          <w:b w:val="1"/>
          <w:bCs w:val="1"/>
          <w:color w:val="auto"/>
        </w:rPr>
        <w:t>Reorganization Event</w:t>
      </w:r>
      <w:r>
        <w:rPr>
          <w:rFonts w:ascii="Arial" w:cs="Arial" w:eastAsia="Arial" w:hAnsi="Arial"/>
          <w:sz w:val="16"/>
          <w:szCs w:val="16"/>
          <w:color w:val="auto"/>
        </w:rPr>
        <w:t xml:space="preserve">” means the consummation of: (A) the dissolution or liquidation of the Company, (B) the sale of all or substantially all of the assets of the Company on a consolidated basis to an unrelated person or entity, (C) a merger, reorganization or consolidation pursuant to which the holders of the Company’s outstanding voting power immediately prior to such transaction do not own a majority of the outstanding voting power of the surviving or resulting entity (or its ultimate parent, if applicable), (D) the acquisition of all or a majority of the outstanding voting stock of the Company in a single transaction or a series of a related transactions by a person or group of persons, or (E) any other acquisition of the business of the Company, as determined by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first firm commitment underwritten public offering pursuant to an effective registration statement under the Securities Act of 1933, as amended, covering the offer and sale by the Company of its equity securities, as a result of or following which the Common Stock shall be public, any subsequent public offering or another capital raising event, or a merger effected solely to change the Company’s domicile shall not constitute a “Reorganization Event.”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1" w:right="459" w:bottom="1440" w:gutter="0" w:footer="0" w:header="0"/>
        </w:sectPr>
      </w:pPr>
    </w:p>
    <w:bookmarkStart w:id="635" w:name="page636"/>
    <w:bookmarkEnd w:id="635"/>
    <w:p>
      <w:pPr>
        <w:ind w:left="4" w:firstLine="987"/>
        <w:spacing w:after="0" w:line="286" w:lineRule="auto"/>
        <w:tabs>
          <w:tab w:leader="none" w:pos="1260" w:val="left"/>
        </w:tabs>
        <w:numPr>
          <w:ilvl w:val="0"/>
          <w:numId w:val="6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Consequences of a Reorganization Event on Awards</w:t>
      </w:r>
      <w:r>
        <w:rPr>
          <w:rFonts w:ascii="Arial" w:cs="Arial" w:eastAsia="Arial" w:hAnsi="Arial"/>
          <w:sz w:val="16"/>
          <w:szCs w:val="16"/>
          <w:color w:val="auto"/>
        </w:rPr>
        <w:t xml:space="preserve">. In connection with a Reorganization Event, the Board may take any one or more of the following actions as to all or any (or any portion of) outstanding Awards on such terms as the Board determines: (A) provide that Awards shall be assumed, or substantially equivalent Awards shall be substituted, by the acquiring or succeeding corporation (or an affiliate thereof); </w:t>
      </w:r>
      <w:r>
        <w:rPr>
          <w:rFonts w:ascii="Arial" w:cs="Arial" w:eastAsia="Arial" w:hAnsi="Arial"/>
          <w:sz w:val="16"/>
          <w:szCs w:val="16"/>
          <w:i w:val="1"/>
          <w:iCs w:val="1"/>
          <w:color w:val="auto"/>
        </w:rPr>
        <w:t>provided that</w:t>
      </w:r>
      <w:r>
        <w:rPr>
          <w:rFonts w:ascii="Arial" w:cs="Arial" w:eastAsia="Arial" w:hAnsi="Arial"/>
          <w:sz w:val="16"/>
          <w:szCs w:val="16"/>
          <w:color w:val="auto"/>
        </w:rPr>
        <w:t>, unless otherwise determined by the Board, such assumption or substitution of the Options shall comply with section 1.424-1 of the Treasury Regulations, (B) upon written notice to a Participant, provide that the Participant’s unexercised Awards will terminate immediately prior to the consummation of such Reorganization Event unless exercised by the Participant within a specified period following the date of such notice, (C) provide that outstanding Awards shall become vested, exercisable, realizable, or deliverable, or restrictions applicable to an Award shall lapse, in whole or in part prior to or upon such Reorganization Event, (D)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6"/>
          <w:szCs w:val="16"/>
          <w:b w:val="1"/>
          <w:bCs w:val="1"/>
          <w:color w:val="auto"/>
        </w:rPr>
        <w:t>Acquisition Price</w:t>
      </w:r>
      <w:r>
        <w:rPr>
          <w:rFonts w:ascii="Arial" w:cs="Arial" w:eastAsia="Arial" w:hAnsi="Arial"/>
          <w:sz w:val="16"/>
          <w:szCs w:val="16"/>
          <w:color w:val="auto"/>
        </w:rPr>
        <w:t>”), make or provide for a cash payment to a Participant equal to the excess, if any, of (I) the Acquisition Price times the number of shares of Common Stock subject to the Participant’s Awards (to the extent the exercise price does not exceed the Acquisition Price) over (II) the aggregate exercise price of all such outstanding Awards and any applicable tax withholdings, in exchange for the termination of such Awards, (E) provide that, in connection with a liquidation or dissolution of the Company, Awards shall convert into the right to receive liquidation proceeds (if applicable, net of the exercise price thereof and any applicable tax withholdings) and (F) any combination of the foregoing. In taking any of the actions permitted under this Section 8(b), the Board shall not be obligated by the Plan to treat all Awards, all Awards held by a Participant, or all Awards of the same type, identically.</w:t>
      </w:r>
    </w:p>
    <w:p>
      <w:pPr>
        <w:spacing w:after="0" w:line="167" w:lineRule="exact"/>
        <w:rPr>
          <w:sz w:val="20"/>
          <w:szCs w:val="20"/>
          <w:color w:val="auto"/>
        </w:rPr>
      </w:pPr>
    </w:p>
    <w:p>
      <w:pPr>
        <w:ind w:left="4" w:firstLine="991"/>
        <w:spacing w:after="0" w:line="253" w:lineRule="auto"/>
        <w:rPr>
          <w:sz w:val="20"/>
          <w:szCs w:val="20"/>
          <w:color w:val="auto"/>
        </w:rPr>
      </w:pPr>
      <w:r>
        <w:rPr>
          <w:rFonts w:ascii="Arial" w:cs="Arial" w:eastAsia="Arial" w:hAnsi="Arial"/>
          <w:sz w:val="18"/>
          <w:szCs w:val="18"/>
          <w:color w:val="auto"/>
        </w:rPr>
        <w:t xml:space="preserve">For purposes of clause (A)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90" w:lineRule="exact"/>
        <w:rPr>
          <w:sz w:val="20"/>
          <w:szCs w:val="20"/>
          <w:color w:val="auto"/>
        </w:rPr>
      </w:pPr>
    </w:p>
    <w:p>
      <w:pPr>
        <w:ind w:left="184" w:hanging="184"/>
        <w:spacing w:after="0"/>
        <w:tabs>
          <w:tab w:leader="none" w:pos="184"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 Applicable to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right="140" w:firstLine="436"/>
        <w:spacing w:after="0" w:line="257" w:lineRule="auto"/>
        <w:tabs>
          <w:tab w:leader="none" w:pos="689" w:val="left"/>
        </w:tabs>
        <w:numPr>
          <w:ilvl w:val="1"/>
          <w:numId w:val="605"/>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pacing w:after="0" w:line="187" w:lineRule="exact"/>
        <w:rPr>
          <w:rFonts w:ascii="Arial" w:cs="Arial" w:eastAsia="Arial" w:hAnsi="Arial"/>
          <w:sz w:val="18"/>
          <w:szCs w:val="18"/>
          <w:color w:val="auto"/>
        </w:rPr>
      </w:pPr>
    </w:p>
    <w:p>
      <w:pPr>
        <w:ind w:left="4" w:right="80" w:firstLine="436"/>
        <w:spacing w:after="0" w:line="277" w:lineRule="auto"/>
        <w:tabs>
          <w:tab w:leader="none" w:pos="699" w:val="left"/>
        </w:tabs>
        <w:numPr>
          <w:ilvl w:val="1"/>
          <w:numId w:val="605"/>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636" w:name="page637"/>
    <w:bookmarkEnd w:id="636"/>
    <w:p>
      <w:pPr>
        <w:ind w:right="200" w:firstLine="436"/>
        <w:spacing w:after="0" w:line="277" w:lineRule="auto"/>
        <w:tabs>
          <w:tab w:leader="none" w:pos="685"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70" w:lineRule="exact"/>
        <w:rPr>
          <w:rFonts w:ascii="Arial" w:cs="Arial" w:eastAsia="Arial" w:hAnsi="Arial"/>
          <w:sz w:val="18"/>
          <w:szCs w:val="18"/>
          <w:color w:val="auto"/>
        </w:rPr>
      </w:pPr>
    </w:p>
    <w:p>
      <w:pPr>
        <w:ind w:right="200" w:firstLine="436"/>
        <w:spacing w:after="0" w:line="259" w:lineRule="auto"/>
        <w:tabs>
          <w:tab w:leader="none" w:pos="695"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The Board shall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86" w:lineRule="exact"/>
        <w:rPr>
          <w:rFonts w:ascii="Arial" w:cs="Arial" w:eastAsia="Arial" w:hAnsi="Arial"/>
          <w:sz w:val="18"/>
          <w:szCs w:val="18"/>
          <w:color w:val="auto"/>
        </w:rPr>
      </w:pPr>
    </w:p>
    <w:p>
      <w:pPr>
        <w:ind w:right="60" w:firstLine="436"/>
        <w:spacing w:after="0" w:line="287" w:lineRule="auto"/>
        <w:tabs>
          <w:tab w:leader="none" w:pos="685" w:val="left"/>
        </w:tabs>
        <w:numPr>
          <w:ilvl w:val="0"/>
          <w:numId w:val="606"/>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Company shall not be obligated to deliver certificates, release from forfeiture, otherwise recognize a Participant’s unrestricted ownership in an Award or the cash or property proceeds therefrom, until the Company satisfies all applicable federal, state, and local or other income and employment tax withholding obligations. In its sole discretion, the Company may satisfy such withholding obligations by any of the following means or by a combination of such means: (i) causing the Participant to tender to the Company cash payment; (ii) withholding cash from an Award settled in cash; (iii) withholding from amounts otherwise payable by the Company to the Participant, including but not limited to additional withholding on the Participant’s salary or wages, or from proceeds from the sale of Common Stock issued pursuant to an Award; (iv) delivery of shares of Common Stock, including shares retained from the Award creating the tax obligation, valued at their Fair Market Value;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and </w:t>
      </w:r>
      <w:r>
        <w:rPr>
          <w:rFonts w:ascii="Arial" w:cs="Arial" w:eastAsia="Arial" w:hAnsi="Arial"/>
          <w:sz w:val="16"/>
          <w:szCs w:val="16"/>
          <w:i w:val="1"/>
          <w:iCs w:val="1"/>
          <w:color w:val="auto"/>
        </w:rPr>
        <w:t>provided, further</w:t>
      </w:r>
      <w:r>
        <w:rPr>
          <w:rFonts w:ascii="Arial" w:cs="Arial" w:eastAsia="Arial" w:hAnsi="Arial"/>
          <w:sz w:val="16"/>
          <w:szCs w:val="16"/>
          <w:color w:val="auto"/>
        </w:rPr>
        <w:t>, shares surrendered to satisfy tax withholding requirements cannot be subject to any repurchase, forfeiture, unfulfilled vesting or other similar requirements; or (v) by such other method as determined by the Board.</w:t>
      </w:r>
    </w:p>
    <w:p>
      <w:pPr>
        <w:spacing w:after="0" w:line="171" w:lineRule="exact"/>
        <w:rPr>
          <w:rFonts w:ascii="Arial" w:cs="Arial" w:eastAsia="Arial" w:hAnsi="Arial"/>
          <w:sz w:val="16"/>
          <w:szCs w:val="16"/>
          <w:color w:val="auto"/>
        </w:rPr>
      </w:pPr>
    </w:p>
    <w:p>
      <w:pPr>
        <w:ind w:left="660" w:hanging="224"/>
        <w:spacing w:after="0"/>
        <w:tabs>
          <w:tab w:leader="none" w:pos="660"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Amendment of Award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75" w:lineRule="auto"/>
        <w:tabs>
          <w:tab w:leader="none" w:pos="1206" w:val="left"/>
        </w:tabs>
        <w:numPr>
          <w:ilvl w:val="1"/>
          <w:numId w:val="606"/>
        </w:numPr>
        <w:rPr>
          <w:rFonts w:ascii="Arial" w:cs="Arial" w:eastAsia="Arial" w:hAnsi="Arial"/>
          <w:sz w:val="17"/>
          <w:szCs w:val="17"/>
          <w:color w:val="auto"/>
        </w:rPr>
      </w:pPr>
      <w:r>
        <w:rPr>
          <w:rFonts w:ascii="Arial" w:cs="Arial" w:eastAsia="Arial" w:hAnsi="Arial"/>
          <w:sz w:val="17"/>
          <w:szCs w:val="17"/>
          <w:color w:val="auto"/>
        </w:rPr>
        <w:t>The Board may amend, modify or terminate any outstanding Award, including but not limited to, substituting therefor another Award of the same or a different type, changing the date of exercise or settlement, and converting an Incentive Stock Option to a Nonstatutory Stock Option. The Participant’s consent to such action shall be required unless (A) the Board determines that the action, taking into account any related action, would not materially and adversely affect the Participant’s rights under the Plan, (B) the change is permitted under Section 8 hereof, or (C) the change is to ensure that an Option intended to qualify as an Incentive Stock Option qualifies as such.</w:t>
      </w:r>
    </w:p>
    <w:p>
      <w:pPr>
        <w:spacing w:after="0" w:line="176" w:lineRule="exact"/>
        <w:rPr>
          <w:rFonts w:ascii="Arial" w:cs="Arial" w:eastAsia="Arial" w:hAnsi="Arial"/>
          <w:sz w:val="17"/>
          <w:szCs w:val="17"/>
          <w:color w:val="auto"/>
        </w:rPr>
      </w:pPr>
    </w:p>
    <w:p>
      <w:pPr>
        <w:ind w:right="40" w:firstLine="987"/>
        <w:spacing w:after="0" w:line="257" w:lineRule="auto"/>
        <w:tabs>
          <w:tab w:leader="none" w:pos="1256" w:val="left"/>
        </w:tabs>
        <w:numPr>
          <w:ilvl w:val="1"/>
          <w:numId w:val="606"/>
        </w:numPr>
        <w:rPr>
          <w:rFonts w:ascii="Arial" w:cs="Arial" w:eastAsia="Arial" w:hAnsi="Arial"/>
          <w:sz w:val="18"/>
          <w:szCs w:val="18"/>
          <w:color w:val="auto"/>
        </w:rPr>
      </w:pPr>
      <w:r>
        <w:rPr>
          <w:rFonts w:ascii="Arial" w:cs="Arial" w:eastAsia="Arial" w:hAnsi="Arial"/>
          <w:sz w:val="18"/>
          <w:szCs w:val="18"/>
          <w:color w:val="auto"/>
        </w:rPr>
        <w:t>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spacing w:after="0" w:line="187" w:lineRule="exact"/>
        <w:rPr>
          <w:rFonts w:ascii="Arial" w:cs="Arial" w:eastAsia="Arial" w:hAnsi="Arial"/>
          <w:sz w:val="18"/>
          <w:szCs w:val="18"/>
          <w:color w:val="auto"/>
        </w:rPr>
      </w:pPr>
    </w:p>
    <w:p>
      <w:pPr>
        <w:ind w:firstLine="436"/>
        <w:spacing w:after="0" w:line="296" w:lineRule="auto"/>
        <w:tabs>
          <w:tab w:leader="none" w:pos="695" w:val="left"/>
        </w:tabs>
        <w:numPr>
          <w:ilvl w:val="0"/>
          <w:numId w:val="606"/>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5" w:right="439" w:bottom="1440" w:gutter="0" w:footer="0" w:header="0"/>
        </w:sectPr>
      </w:pPr>
    </w:p>
    <w:bookmarkStart w:id="637" w:name="page638"/>
    <w:bookmarkEnd w:id="637"/>
    <w:p>
      <w:pPr>
        <w:ind w:left="4" w:right="3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requirements of any applicable laws, rules or regulations. The inability of the Company to obtain authority from any regulatory body having jurisdiction, which authority is determined by the Board to be necessary to the lawful issuance and sale of any securities hereunder, shall relieve the Company of any liability in respect of the failure to issue or sell such shares at to which such requisite authority shall not have been obtained.</w:t>
      </w:r>
    </w:p>
    <w:p>
      <w:pPr>
        <w:spacing w:after="0" w:line="149" w:lineRule="exact"/>
        <w:rPr>
          <w:sz w:val="20"/>
          <w:szCs w:val="20"/>
          <w:color w:val="auto"/>
        </w:rPr>
      </w:pPr>
    </w:p>
    <w:p>
      <w:pPr>
        <w:ind w:left="4" w:right="220" w:firstLine="436"/>
        <w:spacing w:after="0" w:line="277" w:lineRule="auto"/>
        <w:tabs>
          <w:tab w:leader="none" w:pos="699"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The Board may at any time provide that any Award shall become immediately exercisable in full or in part, free of some or all restrictions or conditions, or otherwise realizable in full or in part, as the case may be.</w:t>
      </w:r>
    </w:p>
    <w:p>
      <w:pPr>
        <w:spacing w:after="0" w:line="166" w:lineRule="exact"/>
        <w:rPr>
          <w:rFonts w:ascii="Arial" w:cs="Arial" w:eastAsia="Arial" w:hAnsi="Arial"/>
          <w:sz w:val="18"/>
          <w:szCs w:val="18"/>
          <w:color w:val="auto"/>
        </w:rPr>
      </w:pPr>
    </w:p>
    <w:p>
      <w:pPr>
        <w:ind w:left="264" w:hanging="264"/>
        <w:spacing w:after="0"/>
        <w:tabs>
          <w:tab w:leader="none" w:pos="264" w:val="left"/>
        </w:tabs>
        <w:numPr>
          <w:ilvl w:val="0"/>
          <w:numId w:val="6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4" w:firstLine="436"/>
        <w:spacing w:after="0" w:line="259" w:lineRule="auto"/>
        <w:tabs>
          <w:tab w:leader="none" w:pos="689" w:val="left"/>
        </w:tabs>
        <w:numPr>
          <w:ilvl w:val="1"/>
          <w:numId w:val="608"/>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86" w:lineRule="exact"/>
        <w:rPr>
          <w:rFonts w:ascii="Arial" w:cs="Arial" w:eastAsia="Arial" w:hAnsi="Arial"/>
          <w:sz w:val="18"/>
          <w:szCs w:val="18"/>
          <w:color w:val="auto"/>
        </w:rPr>
      </w:pPr>
    </w:p>
    <w:p>
      <w:pPr>
        <w:ind w:left="4" w:firstLine="436"/>
        <w:spacing w:after="0" w:line="293" w:lineRule="auto"/>
        <w:tabs>
          <w:tab w:leader="none" w:pos="699" w:val="left"/>
        </w:tabs>
        <w:numPr>
          <w:ilvl w:val="1"/>
          <w:numId w:val="608"/>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Board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any stock certificates issued under the Plan deemed necessary or appropriate by the Board in order to comply with applicable laws.</w:t>
      </w:r>
    </w:p>
    <w:p>
      <w:pPr>
        <w:spacing w:after="0" w:line="164" w:lineRule="exact"/>
        <w:rPr>
          <w:rFonts w:ascii="Arial" w:cs="Arial" w:eastAsia="Arial" w:hAnsi="Arial"/>
          <w:sz w:val="16"/>
          <w:szCs w:val="16"/>
          <w:color w:val="auto"/>
        </w:rPr>
      </w:pPr>
    </w:p>
    <w:p>
      <w:pPr>
        <w:ind w:left="4" w:right="80" w:firstLine="436"/>
        <w:spacing w:after="0" w:line="286" w:lineRule="auto"/>
        <w:tabs>
          <w:tab w:leader="none" w:pos="689" w:val="left"/>
        </w:tabs>
        <w:numPr>
          <w:ilvl w:val="1"/>
          <w:numId w:val="608"/>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r>
        <w:rPr>
          <w:rFonts w:ascii="Arial" w:cs="Arial" w:eastAsia="Arial" w:hAnsi="Arial"/>
          <w:sz w:val="17"/>
          <w:szCs w:val="17"/>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165" w:lineRule="exact"/>
        <w:rPr>
          <w:rFonts w:ascii="Arial" w:cs="Arial" w:eastAsia="Arial" w:hAnsi="Arial"/>
          <w:sz w:val="17"/>
          <w:szCs w:val="17"/>
          <w:color w:val="auto"/>
        </w:rPr>
      </w:pPr>
    </w:p>
    <w:p>
      <w:pPr>
        <w:ind w:left="4" w:right="120" w:firstLine="436"/>
        <w:spacing w:after="0" w:line="293" w:lineRule="auto"/>
        <w:tabs>
          <w:tab w:leader="none" w:pos="699" w:val="left"/>
        </w:tabs>
        <w:numPr>
          <w:ilvl w:val="1"/>
          <w:numId w:val="608"/>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xml:space="preserve">. The Board may amend, suspend or terminate the Plan or any portion thereof at any time;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at any time the approval of a Company stockholder is required as to any modification or amendment under Section 422 of the Code or any successor provision with respect to Incentive Stock Options or pursuant to any other applicable law or regulation, the Board may not effect such modification or amendment without stockholder approval. Unless otherwise specified in the amendment, any amendment to the Plan adopted in accordance with this Section 10(d) shall apply to, and be binding on the holders of, all Awards outstanding under the Plan at the time the amendment is adopted,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Board determines that such amendment does not materially and adversely affect the rights of Participants under the Plan.</w:t>
      </w:r>
    </w:p>
    <w:p>
      <w:pPr>
        <w:spacing w:after="0" w:line="164" w:lineRule="exact"/>
        <w:rPr>
          <w:rFonts w:ascii="Arial" w:cs="Arial" w:eastAsia="Arial" w:hAnsi="Arial"/>
          <w:sz w:val="16"/>
          <w:szCs w:val="16"/>
          <w:color w:val="auto"/>
        </w:rPr>
      </w:pPr>
    </w:p>
    <w:p>
      <w:pPr>
        <w:ind w:left="4" w:right="480" w:firstLine="436"/>
        <w:spacing w:after="0" w:line="293" w:lineRule="auto"/>
        <w:tabs>
          <w:tab w:leader="none" w:pos="689" w:val="left"/>
        </w:tabs>
        <w:numPr>
          <w:ilvl w:val="1"/>
          <w:numId w:val="608"/>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w:t>
      </w:r>
      <w:r>
        <w:rPr>
          <w:rFonts w:ascii="Arial" w:cs="Arial" w:eastAsia="Arial" w:hAnsi="Arial"/>
          <w:sz w:val="16"/>
          <w:szCs w:val="16"/>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638" w:name="page639"/>
    <w:bookmarkEnd w:id="638"/>
    <w:p>
      <w:pPr>
        <w:ind w:firstLine="436"/>
        <w:spacing w:after="0" w:line="286" w:lineRule="auto"/>
        <w:tabs>
          <w:tab w:leader="none" w:pos="665" w:val="left"/>
        </w:tabs>
        <w:numPr>
          <w:ilvl w:val="0"/>
          <w:numId w:val="6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Code Section 409A</w:t>
      </w:r>
      <w:r>
        <w:rPr>
          <w:rFonts w:ascii="Arial" w:cs="Arial" w:eastAsia="Arial" w:hAnsi="Arial"/>
          <w:sz w:val="16"/>
          <w:szCs w:val="16"/>
          <w:color w:val="auto"/>
        </w:rPr>
        <w:t>. Unless otherwise expressly provided for in an Award, the Plan and Award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will incorporate the terms and conditions necessary to avoid the consequences specified in</w:t>
      </w:r>
    </w:p>
    <w:p>
      <w:pPr>
        <w:spacing w:after="0" w:line="1"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Section 409A(a)(1) of the Code, and to the extent an Award is silent on terms necessary for compliance, such terms as deemed necessary by the Board in its sole discretion are hereby incorporated by reference into the Award. Without limiting the generality of the foregoing, if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The Company shall have no liability to a Participant, or any other party, if an Award that is intended to be exempt from, or compliant with, Section 409A of the Code is not so exempt or compliant or for any other action taken by the Board.</w:t>
      </w:r>
    </w:p>
    <w:p>
      <w:pPr>
        <w:spacing w:after="0" w:line="178" w:lineRule="exact"/>
        <w:rPr>
          <w:rFonts w:ascii="Arial" w:cs="Arial" w:eastAsia="Arial" w:hAnsi="Arial"/>
          <w:sz w:val="16"/>
          <w:szCs w:val="16"/>
          <w:color w:val="auto"/>
        </w:rPr>
      </w:pPr>
    </w:p>
    <w:p>
      <w:pPr>
        <w:ind w:right="60" w:firstLine="436"/>
        <w:spacing w:after="0" w:line="263" w:lineRule="auto"/>
        <w:tabs>
          <w:tab w:leader="none" w:pos="695" w:val="left"/>
        </w:tabs>
        <w:numPr>
          <w:ilvl w:val="0"/>
          <w:numId w:val="60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183" w:lineRule="exact"/>
        <w:rPr>
          <w:rFonts w:ascii="Arial" w:cs="Arial" w:eastAsia="Arial" w:hAnsi="Arial"/>
          <w:sz w:val="18"/>
          <w:szCs w:val="18"/>
          <w:color w:val="auto"/>
        </w:rPr>
      </w:pPr>
    </w:p>
    <w:p>
      <w:pPr>
        <w:ind w:right="20" w:firstLine="436"/>
        <w:spacing w:after="0" w:line="267" w:lineRule="auto"/>
        <w:tabs>
          <w:tab w:leader="none" w:pos="695" w:val="left"/>
        </w:tabs>
        <w:numPr>
          <w:ilvl w:val="0"/>
          <w:numId w:val="609"/>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cs="Arial" w:eastAsia="Arial" w:hAnsi="Arial"/>
          <w:sz w:val="17"/>
          <w:szCs w:val="17"/>
          <w:b w:val="1"/>
          <w:bCs w:val="1"/>
          <w:color w:val="auto"/>
        </w:rPr>
        <w:t>Data</w:t>
      </w:r>
      <w:r>
        <w:rPr>
          <w:rFonts w:ascii="Arial" w:cs="Arial" w:eastAsia="Arial" w:hAnsi="Arial"/>
          <w:sz w:val="17"/>
          <w:szCs w:val="17"/>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5" w:right="439" w:bottom="1440" w:gutter="0" w:footer="0" w:header="0"/>
        </w:sectPr>
      </w:pPr>
    </w:p>
    <w:bookmarkStart w:id="639" w:name="page640"/>
    <w:bookmarkEnd w:id="63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 or refuse or withdraw the consents herein in writing, in any case without cost, by contacting his or her local human resources representative. The Company may cancel Participant’s ability to participate in the Plan and, in the Board’s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187" w:lineRule="exact"/>
        <w:rPr>
          <w:sz w:val="20"/>
          <w:szCs w:val="20"/>
          <w:color w:val="auto"/>
        </w:rPr>
      </w:pPr>
    </w:p>
    <w:p>
      <w:pPr>
        <w:ind w:firstLine="436"/>
        <w:spacing w:after="0" w:line="269" w:lineRule="auto"/>
        <w:tabs>
          <w:tab w:leader="none" w:pos="655" w:val="left"/>
        </w:tabs>
        <w:numPr>
          <w:ilvl w:val="0"/>
          <w:numId w:val="610"/>
        </w:numPr>
        <w:rPr>
          <w:rFonts w:ascii="Arial" w:cs="Arial" w:eastAsia="Arial" w:hAnsi="Arial"/>
          <w:sz w:val="17"/>
          <w:szCs w:val="17"/>
          <w:color w:val="auto"/>
        </w:rPr>
      </w:pPr>
      <w:r>
        <w:rPr>
          <w:rFonts w:ascii="Arial" w:cs="Arial" w:eastAsia="Arial" w:hAnsi="Arial"/>
          <w:sz w:val="17"/>
          <w:szCs w:val="17"/>
          <w:u w:val="single" w:color="auto"/>
          <w:color w:val="auto"/>
        </w:rPr>
        <w:t>Restrictions on Shares; Clawback Provisions</w:t>
      </w:r>
      <w:r>
        <w:rPr>
          <w:rFonts w:ascii="Arial" w:cs="Arial" w:eastAsia="Arial" w:hAnsi="Arial"/>
          <w:sz w:val="17"/>
          <w:szCs w:val="17"/>
          <w:color w:val="auto"/>
        </w:rPr>
        <w:t>. Shares of Common Stock acquired in respect of Awards shall be subject to such terms and conditions as the Board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Board, be contained in the applicable Award Agreement or in an exercise notice, stockholders’ agreement or in such other agreement as the Board shall determine, in each case in a form determined by the Board.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640" w:name="page641"/>
    <w:bookmarkEnd w:id="640"/>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SPYRE THERAPEUTICS, INC.</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2023 EQUITY INCENTIVE PLAN</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CALIFORNIA SUPPLEMENT</w:t>
      </w:r>
    </w:p>
    <w:p>
      <w:pPr>
        <w:spacing w:after="0" w:line="229"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Pursuant to Section 10(e) of the Plan, the Board has adopted this supplement for purposes of satisfying the requirements of Section 25102(o) of the California Law:</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Any Awards granted under the Plan to a Participant who is a resident of the State of California on the date of grant (a “</w:t>
      </w:r>
      <w:r>
        <w:rPr>
          <w:rFonts w:ascii="Arial" w:cs="Arial" w:eastAsia="Arial" w:hAnsi="Arial"/>
          <w:sz w:val="16"/>
          <w:szCs w:val="16"/>
          <w:b w:val="1"/>
          <w:bCs w:val="1"/>
          <w:color w:val="auto"/>
        </w:rPr>
        <w:t>California Participant</w:t>
      </w:r>
      <w:r>
        <w:rPr>
          <w:rFonts w:ascii="Arial" w:cs="Arial" w:eastAsia="Arial" w:hAnsi="Arial"/>
          <w:sz w:val="16"/>
          <w:szCs w:val="16"/>
          <w:color w:val="auto"/>
        </w:rPr>
        <w:t>”)</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shall be subject to the following additional limitations, terms and conditions:</w:t>
      </w:r>
    </w:p>
    <w:p>
      <w:pPr>
        <w:spacing w:after="0" w:line="207" w:lineRule="exact"/>
        <w:rPr>
          <w:sz w:val="20"/>
          <w:szCs w:val="20"/>
          <w:color w:val="auto"/>
        </w:rPr>
      </w:pPr>
    </w:p>
    <w:p>
      <w:pPr>
        <w:ind w:left="184" w:hanging="184"/>
        <w:spacing w:after="0"/>
        <w:tabs>
          <w:tab w:leader="none" w:pos="184"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 on Options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right="160" w:firstLine="436"/>
        <w:spacing w:after="0" w:line="286" w:lineRule="auto"/>
        <w:tabs>
          <w:tab w:leader="none" w:pos="689" w:val="left"/>
        </w:tabs>
        <w:numPr>
          <w:ilvl w:val="1"/>
          <w:numId w:val="611"/>
        </w:numPr>
        <w:rPr>
          <w:rFonts w:ascii="Arial" w:cs="Arial" w:eastAsia="Arial" w:hAnsi="Arial"/>
          <w:sz w:val="16"/>
          <w:szCs w:val="16"/>
          <w:color w:val="auto"/>
        </w:rPr>
      </w:pPr>
      <w:r>
        <w:rPr>
          <w:rFonts w:ascii="Arial" w:cs="Arial" w:eastAsia="Arial" w:hAnsi="Arial"/>
          <w:sz w:val="16"/>
          <w:szCs w:val="16"/>
          <w:u w:val="single" w:color="auto"/>
          <w:color w:val="auto"/>
        </w:rPr>
        <w:t>Minimum Vesting Rate</w:t>
      </w:r>
      <w:r>
        <w:rPr>
          <w:rFonts w:ascii="Arial" w:cs="Arial" w:eastAsia="Arial" w:hAnsi="Arial"/>
          <w:sz w:val="16"/>
          <w:szCs w:val="16"/>
          <w:color w:val="auto"/>
        </w:rPr>
        <w:t xml:space="preserve">. Except in the case of Options granted to California Participants who are officers, directors, managers, consultants or advisors of the Company or its affiliates (which Options may become exercisable at whatever rate is determined by the Board), Options granted to California Participants shall become exercisable at a rate of not less than 20% per year over five years from the date of grant; </w:t>
      </w:r>
      <w:r>
        <w:rPr>
          <w:rFonts w:ascii="Arial" w:cs="Arial" w:eastAsia="Arial" w:hAnsi="Arial"/>
          <w:sz w:val="16"/>
          <w:szCs w:val="16"/>
          <w:i w:val="1"/>
          <w:iCs w:val="1"/>
          <w:color w:val="auto"/>
        </w:rPr>
        <w:t>provided, that</w:t>
      </w:r>
      <w:r>
        <w:rPr>
          <w:rFonts w:ascii="Arial" w:cs="Arial" w:eastAsia="Arial" w:hAnsi="Arial"/>
          <w:sz w:val="16"/>
          <w:szCs w:val="16"/>
          <w:color w:val="auto"/>
        </w:rPr>
        <w:t>, such Options may be subject to such reasonable forfeiture conditions as the Board may choose to impose and which are not inconsistent with</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260.140.41 of the California Regulations.</w:t>
      </w:r>
    </w:p>
    <w:p>
      <w:pPr>
        <w:spacing w:after="0" w:line="210" w:lineRule="exact"/>
        <w:rPr>
          <w:rFonts w:ascii="Arial" w:cs="Arial" w:eastAsia="Arial" w:hAnsi="Arial"/>
          <w:sz w:val="16"/>
          <w:szCs w:val="16"/>
          <w:color w:val="auto"/>
        </w:rPr>
      </w:pPr>
    </w:p>
    <w:p>
      <w:pPr>
        <w:ind w:left="4" w:firstLine="436"/>
        <w:spacing w:after="0" w:line="275" w:lineRule="auto"/>
        <w:tabs>
          <w:tab w:leader="none" w:pos="699" w:val="left"/>
        </w:tabs>
        <w:numPr>
          <w:ilvl w:val="1"/>
          <w:numId w:val="611"/>
        </w:numPr>
        <w:rPr>
          <w:rFonts w:ascii="Arial" w:cs="Arial" w:eastAsia="Arial" w:hAnsi="Arial"/>
          <w:sz w:val="17"/>
          <w:szCs w:val="17"/>
          <w:color w:val="auto"/>
        </w:rPr>
      </w:pPr>
      <w:r>
        <w:rPr>
          <w:rFonts w:ascii="Arial" w:cs="Arial" w:eastAsia="Arial" w:hAnsi="Arial"/>
          <w:sz w:val="17"/>
          <w:szCs w:val="17"/>
          <w:u w:val="single" w:color="auto"/>
          <w:color w:val="auto"/>
        </w:rPr>
        <w:t>Minimum Exercise Price</w:t>
      </w:r>
      <w:r>
        <w:rPr>
          <w:rFonts w:ascii="Arial" w:cs="Arial" w:eastAsia="Arial" w:hAnsi="Arial"/>
          <w:sz w:val="17"/>
          <w:szCs w:val="17"/>
          <w:color w:val="auto"/>
        </w:rPr>
        <w:t xml:space="preserve">. The exercise price of Options granted to California Participants may not be less than 85% of the Fair Market Value of the Common Stock on the date of grant in the case of a Nonstatutory Stock Option or less than 100% of the Fair Market Value of the Common Stock on the date of grant in the case of an Incentive Stock Option;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California Participant is a person who owns stock possessing more than 10% of the total combined voting power of all classes of stock of the Company or its parent or subsidiary corporations, the exercise price shall be not less than 110% of the Fair Market Value of the Common Stock on the date of grant.</w:t>
      </w:r>
    </w:p>
    <w:p>
      <w:pPr>
        <w:spacing w:after="0" w:line="176" w:lineRule="exact"/>
        <w:rPr>
          <w:rFonts w:ascii="Arial" w:cs="Arial" w:eastAsia="Arial" w:hAnsi="Arial"/>
          <w:sz w:val="17"/>
          <w:szCs w:val="17"/>
          <w:color w:val="auto"/>
        </w:rPr>
      </w:pPr>
    </w:p>
    <w:p>
      <w:pPr>
        <w:ind w:left="4" w:right="460" w:firstLine="436"/>
        <w:spacing w:after="0" w:line="277" w:lineRule="auto"/>
        <w:tabs>
          <w:tab w:leader="none" w:pos="689" w:val="left"/>
        </w:tabs>
        <w:numPr>
          <w:ilvl w:val="1"/>
          <w:numId w:val="611"/>
        </w:numPr>
        <w:rPr>
          <w:rFonts w:ascii="Arial" w:cs="Arial" w:eastAsia="Arial" w:hAnsi="Arial"/>
          <w:sz w:val="18"/>
          <w:szCs w:val="18"/>
          <w:color w:val="auto"/>
        </w:rPr>
      </w:pPr>
      <w:r>
        <w:rPr>
          <w:rFonts w:ascii="Arial" w:cs="Arial" w:eastAsia="Arial" w:hAnsi="Arial"/>
          <w:sz w:val="18"/>
          <w:szCs w:val="18"/>
          <w:u w:val="single" w:color="auto"/>
          <w:color w:val="auto"/>
        </w:rPr>
        <w:t>Maximum Duration of Options</w:t>
      </w:r>
      <w:r>
        <w:rPr>
          <w:rFonts w:ascii="Arial" w:cs="Arial" w:eastAsia="Arial" w:hAnsi="Arial"/>
          <w:sz w:val="18"/>
          <w:szCs w:val="18"/>
          <w:color w:val="auto"/>
        </w:rPr>
        <w:t>. No Options granted to California Participants shall have a term in excess of 10 years measured from the Option grant date.</w:t>
      </w:r>
    </w:p>
    <w:p>
      <w:pPr>
        <w:spacing w:after="0" w:line="170" w:lineRule="exact"/>
        <w:rPr>
          <w:rFonts w:ascii="Arial" w:cs="Arial" w:eastAsia="Arial" w:hAnsi="Arial"/>
          <w:sz w:val="18"/>
          <w:szCs w:val="18"/>
          <w:color w:val="auto"/>
        </w:rPr>
      </w:pPr>
    </w:p>
    <w:p>
      <w:pPr>
        <w:ind w:left="4" w:right="60" w:firstLine="436"/>
        <w:spacing w:after="0" w:line="272" w:lineRule="auto"/>
        <w:tabs>
          <w:tab w:leader="none" w:pos="699" w:val="left"/>
        </w:tabs>
        <w:numPr>
          <w:ilvl w:val="1"/>
          <w:numId w:val="611"/>
        </w:numPr>
        <w:rPr>
          <w:rFonts w:ascii="Arial" w:cs="Arial" w:eastAsia="Arial" w:hAnsi="Arial"/>
          <w:sz w:val="17"/>
          <w:szCs w:val="17"/>
          <w:color w:val="auto"/>
        </w:rPr>
      </w:pPr>
      <w:r>
        <w:rPr>
          <w:rFonts w:ascii="Arial" w:cs="Arial" w:eastAsia="Arial" w:hAnsi="Arial"/>
          <w:sz w:val="17"/>
          <w:szCs w:val="17"/>
          <w:u w:val="single" w:color="auto"/>
          <w:color w:val="auto"/>
        </w:rPr>
        <w:t>Minimum Exercise Period Following Termination</w:t>
      </w:r>
      <w:r>
        <w:rPr>
          <w:rFonts w:ascii="Arial" w:cs="Arial" w:eastAsia="Arial" w:hAnsi="Arial"/>
          <w:sz w:val="17"/>
          <w:szCs w:val="17"/>
          <w:color w:val="auto"/>
        </w:rPr>
        <w:t>.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as follows: (i) at least six months from the date of termination, if termination was caused by such Participant’s death or “permanent and total disability” (within the meaning of Section 22(e)(3) of the Code) and (ii) at least 30 days from the date of termination, if termination was caused other than by such Participant’s death or “permanent and total disability” (within the meaning of Section 22(e)(3) of the Code).</w:t>
      </w:r>
    </w:p>
    <w:p>
      <w:pPr>
        <w:spacing w:after="0" w:line="177" w:lineRule="exact"/>
        <w:rPr>
          <w:rFonts w:ascii="Arial" w:cs="Arial" w:eastAsia="Arial" w:hAnsi="Arial"/>
          <w:sz w:val="17"/>
          <w:szCs w:val="17"/>
          <w:color w:val="auto"/>
        </w:rPr>
      </w:pPr>
    </w:p>
    <w:p>
      <w:pPr>
        <w:ind w:left="4" w:right="180" w:firstLine="436"/>
        <w:spacing w:after="0" w:line="263" w:lineRule="auto"/>
        <w:tabs>
          <w:tab w:leader="none" w:pos="689" w:val="left"/>
        </w:tabs>
        <w:numPr>
          <w:ilvl w:val="1"/>
          <w:numId w:val="611"/>
        </w:numPr>
        <w:rPr>
          <w:rFonts w:ascii="Arial" w:cs="Arial" w:eastAsia="Arial" w:hAnsi="Arial"/>
          <w:sz w:val="18"/>
          <w:szCs w:val="18"/>
          <w:color w:val="auto"/>
        </w:rPr>
      </w:pPr>
      <w:r>
        <w:rPr>
          <w:rFonts w:ascii="Arial" w:cs="Arial" w:eastAsia="Arial" w:hAnsi="Arial"/>
          <w:sz w:val="18"/>
          <w:szCs w:val="18"/>
          <w:u w:val="single" w:color="auto"/>
          <w:color w:val="auto"/>
        </w:rPr>
        <w:t>Limitation on Repurchase Rights</w:t>
      </w:r>
      <w:r>
        <w:rPr>
          <w:rFonts w:ascii="Arial" w:cs="Arial" w:eastAsia="Arial" w:hAnsi="Arial"/>
          <w:sz w:val="18"/>
          <w:szCs w:val="18"/>
          <w:color w:val="auto"/>
        </w:rPr>
        <w:t>. If an Option granted to a California Participant gives the Company the right to repurchase shares of Common Stock issued pursuant to the Plan upon termination of employment of such Participant, the terms of such repurchase right must comply with Section 260.140.41(k) of the California Regulations.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64"/>
          </w:cols>
          <w:pgMar w:left="436" w:top="271" w:right="499" w:bottom="1440" w:gutter="0" w:footer="0" w:header="0"/>
        </w:sectPr>
      </w:pPr>
    </w:p>
    <w:bookmarkStart w:id="641" w:name="page642"/>
    <w:bookmarkEnd w:id="641"/>
    <w:p>
      <w:pPr>
        <w:ind w:left="184" w:hanging="184"/>
        <w:spacing w:after="0"/>
        <w:tabs>
          <w:tab w:leader="none" w:pos="184" w:val="left"/>
        </w:tabs>
        <w:numPr>
          <w:ilvl w:val="0"/>
          <w:numId w:val="6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Limitations for Restricted Stock</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right="60" w:firstLine="436"/>
        <w:spacing w:after="0" w:line="255" w:lineRule="auto"/>
        <w:tabs>
          <w:tab w:leader="none" w:pos="689" w:val="left"/>
        </w:tabs>
        <w:numPr>
          <w:ilvl w:val="1"/>
          <w:numId w:val="612"/>
        </w:numPr>
        <w:rPr>
          <w:rFonts w:ascii="Arial" w:cs="Arial" w:eastAsia="Arial" w:hAnsi="Arial"/>
          <w:sz w:val="18"/>
          <w:szCs w:val="18"/>
          <w:color w:val="auto"/>
        </w:rPr>
      </w:pPr>
      <w:r>
        <w:rPr>
          <w:rFonts w:ascii="Arial" w:cs="Arial" w:eastAsia="Arial" w:hAnsi="Arial"/>
          <w:sz w:val="18"/>
          <w:szCs w:val="18"/>
          <w:u w:val="single" w:color="auto"/>
          <w:color w:val="auto"/>
        </w:rPr>
        <w:t>Minimum Purchase Price</w:t>
      </w:r>
      <w:r>
        <w:rPr>
          <w:rFonts w:ascii="Arial" w:cs="Arial" w:eastAsia="Arial" w:hAnsi="Arial"/>
          <w:sz w:val="18"/>
          <w:szCs w:val="18"/>
          <w:color w:val="auto"/>
        </w:rPr>
        <w:t xml:space="preserve">. The purchase price for Restricted Stock granted to a California Participant shall be not less than 85% of the Fair Market Value of the Common Stock at the time such Participant is granted the right to purchase shares under the Plan or at the time the purchase is consummated;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Participant is a person who owns stock possessing more than 10% of the total combined voting power or value of all classes of stock of the Company or its parent or subsidiary corporations, the purchase price shall be not less than 100% of the Fair Market Value of the Common Stock at the time such Participant is granted the right to purchase shares under the Plan or at the time the purchase is consummated.</w:t>
      </w:r>
    </w:p>
    <w:p>
      <w:pPr>
        <w:spacing w:after="0" w:line="192" w:lineRule="exact"/>
        <w:rPr>
          <w:rFonts w:ascii="Arial" w:cs="Arial" w:eastAsia="Arial" w:hAnsi="Arial"/>
          <w:sz w:val="18"/>
          <w:szCs w:val="18"/>
          <w:color w:val="auto"/>
        </w:rPr>
      </w:pPr>
    </w:p>
    <w:p>
      <w:pPr>
        <w:jc w:val="both"/>
        <w:ind w:left="4" w:right="160" w:firstLine="436"/>
        <w:spacing w:after="0" w:line="263" w:lineRule="auto"/>
        <w:tabs>
          <w:tab w:leader="none" w:pos="699" w:val="left"/>
        </w:tabs>
        <w:numPr>
          <w:ilvl w:val="1"/>
          <w:numId w:val="612"/>
        </w:numPr>
        <w:rPr>
          <w:rFonts w:ascii="Arial" w:cs="Arial" w:eastAsia="Arial" w:hAnsi="Arial"/>
          <w:sz w:val="18"/>
          <w:szCs w:val="18"/>
          <w:color w:val="auto"/>
        </w:rPr>
      </w:pPr>
      <w:r>
        <w:rPr>
          <w:rFonts w:ascii="Arial" w:cs="Arial" w:eastAsia="Arial" w:hAnsi="Arial"/>
          <w:sz w:val="18"/>
          <w:szCs w:val="18"/>
          <w:u w:val="single" w:color="auto"/>
          <w:color w:val="auto"/>
        </w:rPr>
        <w:t>Limitation of Repurchase Rights</w:t>
      </w:r>
      <w:r>
        <w:rPr>
          <w:rFonts w:ascii="Arial" w:cs="Arial" w:eastAsia="Arial" w:hAnsi="Arial"/>
          <w:sz w:val="18"/>
          <w:szCs w:val="18"/>
          <w:color w:val="auto"/>
        </w:rPr>
        <w:t>. If Restricted Stock granted to a California Participant gives the Company the right to repurchase shares of Common Stock issued pursuant to the Plan upon termination of employment of such Participant, the terms of such repurchase right must comply with Section 260.140.42(h) of the California Regulations.</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6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 for Other Stock-Based Awards</w:t>
      </w:r>
      <w:r>
        <w:rPr>
          <w:rFonts w:ascii="Arial" w:cs="Arial" w:eastAsia="Arial" w:hAnsi="Arial"/>
          <w:sz w:val="18"/>
          <w:szCs w:val="18"/>
          <w:b w:val="1"/>
          <w:bCs w:val="1"/>
          <w:color w:val="auto"/>
        </w:rPr>
        <w:t>.</w:t>
      </w:r>
    </w:p>
    <w:p>
      <w:pPr>
        <w:spacing w:after="0" w:line="229" w:lineRule="exact"/>
        <w:rPr>
          <w:sz w:val="20"/>
          <w:szCs w:val="20"/>
          <w:color w:val="auto"/>
        </w:rPr>
      </w:pPr>
    </w:p>
    <w:p>
      <w:pPr>
        <w:ind w:left="4" w:right="1140" w:firstLine="440"/>
        <w:spacing w:after="0" w:line="277" w:lineRule="auto"/>
        <w:rPr>
          <w:sz w:val="20"/>
          <w:szCs w:val="20"/>
          <w:color w:val="auto"/>
        </w:rPr>
      </w:pPr>
      <w:r>
        <w:rPr>
          <w:rFonts w:ascii="Arial" w:cs="Arial" w:eastAsia="Arial" w:hAnsi="Arial"/>
          <w:sz w:val="18"/>
          <w:szCs w:val="18"/>
          <w:color w:val="auto"/>
        </w:rPr>
        <w:t>The terms of all Awards granted to a California Participant under Section 7 of the Plan shall comply, to the extent applicable, with Section 260.140.41 or Section 260.140.42 of the California Regulations.</w:t>
      </w:r>
    </w:p>
    <w:p>
      <w:pPr>
        <w:spacing w:after="0" w:line="166" w:lineRule="exact"/>
        <w:rPr>
          <w:sz w:val="20"/>
          <w:szCs w:val="20"/>
          <w:color w:val="auto"/>
        </w:rPr>
      </w:pPr>
    </w:p>
    <w:p>
      <w:pPr>
        <w:ind w:left="184" w:hanging="184"/>
        <w:spacing w:after="0"/>
        <w:tabs>
          <w:tab w:leader="none" w:pos="184" w:val="left"/>
        </w:tabs>
        <w:numPr>
          <w:ilvl w:val="0"/>
          <w:numId w:val="6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Requirement to Provide Information to California Participants</w:t>
      </w:r>
      <w:r>
        <w:rPr>
          <w:rFonts w:ascii="Arial" w:cs="Arial" w:eastAsia="Arial" w:hAnsi="Arial"/>
          <w:sz w:val="18"/>
          <w:szCs w:val="18"/>
          <w:b w:val="1"/>
          <w:bCs w:val="1"/>
          <w:color w:val="auto"/>
        </w:rPr>
        <w:t>.</w:t>
      </w:r>
    </w:p>
    <w:p>
      <w:pPr>
        <w:spacing w:after="0" w:line="22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employees whose duties in connection with the Company assure their access to equivalent information.</w:t>
      </w:r>
    </w:p>
    <w:p>
      <w:pPr>
        <w:spacing w:after="0" w:line="161" w:lineRule="exact"/>
        <w:rPr>
          <w:sz w:val="20"/>
          <w:szCs w:val="20"/>
          <w:color w:val="auto"/>
        </w:rPr>
      </w:pPr>
    </w:p>
    <w:p>
      <w:pPr>
        <w:ind w:left="184" w:hanging="184"/>
        <w:spacing w:after="0"/>
        <w:tabs>
          <w:tab w:leader="none" w:pos="184" w:val="left"/>
        </w:tabs>
        <w:numPr>
          <w:ilvl w:val="0"/>
          <w:numId w:val="6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 on Timing of Awards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No Award granted to a California Participant shall become exercisable, vested or realizable, as applicable to such Award, unless the Plan has been approved by the holders of a majority of the Company’s outstanding voting securities within 12 months before or after the date the Plan was adopted by the Board.</w:t>
      </w:r>
    </w:p>
    <w:p>
      <w:pPr>
        <w:spacing w:after="0" w:line="180" w:lineRule="exact"/>
        <w:rPr>
          <w:sz w:val="20"/>
          <w:szCs w:val="20"/>
          <w:color w:val="auto"/>
        </w:rPr>
      </w:pPr>
    </w:p>
    <w:p>
      <w:pPr>
        <w:ind w:left="184" w:hanging="184"/>
        <w:spacing w:after="0"/>
        <w:tabs>
          <w:tab w:leader="none" w:pos="184" w:val="left"/>
        </w:tabs>
        <w:numPr>
          <w:ilvl w:val="0"/>
          <w:numId w:val="6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Limitations Relating to Definition of Fair Market Value</w:t>
      </w:r>
      <w:r>
        <w:rPr>
          <w:rFonts w:ascii="Arial" w:cs="Arial" w:eastAsia="Arial" w:hAnsi="Arial"/>
          <w:sz w:val="18"/>
          <w:szCs w:val="18"/>
          <w:b w:val="1"/>
          <w:bCs w:val="1"/>
          <w:color w:val="auto"/>
        </w:rPr>
        <w:t>.</w:t>
      </w:r>
    </w:p>
    <w:p>
      <w:pPr>
        <w:spacing w:after="0" w:line="229" w:lineRule="exact"/>
        <w:rPr>
          <w:sz w:val="20"/>
          <w:szCs w:val="20"/>
          <w:color w:val="auto"/>
        </w:rPr>
      </w:pPr>
    </w:p>
    <w:p>
      <w:pPr>
        <w:ind w:left="4" w:right="980" w:firstLine="440"/>
        <w:spacing w:after="0" w:line="277" w:lineRule="auto"/>
        <w:rPr>
          <w:sz w:val="20"/>
          <w:szCs w:val="20"/>
          <w:color w:val="auto"/>
        </w:rPr>
      </w:pPr>
      <w:r>
        <w:rPr>
          <w:rFonts w:ascii="Arial" w:cs="Arial" w:eastAsia="Arial" w:hAnsi="Arial"/>
          <w:sz w:val="18"/>
          <w:szCs w:val="18"/>
          <w:color w:val="auto"/>
        </w:rPr>
        <w:t>For purposes of Section 1(b) and 2(a) of this supplement, “Fair Market Value” shall be determined in a manner not inconsistent with Section 260.140.50 of the California Regulations.</w:t>
      </w:r>
    </w:p>
    <w:p>
      <w:pPr>
        <w:spacing w:after="0" w:line="166" w:lineRule="exact"/>
        <w:rPr>
          <w:sz w:val="20"/>
          <w:szCs w:val="20"/>
          <w:color w:val="auto"/>
        </w:rPr>
      </w:pPr>
    </w:p>
    <w:p>
      <w:pPr>
        <w:ind w:left="184" w:hanging="184"/>
        <w:spacing w:after="0"/>
        <w:tabs>
          <w:tab w:leader="none" w:pos="184" w:val="left"/>
        </w:tabs>
        <w:numPr>
          <w:ilvl w:val="0"/>
          <w:numId w:val="6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Restriction Regarding Recapitalizations, Stock Splits, Etc</w:t>
      </w:r>
      <w:r>
        <w:rPr>
          <w:rFonts w:ascii="Arial" w:cs="Arial" w:eastAsia="Arial" w:hAnsi="Arial"/>
          <w:sz w:val="18"/>
          <w:szCs w:val="18"/>
          <w:b w:val="1"/>
          <w:bCs w:val="1"/>
          <w:color w:val="auto"/>
        </w:rPr>
        <w:t>.</w:t>
      </w:r>
    </w:p>
    <w:p>
      <w:pPr>
        <w:spacing w:after="0" w:line="229" w:lineRule="exact"/>
        <w:rPr>
          <w:sz w:val="20"/>
          <w:szCs w:val="20"/>
          <w:color w:val="auto"/>
        </w:rPr>
      </w:pPr>
    </w:p>
    <w:p>
      <w:pPr>
        <w:ind w:left="4" w:right="400" w:firstLine="440"/>
        <w:spacing w:after="0" w:line="286" w:lineRule="auto"/>
        <w:rPr>
          <w:sz w:val="20"/>
          <w:szCs w:val="20"/>
          <w:color w:val="auto"/>
        </w:rPr>
      </w:pPr>
      <w:r>
        <w:rPr>
          <w:rFonts w:ascii="Arial" w:cs="Arial" w:eastAsia="Arial" w:hAnsi="Arial"/>
          <w:sz w:val="17"/>
          <w:szCs w:val="17"/>
          <w:color w:val="auto"/>
        </w:rPr>
        <w:t>For purposes of Section 8 of the Plan, in the event of a stock split, reverse stock split, stock dividend, recapitalization, combination, reclassification or other distribution of the Company’s securities, the number of securities allocated to each California Participant must be adjusted proportionately and without the receipt by the Company of any consideration from any California Participant.</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4"/>
          </w:cols>
          <w:pgMar w:left="436" w:top="270" w:right="519" w:bottom="1440" w:gutter="0" w:footer="0" w:header="0"/>
        </w:sectPr>
      </w:pPr>
    </w:p>
    <w:bookmarkStart w:id="642" w:name="page643"/>
    <w:bookmarkEnd w:id="642"/>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STOCK RESTRICTION AGREEMENT</w:t>
      </w:r>
    </w:p>
    <w:p>
      <w:pPr>
        <w:spacing w:after="0" w:line="229"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This Stock Restriction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March 10,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Aeglea BioTherapeutics,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 E C I T A L S</w:t>
      </w:r>
    </w:p>
    <w:p>
      <w:pPr>
        <w:spacing w:after="0" w:line="229"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A. Stockholder was the owner of Common B Shares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of Aeglea BioTherapeutics Holdings, LLC, the predecessor in interest of the Company (the “</w:t>
      </w:r>
      <w:r>
        <w:rPr>
          <w:rFonts w:ascii="Arial" w:cs="Arial" w:eastAsia="Arial" w:hAnsi="Arial"/>
          <w:sz w:val="18"/>
          <w:szCs w:val="18"/>
          <w:b w:val="1"/>
          <w:bCs w:val="1"/>
          <w:i w:val="1"/>
          <w:iCs w:val="1"/>
          <w:color w:val="auto"/>
        </w:rPr>
        <w:t>Predecessor LLC</w:t>
      </w:r>
      <w:r>
        <w:rPr>
          <w:rFonts w:ascii="Arial" w:cs="Arial" w:eastAsia="Arial" w:hAnsi="Arial"/>
          <w:sz w:val="18"/>
          <w:szCs w:val="18"/>
          <w:color w:val="auto"/>
        </w:rPr>
        <w:t>”), acquired pursuant to that certain Award Agreement dated as of by and between the Stockholder and the Predecessor LLC (the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w:t>
      </w:r>
    </w:p>
    <w:p>
      <w:pPr>
        <w:spacing w:after="0" w:line="184"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B. Pursuant to that certain Plan of Conversion, dated as of the date hereof, the Units converted into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(such conversion of the Units into Shares, the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and as of such date % of the Units were vested and % of the Units were unvested in accordance with the terms of the Award Agreement.</w:t>
      </w:r>
    </w:p>
    <w:p>
      <w:pPr>
        <w:spacing w:after="0" w:line="184"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C. To induce certain investors to purchase shares of the Company’s Series B Preferred Stock pursuant to that certain Series B Preferred Stock Purchase Agreement by and among the Company and such investors dated of even date herewith, and as an incentive for Stockholder to remain with the Company or an Affiliate (as defined below) of the Company, the parties have agreed upon a mechanism for the repurchase of certain of the Shares from Stockholder should Stockholder’s relationship with the Company terminate, all as more fully set forth below.</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herein contained, the Company and Stockholder agree as follows.</w:t>
      </w:r>
    </w:p>
    <w:p>
      <w:pPr>
        <w:spacing w:after="0" w:line="225" w:lineRule="exact"/>
        <w:rPr>
          <w:sz w:val="20"/>
          <w:szCs w:val="20"/>
          <w:color w:val="auto"/>
        </w:rPr>
      </w:pPr>
    </w:p>
    <w:p>
      <w:pPr>
        <w:ind w:left="4" w:right="20" w:hanging="4"/>
        <w:spacing w:after="0" w:line="269" w:lineRule="auto"/>
        <w:tabs>
          <w:tab w:leader="none" w:pos="184" w:val="left"/>
        </w:tabs>
        <w:numPr>
          <w:ilvl w:val="0"/>
          <w:numId w:val="6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MARKET STANDOFF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hereby agrees that during a period, not to exceed 180 days (or, if required by such</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 such longer period of time as is necessary to enable such underwriter to issue a research report or make a public appearance that relates to an earnings release or announcement by the Company within 18 days prior to or after the date that is one hundred eighty (180) days after the effective date of the registration statement relating to such offering, but in any event not to exceed two hundred ten (210) days following the effective date of the registration statement relating to such offering), following the effective date of the initial, effective registration statement of the Company filed under the Securities Act (“</w:t>
      </w:r>
      <w:r>
        <w:rPr>
          <w:rFonts w:ascii="Arial" w:cs="Arial" w:eastAsia="Arial" w:hAnsi="Arial"/>
          <w:sz w:val="17"/>
          <w:szCs w:val="17"/>
          <w:b w:val="1"/>
          <w:bCs w:val="1"/>
          <w:i w:val="1"/>
          <w:iCs w:val="1"/>
          <w:color w:val="auto"/>
        </w:rPr>
        <w:t>IPO</w:t>
      </w:r>
      <w:r>
        <w:rPr>
          <w:rFonts w:ascii="Arial" w:cs="Arial" w:eastAsia="Arial" w:hAnsi="Arial"/>
          <w:sz w:val="17"/>
          <w:szCs w:val="17"/>
          <w:color w:val="auto"/>
        </w:rPr>
        <w:t>”), it shall not, to the extent requested by the Company and any underwriter, sell, pledge, transfer, make any short sale of, loan, grant any option for the purchase of, or otherwise transfer or dispose of any Capital Stock of the Company held by it at any time during such period except Capital Stock included in such registration. The underwriters in connection with the IPO are intended third-party beneficiaries of this Section 1 and shall have the right, power and authority to enforce the provisions hereof as though they were a party hereto. Each Holder further agrees to execute such agreements as may be reasonably requested by the underwriters in the IPO that are consistent with this Section 1 or that are necessary to give further effect thereto.</w:t>
      </w:r>
    </w:p>
    <w:p>
      <w:pPr>
        <w:spacing w:after="0" w:line="181" w:lineRule="exact"/>
        <w:rPr>
          <w:rFonts w:ascii="Arial" w:cs="Arial" w:eastAsia="Arial" w:hAnsi="Arial"/>
          <w:sz w:val="17"/>
          <w:szCs w:val="17"/>
          <w:b w:val="1"/>
          <w:bCs w:val="1"/>
          <w:color w:val="auto"/>
        </w:rPr>
      </w:pPr>
    </w:p>
    <w:p>
      <w:pPr>
        <w:ind w:left="4" w:right="40" w:hanging="4"/>
        <w:spacing w:after="0" w:line="277" w:lineRule="auto"/>
        <w:tabs>
          <w:tab w:leader="none" w:pos="184" w:val="left"/>
        </w:tabs>
        <w:numPr>
          <w:ilvl w:val="0"/>
          <w:numId w:val="6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ON TRANSFER</w:t>
      </w:r>
      <w:r>
        <w:rPr>
          <w:rFonts w:ascii="Arial" w:cs="Arial" w:eastAsia="Arial" w:hAnsi="Arial"/>
          <w:sz w:val="17"/>
          <w:szCs w:val="17"/>
          <w:color w:val="auto"/>
        </w:rPr>
        <w:t>. Stockholder acknowledges and agrees that neither Unvested Shares (defined below) nor Vested Shares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below) may be sold or otherwise transferred in any manner otherwise than by will or by the laws of descent or distribution, without the prior written consent of the Company. The terms of this Agreement shall be binding upon the executors, administrators, heirs, successors and assigns of Stockholder. The restrictions on transfer set forth in this Section 2 will expire on the earlier of an IPO or a Company Sale (as defined in the Company’s restated certificate of incorporation, as may be amended from time to time).</w:t>
      </w:r>
    </w:p>
    <w:p>
      <w:pPr>
        <w:spacing w:after="0" w:line="167" w:lineRule="exact"/>
        <w:rPr>
          <w:rFonts w:ascii="Arial" w:cs="Arial" w:eastAsia="Arial" w:hAnsi="Arial"/>
          <w:sz w:val="17"/>
          <w:szCs w:val="17"/>
          <w:b w:val="1"/>
          <w:bCs w:val="1"/>
          <w:color w:val="auto"/>
        </w:rPr>
      </w:pPr>
    </w:p>
    <w:p>
      <w:pPr>
        <w:ind w:left="4" w:right="20" w:hanging="4"/>
        <w:spacing w:after="0" w:line="266" w:lineRule="auto"/>
        <w:tabs>
          <w:tab w:leader="none" w:pos="184" w:val="left"/>
        </w:tabs>
        <w:numPr>
          <w:ilvl w:val="0"/>
          <w:numId w:val="6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RIGHT OF FIRST REFUSAL</w:t>
      </w:r>
      <w:r>
        <w:rPr>
          <w:rFonts w:ascii="Arial" w:cs="Arial" w:eastAsia="Arial" w:hAnsi="Arial"/>
          <w:sz w:val="18"/>
          <w:szCs w:val="18"/>
          <w:color w:val="auto"/>
        </w:rPr>
        <w:t>. In addition to the restrictions on transfer set forth in Section 2 above, and any restrictions on</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applicable under the that certain Right of First Refusal and Co-Sale Agreement dated March 9, 2015 between the Company and certain investors and other stockholders, as may be</w:t>
      </w:r>
    </w:p>
    <w:p>
      <w:pPr>
        <w:sectPr>
          <w:pgSz w:w="11900" w:h="16838" w:orient="portrait"/>
          <w:cols w:equalWidth="0" w:num="1">
            <w:col w:w="11024"/>
          </w:cols>
          <w:pgMar w:left="436" w:top="122" w:right="439" w:bottom="1440" w:gutter="0" w:footer="0" w:header="0"/>
        </w:sectPr>
      </w:pPr>
    </w:p>
    <w:bookmarkStart w:id="643" w:name="page644"/>
    <w:bookmarkEnd w:id="643"/>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from time to time, Stockholder acknowledges and agrees that if the foregoing restrictions are not applicable for any reason, then the following restrictions on transfer shall instead apply: (i) Unvested Shares (defined below) may not be sold or otherwise transferred by Stockholder without the Company’s prior written consent, and (ii) that before any Vested Shares held by Stockholder or any transferee of such Vested Shares (either sometimes referred to herein as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may be sold or otherwise transferred (including without limitation a transfer by gift or operation of law), the Company and/or its assignee(s) will have a right of first refusal to purchase the Shares to be sold or transferred (the “</w:t>
      </w:r>
      <w:r>
        <w:rPr>
          <w:rFonts w:ascii="Arial" w:cs="Arial" w:eastAsia="Arial" w:hAnsi="Arial"/>
          <w:sz w:val="17"/>
          <w:szCs w:val="17"/>
          <w:b w:val="1"/>
          <w:bCs w:val="1"/>
          <w:i w:val="1"/>
          <w:iCs w:val="1"/>
          <w:color w:val="auto"/>
        </w:rPr>
        <w:t>Offered Shares</w:t>
      </w:r>
      <w:r>
        <w:rPr>
          <w:rFonts w:ascii="Arial" w:cs="Arial" w:eastAsia="Arial" w:hAnsi="Arial"/>
          <w:sz w:val="17"/>
          <w:szCs w:val="17"/>
          <w:color w:val="auto"/>
        </w:rPr>
        <w:t>”) on the terms and conditions set forth in this Section 3 (the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Notice of Proposed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the Offered Shares will deliver to the Company a written notice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stating: (a)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bona fide intention to sell or otherwise transfer the Offered Shares; (b) the name and address of each proposed purchaser or other transferee (the “</w:t>
      </w:r>
      <w:r>
        <w:rPr>
          <w:rFonts w:ascii="Arial" w:cs="Arial" w:eastAsia="Arial" w:hAnsi="Arial"/>
          <w:sz w:val="18"/>
          <w:szCs w:val="18"/>
          <w:b w:val="1"/>
          <w:bCs w:val="1"/>
          <w:i w:val="1"/>
          <w:iCs w:val="1"/>
          <w:color w:val="auto"/>
        </w:rPr>
        <w:t>Proposed Transferee</w:t>
      </w:r>
      <w:r>
        <w:rPr>
          <w:rFonts w:ascii="Arial" w:cs="Arial" w:eastAsia="Arial" w:hAnsi="Arial"/>
          <w:sz w:val="18"/>
          <w:szCs w:val="18"/>
          <w:color w:val="auto"/>
        </w:rPr>
        <w:t>”); (c) the number of Offered Shares to be transferred to each Proposed Transferee; (d) the bona fide cash price or other consideration for which the Holder proposes to transfer the Offered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(e) that the Holder acknowledges this Notice is an offer to sell the Offered Shares to the Company and/or its assignee(s) pursuant to the Company’s Right of First Refusal at the Offered Price as provided for in this Agreement.</w:t>
      </w:r>
    </w:p>
    <w:p>
      <w:pPr>
        <w:spacing w:after="0" w:line="18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Exercise of Right of First Refusal</w:t>
      </w:r>
      <w:r>
        <w:rPr>
          <w:rFonts w:ascii="Arial" w:cs="Arial" w:eastAsia="Arial" w:hAnsi="Arial"/>
          <w:sz w:val="18"/>
          <w:szCs w:val="18"/>
          <w:color w:val="auto"/>
        </w:rPr>
        <w:t>. At any time within thirty (30) days after the date the Notice was effective in accordance with Section 10.1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in accordance with Section 3.3 below.</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for the Offered Shares purchased under this Section will be the Offered Price, provided that if the Offered Price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no legal consideration (as, for example, in the case of a transfer by gift), the purchase price will be the fair market value of the Offered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Payment of the purchase price for the Offered Shares will be payable, at the option of the Company and/or its assignee(s) (as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by check or by cancellation of all or a portion of any outstanding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u w:val="single" w:color="auto"/>
          <w:color w:val="auto"/>
        </w:rPr>
        <w:t>Exempt Transfers</w:t>
      </w:r>
      <w:r>
        <w:rPr>
          <w:rFonts w:ascii="Arial" w:cs="Arial" w:eastAsia="Arial" w:hAnsi="Arial"/>
          <w:sz w:val="16"/>
          <w:szCs w:val="16"/>
          <w:color w:val="auto"/>
        </w:rPr>
        <w:t>. Notwithstanding anything to the contrary in this Section, the following transfers of Vested Shares will be exempt from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of First Refusal: (a) the transfer of any or all of the Vested Shares during Stockholder’s lifetime by gift or on Stockholder’s death by will or intestacy to Stockholder’s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(as defined below) or to a trust for the benefit of Stockholder or Stockholder’s Immediate Family, provided that each transferee or other recipient agrees in a writing satisfactory to the Company that the provisions of this Section will continue to apply to the transferred Vested Shares in the hands of such transferee or other recipient; (b) except as provided in Section 4.2.2 clause (b) below, any transfer or conversion of Vested Shares made pursuant to a statutory merger or statutory consolidation of the Company with or into another corporation or corporations; or (c) any transfer of Vested Shares pursuant to the winding up and dissolution of the Company. As used herein, the term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will mean Stockholder’s spouse, the lineal descendant or antecedent, brother or sister, of Stockholder or Stockholder’s spouse, or the spouse of any lineal descendant or antecedent, brother or sister of Stockholder, or Stockholder’s spouse, whether or not any of the above are adopted.</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Termination of Right of First Refusal</w:t>
      </w:r>
      <w:r>
        <w:rPr>
          <w:rFonts w:ascii="Arial" w:cs="Arial" w:eastAsia="Arial" w:hAnsi="Arial"/>
          <w:sz w:val="18"/>
          <w:szCs w:val="18"/>
          <w:color w:val="auto"/>
        </w:rPr>
        <w:t>. The Right of First Refusal will terminate as to all Shares (a) on the effective date of the first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of the Company to the general public pursuant to a registration statement filed with and declared effective by the SEC under the 1933 Act (other than a registration statement relating solely to the issuance of Common Stock pursuant to a business combination or an employee incentive or benefit plan) or (b)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ectPr>
          <w:pgSz w:w="11900" w:h="16838" w:orient="portrait"/>
          <w:cols w:equalWidth="0" w:num="1">
            <w:col w:w="11020"/>
          </w:cols>
          <w:pgMar w:left="440" w:top="274" w:right="439" w:bottom="1440" w:gutter="0" w:footer="0" w:header="0"/>
        </w:sectPr>
      </w:pPr>
    </w:p>
    <w:bookmarkStart w:id="644" w:name="page645"/>
    <w:bookmarkEnd w:id="644"/>
    <w:p>
      <w:pPr>
        <w:ind w:left="4" w:right="80" w:hanging="4"/>
        <w:spacing w:after="0" w:line="277" w:lineRule="auto"/>
        <w:tabs>
          <w:tab w:leader="none" w:pos="184" w:val="left"/>
        </w:tabs>
        <w:numPr>
          <w:ilvl w:val="0"/>
          <w:numId w:val="6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REPURCHASE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its assignees shall have the option, exercisable if Stockholder ceases to be employed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Company (as defined herein) for any reason, or no reason, including without limitation Stockholder’s death, disability, voluntary resignation or termination by the Company with or without cause, to (i) repurchase all or a portion of the Unvested Shares then held by Stockholder on the terms and conditions set forth in Section 4.4 (the “</w:t>
      </w:r>
      <w:r>
        <w:rPr>
          <w:rFonts w:ascii="Arial" w:cs="Arial" w:eastAsia="Arial" w:hAnsi="Arial"/>
          <w:sz w:val="17"/>
          <w:szCs w:val="17"/>
          <w:b w:val="1"/>
          <w:bCs w:val="1"/>
          <w:i w:val="1"/>
          <w:iCs w:val="1"/>
          <w:color w:val="auto"/>
        </w:rPr>
        <w:t>Unvested Share Repurchase Option</w:t>
      </w:r>
      <w:r>
        <w:rPr>
          <w:rFonts w:ascii="Arial" w:cs="Arial" w:eastAsia="Arial" w:hAnsi="Arial"/>
          <w:sz w:val="17"/>
          <w:szCs w:val="17"/>
          <w:color w:val="auto"/>
        </w:rPr>
        <w:t>”) and (ii) repurchase all or a portion of the Vested Shares then held by Stockholder on the terms and conditions set forth in Section 4.4 (the “</w:t>
      </w:r>
      <w:r>
        <w:rPr>
          <w:rFonts w:ascii="Arial" w:cs="Arial" w:eastAsia="Arial" w:hAnsi="Arial"/>
          <w:sz w:val="17"/>
          <w:szCs w:val="17"/>
          <w:b w:val="1"/>
          <w:bCs w:val="1"/>
          <w:i w:val="1"/>
          <w:iCs w:val="1"/>
          <w:color w:val="auto"/>
        </w:rPr>
        <w:t>Vested Share Repurchase Option</w:t>
      </w:r>
      <w:r>
        <w:rPr>
          <w:rFonts w:ascii="Arial" w:cs="Arial" w:eastAsia="Arial" w:hAnsi="Arial"/>
          <w:sz w:val="17"/>
          <w:szCs w:val="17"/>
          <w:color w:val="auto"/>
        </w:rPr>
        <w:t>”).</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Definition of “Employed by the Company”; “Termination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this Agreement, Stockholder will be considered to be</w:t>
      </w:r>
    </w:p>
    <w:p>
      <w:pPr>
        <w:spacing w:after="0" w:line="39" w:lineRule="exact"/>
        <w:rPr>
          <w:sz w:val="20"/>
          <w:szCs w:val="20"/>
          <w:color w:val="auto"/>
        </w:rPr>
      </w:pPr>
    </w:p>
    <w:p>
      <w:pPr>
        <w:ind w:left="4" w:right="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employed by the Company</w:t>
      </w:r>
      <w:r>
        <w:rPr>
          <w:rFonts w:ascii="Arial" w:cs="Arial" w:eastAsia="Arial" w:hAnsi="Arial"/>
          <w:sz w:val="18"/>
          <w:szCs w:val="18"/>
          <w:color w:val="auto"/>
        </w:rPr>
        <w:t>” if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determines that Stockholder is rendering substantial services as an officer, employee, consultant or independent contractor to the Company or to any Affiliate of the Company. In case of any dispute as to whether Stockholder is employed by the Company, the Board shall have sole discretion to determine whether Stockholder has ceased to be employed by the Company or any Affiliate and the effective date on which Stockholder’s employment terminated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An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that owns, directly or indirectly, shares representing more than 50% of the total combined voting power of all classes of capital stock of the Company or any entity in which the Company owns, directly or indirectly, equity interests representing more than 50% of the voting power of such entity.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Unvested and Vested Shares</w:t>
      </w:r>
      <w:r>
        <w:rPr>
          <w:rFonts w:ascii="Arial" w:cs="Arial" w:eastAsia="Arial" w:hAnsi="Arial"/>
          <w:sz w:val="18"/>
          <w:szCs w:val="18"/>
          <w:color w:val="auto"/>
        </w:rPr>
        <w:t>.</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b w:val="1"/>
          <w:bCs w:val="1"/>
          <w:color w:val="auto"/>
        </w:rPr>
        <w:t xml:space="preserve">4.2.1 </w:t>
      </w:r>
      <w:r>
        <w:rPr>
          <w:rFonts w:ascii="Arial" w:cs="Arial" w:eastAsia="Arial" w:hAnsi="Arial"/>
          <w:sz w:val="17"/>
          <w:szCs w:val="17"/>
          <w:u w:val="single" w:color="auto"/>
          <w:color w:val="auto"/>
        </w:rPr>
        <w:t>Vesting Schedule</w:t>
      </w:r>
      <w:r>
        <w:rPr>
          <w:rFonts w:ascii="Arial" w:cs="Arial" w:eastAsia="Arial" w:hAnsi="Arial"/>
          <w:sz w:val="17"/>
          <w:szCs w:val="17"/>
          <w:color w:val="auto"/>
        </w:rPr>
        <w:t>.</w:t>
      </w:r>
      <w:r>
        <w:rPr>
          <w:rFonts w:ascii="Arial" w:cs="Arial" w:eastAsia="Arial" w:hAnsi="Arial"/>
          <w:sz w:val="17"/>
          <w:szCs w:val="17"/>
          <w:b w:val="1"/>
          <w:bCs w:val="1"/>
          <w:color w:val="auto"/>
        </w:rPr>
        <w:t xml:space="preserve"> [Example only] </w:t>
      </w:r>
      <w:r>
        <w:rPr>
          <w:rFonts w:ascii="Arial" w:cs="Arial" w:eastAsia="Arial" w:hAnsi="Arial"/>
          <w:sz w:val="17"/>
          <w:szCs w:val="17"/>
          <w:color w:val="auto"/>
        </w:rPr>
        <w:t>Shares that are vested pursuant to the schedule set forth herein are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 Shares that are not vested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schedule set forth herein are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 On the Effective Date [ ] of the Shares will be Unvested Shares and [ ] of the Shares will be Vested Shares. If Stockholder has continuously been employed by the Company or any Affiliate, at all times from the Effective Date until [ ] (the “</w:t>
      </w:r>
      <w:r>
        <w:rPr>
          <w:rFonts w:ascii="Arial" w:cs="Arial" w:eastAsia="Arial" w:hAnsi="Arial"/>
          <w:sz w:val="17"/>
          <w:szCs w:val="17"/>
          <w:b w:val="1"/>
          <w:bCs w:val="1"/>
          <w:i w:val="1"/>
          <w:iCs w:val="1"/>
          <w:color w:val="auto"/>
        </w:rPr>
        <w:t>First Vesting Date</w:t>
      </w:r>
      <w:r>
        <w:rPr>
          <w:rFonts w:ascii="Arial" w:cs="Arial" w:eastAsia="Arial" w:hAnsi="Arial"/>
          <w:sz w:val="17"/>
          <w:szCs w:val="17"/>
          <w:color w:val="auto"/>
        </w:rPr>
        <w:t>”), then on the First Vesting Date, and additional [1/16th] of the Shares will become Vested Shares; and thereafter, for so long (and only for so long) as Stockholder remains continuously employed by the Company or any Affiliate at all times after the First Vesting Date, on the last day of each succeeding three month period elapsed after the First Vesting Date an additional [1/16th] of the Shares will become Vested Shares. No Unvested Shares will become Vested Shares after the Termination Date. If the application of the vesting percentage results in a fractional Share, such fraction shall be rounded down to the nearest whole Share.</w:t>
      </w:r>
    </w:p>
    <w:p>
      <w:pPr>
        <w:spacing w:after="0" w:line="172"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that are Vested Shares or Unvested Shares will be proportionally adjusted to reflect any stock dividend,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reverse stock split or recapitalization of the common stock of the Company occurring after the Effective Date.</w:t>
      </w:r>
    </w:p>
    <w:p>
      <w:pPr>
        <w:spacing w:after="0" w:line="162" w:lineRule="exact"/>
        <w:rPr>
          <w:sz w:val="20"/>
          <w:szCs w:val="20"/>
          <w:color w:val="auto"/>
        </w:rPr>
      </w:pPr>
    </w:p>
    <w:p>
      <w:pPr>
        <w:ind w:left="4"/>
        <w:spacing w:after="0" w:line="289"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Repurchase Option on Unvested Shares at $0.0001 Per Share</w:t>
      </w:r>
      <w:r>
        <w:rPr>
          <w:rFonts w:ascii="Arial" w:cs="Arial" w:eastAsia="Arial" w:hAnsi="Arial"/>
          <w:sz w:val="16"/>
          <w:szCs w:val="16"/>
          <w:color w:val="auto"/>
        </w:rPr>
        <w:t>. At any time within ninety (90) days after the Termination Date,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its assignee shall have the right (but not the obligation), to repurchase any or all of the Unvested Shares (the “</w:t>
      </w:r>
      <w:r>
        <w:rPr>
          <w:rFonts w:ascii="Arial" w:cs="Arial" w:eastAsia="Arial" w:hAnsi="Arial"/>
          <w:sz w:val="16"/>
          <w:szCs w:val="16"/>
          <w:b w:val="1"/>
          <w:bCs w:val="1"/>
          <w:i w:val="1"/>
          <w:iCs w:val="1"/>
          <w:color w:val="auto"/>
        </w:rPr>
        <w:t>Unvested Share Repurchase Option</w:t>
      </w:r>
      <w:r>
        <w:rPr>
          <w:rFonts w:ascii="Arial" w:cs="Arial" w:eastAsia="Arial" w:hAnsi="Arial"/>
          <w:sz w:val="16"/>
          <w:szCs w:val="16"/>
          <w:color w:val="auto"/>
        </w:rPr>
        <w:t>”) by giving Stockholder written notice of exercise of the Unvested Share Repurchase Option. The Company and/or its assignee(s) will then have the option to repurchase from Stockholder (or from Stockholder’s personal representative as the case may be) any or all of the Unvested Shares at $0.0001 per Share, as adjusted to reflect any stock dividend, stock split, reverse stock split or recapitalization of the common stock of the Company occurring after the Effective Date (the “</w:t>
      </w:r>
      <w:r>
        <w:rPr>
          <w:rFonts w:ascii="Arial" w:cs="Arial" w:eastAsia="Arial" w:hAnsi="Arial"/>
          <w:sz w:val="16"/>
          <w:szCs w:val="16"/>
          <w:b w:val="1"/>
          <w:bCs w:val="1"/>
          <w:i w:val="1"/>
          <w:iCs w:val="1"/>
          <w:color w:val="auto"/>
        </w:rPr>
        <w:t>Unvested Share Repurchase Price</w:t>
      </w:r>
      <w:r>
        <w:rPr>
          <w:rFonts w:ascii="Arial" w:cs="Arial" w:eastAsia="Arial" w:hAnsi="Arial"/>
          <w:sz w:val="16"/>
          <w:szCs w:val="16"/>
          <w:color w:val="auto"/>
        </w:rPr>
        <w:t>”). The Unvested Share Repurchase Price will be payable, at the option of the Company and/or its assignee(s), as the case may be, by check or by cancellation of all or a portion of any outstanding indebtedness owed by Stockholder to the Company (or to such assignee) or by any combination thereof. The Unvested Share Repurchase Price will be paid without interest within ninety (90) days after the Company gives the Stockholder written notice of the exercise of the Unvested Share Repurchase Option.</w:t>
      </w:r>
    </w:p>
    <w:p>
      <w:pPr>
        <w:sectPr>
          <w:pgSz w:w="11900" w:h="16838" w:orient="portrait"/>
          <w:cols w:equalWidth="0" w:num="1">
            <w:col w:w="11004"/>
          </w:cols>
          <w:pgMar w:left="436" w:top="271" w:right="459" w:bottom="1440" w:gutter="0" w:footer="0" w:header="0"/>
        </w:sectPr>
      </w:pPr>
    </w:p>
    <w:bookmarkStart w:id="645" w:name="page646"/>
    <w:bookmarkEnd w:id="645"/>
    <w:p>
      <w:pPr>
        <w:ind w:left="4" w:right="8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Arial" w:cs="Arial" w:eastAsia="Arial" w:hAnsi="Arial"/>
          <w:sz w:val="16"/>
          <w:szCs w:val="16"/>
          <w:b w:val="1"/>
          <w:bCs w:val="1"/>
          <w:u w:val="single" w:color="auto"/>
          <w:color w:val="auto"/>
        </w:rPr>
        <w:t>Repurchase Option on Vested Shares at $0.0001 Per Share</w:t>
      </w:r>
      <w:r>
        <w:rPr>
          <w:rFonts w:ascii="Arial" w:cs="Arial" w:eastAsia="Arial" w:hAnsi="Arial"/>
          <w:sz w:val="16"/>
          <w:szCs w:val="16"/>
          <w:color w:val="auto"/>
        </w:rPr>
        <w:t>. If Stockholder ceases to be employed by the Company or an Affiliate due to</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by the Company or an Affiliate for Cause (as defined below), then at any time within ninety (90) days after the Termination Date, the Company or its assignee, shall have the right (but not the obligation), to repurchase any or all of the Vested Shares (the “</w:t>
      </w:r>
      <w:r>
        <w:rPr>
          <w:rFonts w:ascii="Arial" w:cs="Arial" w:eastAsia="Arial" w:hAnsi="Arial"/>
          <w:sz w:val="16"/>
          <w:szCs w:val="16"/>
          <w:b w:val="1"/>
          <w:bCs w:val="1"/>
          <w:i w:val="1"/>
          <w:iCs w:val="1"/>
          <w:color w:val="auto"/>
        </w:rPr>
        <w:t>Vested Share Repurchase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by giving Stockholder written notice of exercise of the Vested Share Repurchase Option. The Company and/or its assignee(s) will then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option to repurchase from Stockholder (or from Stockholder’s personal representative as the case may be) any or all of the Vested Shares at $0.001 per Share, as adjusted to reflect any stock dividend, stock split, reverse stock split or recapitalization of the common stock of the Company occurring after the Effective Date (the “</w:t>
      </w:r>
      <w:r>
        <w:rPr>
          <w:rFonts w:ascii="Arial" w:cs="Arial" w:eastAsia="Arial" w:hAnsi="Arial"/>
          <w:sz w:val="16"/>
          <w:szCs w:val="16"/>
          <w:b w:val="1"/>
          <w:bCs w:val="1"/>
          <w:i w:val="1"/>
          <w:iCs w:val="1"/>
          <w:color w:val="auto"/>
        </w:rPr>
        <w:t>Vested Share Repurchase Price</w:t>
      </w:r>
      <w:r>
        <w:rPr>
          <w:rFonts w:ascii="Arial" w:cs="Arial" w:eastAsia="Arial" w:hAnsi="Arial"/>
          <w:sz w:val="16"/>
          <w:szCs w:val="16"/>
          <w:color w:val="auto"/>
        </w:rPr>
        <w:t>”). The Vested Share Repurchase Price will be payable, at the option of the Company and/or its assignee(s), as the case may be, by check or by cancellation of all or a portion of any outstanding indebtedness owed by Stockholder to the Company (or to such assignee) or by any combination thereof. The Vested Share Repurchase Price will be paid without interest within ninety (90) days after the Company gives the Stockholder written notice of the exercise of the Vested Share Repurchase Option.</w:t>
      </w:r>
    </w:p>
    <w:p>
      <w:pPr>
        <w:spacing w:after="0" w:line="161"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For purposes of this Section 4.5, “</w:t>
      </w:r>
      <w:r>
        <w:rPr>
          <w:rFonts w:ascii="Arial" w:cs="Arial" w:eastAsia="Arial" w:hAnsi="Arial"/>
          <w:sz w:val="17"/>
          <w:szCs w:val="17"/>
          <w:b w:val="1"/>
          <w:bCs w:val="1"/>
          <w:color w:val="auto"/>
        </w:rPr>
        <w:t>Cause</w:t>
      </w:r>
      <w:r>
        <w:rPr>
          <w:rFonts w:ascii="Arial" w:cs="Arial" w:eastAsia="Arial" w:hAnsi="Arial"/>
          <w:sz w:val="17"/>
          <w:szCs w:val="17"/>
          <w:color w:val="auto"/>
        </w:rPr>
        <w:t>” shall mean the termination of Stockholder’s status as an employee, a director or consultant (as applicable) of the Company or an Affiliate for any of the following reasons, as determined by the Board of Directors of the Company; provided, that, with respect to a Stockholder that is party to an agreement with the Company where a termination for cause is defined in such agreement, the definition in such agreement shall govern the determination under this Section 4.5:(i) Stockholder commits a material breach of any consulting, employment, noncompetition, confidentiality or similar agreement with the Company or an Affiliate, as determined under such agreement; (ii) Stockholder is convicted (including a trial, plea of guilty or plea of nolo contendere) for committing an act of fraud, embezzlement, theft, or other act constituting a felony; or (iii) Stockholder willfully engages in gross misconduct or willfully violates the policies of the Company or an Affiliate in a manner that is materially and demonstrably injurious to the Company and/or the Affiliate. However, no act, or failure to act, on the grantee’s part shall be considered “willful” unless done, or omitted to be done, by the grantee not in good faith and without reasonable belief that the grantee’s action or omission was in the best interest of the Company or the Affiliate.</w:t>
      </w:r>
    </w:p>
    <w:p>
      <w:pPr>
        <w:spacing w:after="0" w:line="177" w:lineRule="exact"/>
        <w:rPr>
          <w:sz w:val="20"/>
          <w:szCs w:val="20"/>
          <w:color w:val="auto"/>
        </w:rPr>
      </w:pPr>
    </w:p>
    <w:p>
      <w:pPr>
        <w:jc w:val="both"/>
        <w:ind w:left="4" w:right="100"/>
        <w:spacing w:after="0" w:line="266"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Right of Termination Unaffected</w:t>
      </w:r>
      <w:r>
        <w:rPr>
          <w:rFonts w:ascii="Arial" w:cs="Arial" w:eastAsia="Arial" w:hAnsi="Arial"/>
          <w:sz w:val="18"/>
          <w:szCs w:val="18"/>
          <w:color w:val="auto"/>
        </w:rPr>
        <w:t>. Nothing in this Agreement will be construed to limit or otherwise affect in any manner whatsoever the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 of the Company (or any Affiliate) to terminate Stockholder’s employment with the Company (or any Affiliate) at any time for any reason or no reason, with or without cause.</w:t>
      </w:r>
    </w:p>
    <w:p>
      <w:pPr>
        <w:spacing w:after="0" w:line="176" w:lineRule="exact"/>
        <w:rPr>
          <w:sz w:val="20"/>
          <w:szCs w:val="20"/>
          <w:color w:val="auto"/>
        </w:rPr>
      </w:pPr>
    </w:p>
    <w:p>
      <w:pPr>
        <w:ind w:left="4" w:right="40" w:hanging="4"/>
        <w:spacing w:after="0" w:line="256" w:lineRule="auto"/>
        <w:tabs>
          <w:tab w:leader="none" w:pos="184"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OWNER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Stockholder will have all of the rights to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from and after the date that Stockholder acquired them in the Conversion until such time as Stockholder disposes of the Shares or the Company and/or its assignee(s) exercise(s) the Repurchase Option. Upon an exercise of the Repurchase Option, Stockholder will have no further rights as a holder of the Shares so purchased upon such exercise, except the right to receive payment for the Shares so purchased in accordance with the provisions of this Agreement, and Stockholder will promptly surrender the stock certificate(s) evidencing the Shares so purchased to the Company for transfer or cancellation.</w:t>
      </w:r>
    </w:p>
    <w:p>
      <w:pPr>
        <w:spacing w:after="0" w:line="187" w:lineRule="exact"/>
        <w:rPr>
          <w:rFonts w:ascii="Arial" w:cs="Arial" w:eastAsia="Arial" w:hAnsi="Arial"/>
          <w:sz w:val="18"/>
          <w:szCs w:val="18"/>
          <w:b w:val="1"/>
          <w:bCs w:val="1"/>
          <w:color w:val="auto"/>
        </w:rPr>
      </w:pPr>
    </w:p>
    <w:p>
      <w:pPr>
        <w:ind w:left="4" w:hanging="4"/>
        <w:spacing w:after="0" w:line="270" w:lineRule="auto"/>
        <w:tabs>
          <w:tab w:leader="none" w:pos="184"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ESCROW</w:t>
      </w:r>
      <w:r>
        <w:rPr>
          <w:rFonts w:ascii="Arial" w:cs="Arial" w:eastAsia="Arial" w:hAnsi="Arial"/>
          <w:sz w:val="17"/>
          <w:szCs w:val="17"/>
          <w:color w:val="auto"/>
        </w:rPr>
        <w:t>. As security for Stockholder’s faithful performance of this Agreement, Stockholder agrees, immediately upon receipt of the stock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certificate(s) evidencing the Shares, to deliver such certificate(s), together with the Stock Powers attached in the form of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hereto executed by Stockholder and by Stockholder’s spouse, if any (with the date, transferee, stock certificate number and number of Shares left blank), to the Secretary of the Company or other designee of the Company (the “</w:t>
      </w:r>
      <w:r>
        <w:rPr>
          <w:rFonts w:ascii="Arial" w:cs="Arial" w:eastAsia="Arial" w:hAnsi="Arial"/>
          <w:sz w:val="17"/>
          <w:szCs w:val="17"/>
          <w:b w:val="1"/>
          <w:bCs w:val="1"/>
          <w:i w:val="1"/>
          <w:iCs w:val="1"/>
          <w:color w:val="auto"/>
        </w:rPr>
        <w:t>Escrow Holder</w:t>
      </w:r>
      <w:r>
        <w:rPr>
          <w:rFonts w:ascii="Arial" w:cs="Arial" w:eastAsia="Arial" w:hAnsi="Arial"/>
          <w:sz w:val="17"/>
          <w:szCs w:val="17"/>
          <w:color w:val="auto"/>
        </w:rPr>
        <w:t>”), who is hereby appointed to hold such certificate(s) and Stock Powers in escrow and to take all such actions and to effectuate all such transfers and/or releases of such Shares as are in accordance with the terms of this Agreement. Escrow Holder will act solely for the Company as its agent and not as a fiduciary. Stockholder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w:t>
      </w:r>
    </w:p>
    <w:p>
      <w:pPr>
        <w:spacing w:after="0" w:line="176" w:lineRule="exact"/>
        <w:rPr>
          <w:rFonts w:ascii="Arial" w:cs="Arial" w:eastAsia="Arial" w:hAnsi="Arial"/>
          <w:sz w:val="17"/>
          <w:szCs w:val="17"/>
          <w:b w:val="1"/>
          <w:bCs w:val="1"/>
          <w:color w:val="auto"/>
        </w:rPr>
      </w:pPr>
    </w:p>
    <w:p>
      <w:pPr>
        <w:ind w:left="4" w:right="100" w:hanging="4"/>
        <w:spacing w:after="0" w:line="281" w:lineRule="auto"/>
        <w:tabs>
          <w:tab w:leader="none" w:pos="184" w:val="left"/>
        </w:tabs>
        <w:numPr>
          <w:ilvl w:val="0"/>
          <w:numId w:val="6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 CONSEQUENCES</w:t>
      </w:r>
      <w:r>
        <w:rPr>
          <w:rFonts w:ascii="Arial" w:cs="Arial" w:eastAsia="Arial" w:hAnsi="Arial"/>
          <w:sz w:val="17"/>
          <w:szCs w:val="17"/>
          <w:color w:val="auto"/>
        </w:rPr>
        <w:t>. STOCKHOLDER UNDERSTANDS THAT STOCKHOLDER MAY SUFFER ADVERSE TAX CONSEQUENCES AS</w:t>
      </w:r>
      <w:r>
        <w:rPr>
          <w:rFonts w:ascii="Arial" w:cs="Arial" w:eastAsia="Arial" w:hAnsi="Arial"/>
          <w:sz w:val="17"/>
          <w:szCs w:val="17"/>
          <w:b w:val="1"/>
          <w:bCs w:val="1"/>
          <w:color w:val="auto"/>
        </w:rPr>
        <w:t xml:space="preserve"> </w:t>
      </w:r>
      <w:r>
        <w:rPr>
          <w:rFonts w:ascii="Arial" w:cs="Arial" w:eastAsia="Arial" w:hAnsi="Arial"/>
          <w:sz w:val="17"/>
          <w:szCs w:val="17"/>
          <w:color w:val="auto"/>
        </w:rPr>
        <w:t>A RESULT OF STOCKHOLDER’S PURCHASE OR DISPOSITION OF THE SHARES. STOCKHOLDER REPRESENTS (a) THAT STOCKHOLDER HAS CONSULTED WITH A TAX ADVISER THAT STOCKHOLDER DEEMS ADVISABLE IN CONNECTION WITH THE PURCHASE OR DISPOSITION OF THE SHARES AND (b) THAT STOCKHOLDER IS NOT RELYING ON THE COMPANY</w:t>
      </w:r>
    </w:p>
    <w:p>
      <w:pPr>
        <w:sectPr>
          <w:pgSz w:w="11900" w:h="16838" w:orient="portrait"/>
          <w:cols w:equalWidth="0" w:num="1">
            <w:col w:w="10964"/>
          </w:cols>
          <w:pgMar w:left="436" w:top="270" w:right="499" w:bottom="1440" w:gutter="0" w:footer="0" w:header="0"/>
        </w:sectPr>
      </w:pPr>
    </w:p>
    <w:bookmarkStart w:id="646" w:name="page647"/>
    <w:bookmarkEnd w:id="646"/>
    <w:p>
      <w:pPr>
        <w:ind w:left="4"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ANY TAX ADVICE. Stockholder hereby acknowledges that Stockholder has been informed that, in addition to receiving taxable income upon the receipt of any Shares paid for by the cancellation of compensation for services rendered, unless an election is filed by the Stockholder with the Internal Revenue Service (and, if necessary, the proper state taxing authorities) </w:t>
      </w:r>
      <w:r>
        <w:rPr>
          <w:rFonts w:ascii="Arial" w:cs="Arial" w:eastAsia="Arial" w:hAnsi="Arial"/>
          <w:sz w:val="17"/>
          <w:szCs w:val="17"/>
          <w:u w:val="single" w:color="auto"/>
          <w:color w:val="auto"/>
        </w:rPr>
        <w:t>within 30 days</w:t>
      </w:r>
      <w:r>
        <w:rPr>
          <w:rFonts w:ascii="Arial" w:cs="Arial" w:eastAsia="Arial" w:hAnsi="Arial"/>
          <w:sz w:val="17"/>
          <w:szCs w:val="17"/>
          <w:color w:val="auto"/>
        </w:rPr>
        <w:t xml:space="preserve"> after the acquisition of the Shares to be effective, electing pursuant to Section 83(b) of the Internal Revenue Code (and similar state tax provisions, if applicable) to be taxed currently on any difference between the purchase price of the Shares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xml:space="preserve">”) and their fair market value on the date of purchase, there will be a recognition of taxable income to the Stockholder, measured by the excess, if any, of the fair market value of the Shares, at the time they cease to be Unvested Shares, over the Purchase Price for such Shares. Stockholder represents that Stockholder has consulted any tax advisors Stockholder deems advisable in connection with Stockholder’s acquisition of the Shares and the filing of the election under Section 83(b) and similar tax provisions. A form of Election under Section 83(b) is attached hereto as </w:t>
      </w:r>
      <w:r>
        <w:rPr>
          <w:rFonts w:ascii="Arial" w:cs="Arial" w:eastAsia="Arial" w:hAnsi="Arial"/>
          <w:sz w:val="17"/>
          <w:szCs w:val="17"/>
          <w:u w:val="single" w:color="auto"/>
          <w:color w:val="auto"/>
        </w:rPr>
        <w:t>Exhibit 2</w:t>
      </w:r>
      <w:r>
        <w:rPr>
          <w:rFonts w:ascii="Arial" w:cs="Arial" w:eastAsia="Arial" w:hAnsi="Arial"/>
          <w:sz w:val="17"/>
          <w:szCs w:val="17"/>
          <w:color w:val="auto"/>
        </w:rPr>
        <w:t xml:space="preserve"> for reference.</w:t>
      </w:r>
    </w:p>
    <w:p>
      <w:pPr>
        <w:spacing w:after="0" w:line="181" w:lineRule="exact"/>
        <w:rPr>
          <w:sz w:val="20"/>
          <w:szCs w:val="20"/>
          <w:color w:val="auto"/>
        </w:rPr>
      </w:pPr>
    </w:p>
    <w:p>
      <w:pPr>
        <w:jc w:val="both"/>
        <w:ind w:left="4" w:right="400"/>
        <w:spacing w:after="0" w:line="263" w:lineRule="auto"/>
        <w:rPr>
          <w:sz w:val="20"/>
          <w:szCs w:val="20"/>
          <w:color w:val="auto"/>
        </w:rPr>
      </w:pPr>
      <w:r>
        <w:rPr>
          <w:rFonts w:ascii="Arial" w:cs="Arial" w:eastAsia="Arial" w:hAnsi="Arial"/>
          <w:sz w:val="18"/>
          <w:szCs w:val="18"/>
          <w:color w:val="auto"/>
        </w:rPr>
        <w:t>STOCKHOLDER HEREBY ASSUMES ALL RESPONSIBILITY FOR FILING SUCH ELECTION AND PAYING ANY TAXES RESULTING FROM SUCH ELECTION OR FROM FAILURE TO FILE THE ELECTION AND PAYING TAXES RESULTING FROM THE LAPSE OF THE REPURCHASE RESTRICTIONS ON THE UNVESTED SHARES.</w:t>
      </w:r>
    </w:p>
    <w:p>
      <w:pPr>
        <w:spacing w:after="0" w:line="180" w:lineRule="exact"/>
        <w:rPr>
          <w:sz w:val="20"/>
          <w:szCs w:val="20"/>
          <w:color w:val="auto"/>
        </w:rPr>
      </w:pPr>
    </w:p>
    <w:p>
      <w:pPr>
        <w:jc w:val="both"/>
        <w:ind w:left="4" w:right="60" w:hanging="4"/>
        <w:spacing w:after="0" w:line="314" w:lineRule="auto"/>
        <w:tabs>
          <w:tab w:leader="none" w:pos="184" w:val="left"/>
        </w:tabs>
        <w:numPr>
          <w:ilvl w:val="0"/>
          <w:numId w:val="6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RESTRICTIVE LEGENDS AND STOP-TRANSFER ORDERS</w:t>
      </w:r>
      <w:r>
        <w:rPr>
          <w:rFonts w:ascii="Arial" w:cs="Arial" w:eastAsia="Arial" w:hAnsi="Arial"/>
          <w:sz w:val="16"/>
          <w:szCs w:val="16"/>
          <w:color w:val="auto"/>
        </w:rPr>
        <w:t>. Stockholder understands and agrees that the Company will place the legends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below or similar legends on any stock certificate(s) evidencing the Shares, together with any other legends that may be required by state or federal securities laws, the Company’s Certificate of Incorporation or Bylaws, any other agreement between Stockholder and the Company or any third party:</w:t>
      </w:r>
    </w:p>
    <w:p>
      <w:pPr>
        <w:spacing w:after="0" w:line="38"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i w:val="1"/>
          <w:iCs w:val="1"/>
          <w:color w:val="auto"/>
        </w:rPr>
        <w:t>THE SECURITIES REPRESENTED HEREBY HAVE NOT BEEN REGISTERED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i w:val="1"/>
          <w:iCs w:val="1"/>
          <w:color w:val="auto"/>
        </w:rPr>
        <w:t>”), OR UNDER THE SECURITIES LAWS OF CERTAIN STATES.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192"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i w:val="1"/>
          <w:iCs w:val="1"/>
          <w:color w:val="auto"/>
        </w:rPr>
        <w:t>THE SHARES REPRESENTED BY THIS CERTIFICATE ARE SUBJECT TO CERTAIN RESTRICTIONS ON TRANSFER AS SET FORTH IN THE ISSUER’S EQUITY INCENTIVE PLAN AND THE STOCK RESTRICTION AGREEMENT RELATING TO THESE SHARES, COPIES OF WHICH MAY BE OBTAINED AT THE PRINCIPAL OFFICE OF THE ISSUER, SUCH TRANSFER RESTRICTIONS ARE BINDING ON TRANSFEREES OF THESE SHARES.</w:t>
      </w:r>
    </w:p>
    <w:p>
      <w:pPr>
        <w:spacing w:after="0" w:line="187"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Stockholder agrees that, to ensure compliance with the restrictions imposed by this Agreement, the Company may issue appropriate “stop-transfer” instructions to its transfer agent, if any, and if the Company transfers its own securities, it may make appropriate notations to the same effect in its own records. The Company will not be required (a) to transfer on its books any Shares that have been sold or otherwise transferred in violation of any of the provisions of this Agreement or (b) to treat as owner of such Shares, or to accord the right to vote or pay dividends, to any Stockholder or other transferee to whom such Shares have been so transferred.</w:t>
      </w:r>
    </w:p>
    <w:p>
      <w:pPr>
        <w:spacing w:after="0" w:line="184" w:lineRule="exact"/>
        <w:rPr>
          <w:sz w:val="20"/>
          <w:szCs w:val="20"/>
          <w:color w:val="auto"/>
        </w:rPr>
      </w:pPr>
    </w:p>
    <w:p>
      <w:pPr>
        <w:ind w:left="4" w:hanging="4"/>
        <w:spacing w:after="0" w:line="314" w:lineRule="auto"/>
        <w:tabs>
          <w:tab w:leader="none" w:pos="184" w:val="left"/>
        </w:tabs>
        <w:numPr>
          <w:ilvl w:val="0"/>
          <w:numId w:val="6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color w:val="auto"/>
        </w:rPr>
        <w:t>. The issuance and transfer of the Shares will be subject to and conditioned upon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and Stockholder with all applicable state and federal laws and regulations and with all applicable requirements of any stock exchange or automated quotation system on which the Company’s Common Stock may be listed or quoted at the time of such issuance or transfer.</w:t>
      </w:r>
    </w:p>
    <w:p>
      <w:pPr>
        <w:spacing w:after="0" w:line="141" w:lineRule="exact"/>
        <w:rPr>
          <w:rFonts w:ascii="Arial" w:cs="Arial" w:eastAsia="Arial" w:hAnsi="Arial"/>
          <w:sz w:val="16"/>
          <w:szCs w:val="16"/>
          <w:b w:val="1"/>
          <w:bCs w:val="1"/>
          <w:color w:val="auto"/>
        </w:rPr>
      </w:pPr>
    </w:p>
    <w:p>
      <w:pPr>
        <w:ind w:left="264" w:hanging="264"/>
        <w:spacing w:after="0"/>
        <w:tabs>
          <w:tab w:leader="none" w:pos="264" w:val="left"/>
        </w:tabs>
        <w:numPr>
          <w:ilvl w:val="0"/>
          <w:numId w:val="6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and all notices required or permitted to be given to a party pursuant to the provisions of this Agreement will be in writing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and deemed to provide such party sufficient notice under this Agreement on the earliest of the following: (a) at the time of personal delivery, if delivery is in person; (b) one (1) business day after deposit with an express overnight courier for United States deliveries, or two (2) business days after such deposit for deliveries outside of the United States; or (c) three (3) business days after deposit in the United States mail by certified mail (return receipt requested) for United States deliveries.</w:t>
      </w:r>
    </w:p>
    <w:p>
      <w:pPr>
        <w:sectPr>
          <w:pgSz w:w="11900" w:h="16838" w:orient="portrait"/>
          <w:cols w:equalWidth="0" w:num="1">
            <w:col w:w="11004"/>
          </w:cols>
          <w:pgMar w:left="436" w:top="274" w:right="459" w:bottom="1440" w:gutter="0" w:footer="0" w:header="0"/>
        </w:sectPr>
      </w:pPr>
    </w:p>
    <w:bookmarkStart w:id="647" w:name="page648"/>
    <w:bookmarkEnd w:id="64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notices for delivery outside the United States will be sent by express courier. All notices not delivered personally will be sent with postage and/or other charges prepaid and properly addressed to the party to be notified at the address set forth below the signature lines of this Agreement or at such other address as such other party may designate by one of the indicated means of notice herein to the other party hereto. A “</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shall be a day, other than Saturday or Sunday, when the banks in the city of San Francisco are open for business.</w:t>
      </w:r>
    </w:p>
    <w:p>
      <w:pPr>
        <w:spacing w:after="0" w:line="16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The parties agree to execute such further documents and instruments and to take such further actions as may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and intent of this Agreement.</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Titles and Headings</w:t>
      </w:r>
      <w:r>
        <w:rPr>
          <w:rFonts w:ascii="Arial" w:cs="Arial" w:eastAsia="Arial" w:hAnsi="Arial"/>
          <w:sz w:val="18"/>
          <w:szCs w:val="18"/>
          <w:color w:val="auto"/>
        </w:rPr>
        <w:t>. The titles, captions and headings of this Agreement are included for ease of reference only and will be disregarded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or construing this Agreement. Unless otherwise specifically stated, all references herein to “sections” and “exhibits” will mean “sections” and “exhibits” to this Agreement.</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will be governed by and construed in accordance with the laws of the State of Delaware, without giving effect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body of laws pertaining to conflict of laws.</w:t>
      </w:r>
    </w:p>
    <w:p>
      <w:pPr>
        <w:spacing w:after="0" w:line="16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10.5. </w:t>
      </w:r>
      <w:r>
        <w:rPr>
          <w:rFonts w:ascii="Arial" w:cs="Arial" w:eastAsia="Arial" w:hAnsi="Arial"/>
          <w:sz w:val="17"/>
          <w:szCs w:val="17"/>
          <w:b w:val="1"/>
          <w:bCs w:val="1"/>
          <w:u w:val="single" w:color="auto"/>
          <w:color w:val="auto"/>
        </w:rPr>
        <w:t>Assignments; Successors and Assigns</w:t>
      </w:r>
      <w:r>
        <w:rPr>
          <w:rFonts w:ascii="Arial" w:cs="Arial" w:eastAsia="Arial" w:hAnsi="Arial"/>
          <w:sz w:val="17"/>
          <w:szCs w:val="17"/>
          <w:color w:val="auto"/>
        </w:rPr>
        <w:t>. The Company may assign any of its rights and obligations under this Agreement, including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to its rights to repurchase Shares under the Repurchase Option. Any assignment of rights and obligations by any other party to this Agreement requires the Company’s prior written consent. This Agreement, and the rights and obligations of the parties hereunder, will be binding upon and inure to the benefit of their respective successors, assigns, heirs, executors, administrators and legal representatives.</w:t>
      </w:r>
    </w:p>
    <w:p>
      <w:pPr>
        <w:spacing w:after="0" w:line="16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and the documents referred to herein constitute the entire agreement and understanding of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of this Agreement, and supersede all prior understandings and agreements, whether oral or written, between or among the parties hereto with respect to the specific subject matter hereof.</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b w:val="1"/>
          <w:bCs w:val="1"/>
          <w:u w:val="single" w:color="auto"/>
          <w:color w:val="auto"/>
        </w:rPr>
        <w:t>Amendment and Waivers</w:t>
      </w:r>
      <w:r>
        <w:rPr>
          <w:rFonts w:ascii="Arial" w:cs="Arial" w:eastAsia="Arial" w:hAnsi="Arial"/>
          <w:sz w:val="18"/>
          <w:szCs w:val="18"/>
          <w:color w:val="auto"/>
        </w:rPr>
        <w:t>. This Agreement may be amended only by a written agreement executed by each of the parties hereto. No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determined by any court or arbitrator of competent jurisdiction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b w:val="1"/>
          <w:bCs w:val="1"/>
          <w:u w:val="single" w:color="auto"/>
          <w:color w:val="auto"/>
        </w:rPr>
        <w:t>Counterparts; Facsimile Signatures</w:t>
      </w:r>
      <w:r>
        <w:rPr>
          <w:rFonts w:ascii="Arial" w:cs="Arial" w:eastAsia="Arial" w:hAnsi="Arial"/>
          <w:sz w:val="18"/>
          <w:szCs w:val="18"/>
          <w:color w:val="auto"/>
        </w:rPr>
        <w:t>. This Agreement may be executed in any number of counterparts, each of which when so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will be deemed an original, and all of which together shall constitute one and the same agreement. This Agreement may be executed and delivered by facsimile or electronic transmission and upon such delivery the facsimile or electronic signature will be deemed to have the same effect as if the original signature had been delivered to the other party.</w:t>
      </w:r>
    </w:p>
    <w:p>
      <w:pPr>
        <w:sectPr>
          <w:pgSz w:w="11900" w:h="16838" w:orient="portrait"/>
          <w:cols w:equalWidth="0" w:num="1">
            <w:col w:w="11000"/>
          </w:cols>
          <w:pgMar w:left="440" w:top="274" w:right="459" w:bottom="1440" w:gutter="0" w:footer="0" w:header="0"/>
        </w:sectPr>
      </w:pPr>
    </w:p>
    <w:bookmarkStart w:id="648" w:name="page649"/>
    <w:bookmarkEnd w:id="648"/>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follows]</w:t>
      </w:r>
    </w:p>
    <w:p>
      <w:pPr>
        <w:sectPr>
          <w:pgSz w:w="11900" w:h="16838" w:orient="portrait"/>
          <w:cols w:equalWidth="0" w:num="1">
            <w:col w:w="9019"/>
          </w:cols>
          <w:pgMar w:left="1440" w:top="274" w:right="1440" w:bottom="1440" w:gutter="0" w:footer="0" w:header="0"/>
        </w:sectPr>
      </w:pPr>
    </w:p>
    <w:bookmarkStart w:id="649" w:name="page650"/>
    <w:bookmarkEnd w:id="649"/>
    <w:p>
      <w:pPr>
        <w:ind w:right="6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Company has caused this Stock Restriction Agreement to be executed by its duly authorized representative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has executed this Agreement, each as of the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COMPANY: AEGLEA BIOTHERAPEUTICS, INC.</w:t>
            </w:r>
          </w:p>
        </w:tc>
        <w:tc>
          <w:tcPr>
            <w:tcW w:w="5860" w:type="dxa"/>
            <w:vAlign w:val="bottom"/>
            <w:gridSpan w:val="4"/>
          </w:tcPr>
          <w:p>
            <w:pPr>
              <w:ind w:left="680"/>
              <w:spacing w:after="0"/>
              <w:rPr>
                <w:sz w:val="20"/>
                <w:szCs w:val="20"/>
                <w:color w:val="auto"/>
              </w:rPr>
            </w:pPr>
            <w:r>
              <w:rPr>
                <w:rFonts w:ascii="Arial" w:cs="Arial" w:eastAsia="Arial" w:hAnsi="Arial"/>
                <w:sz w:val="18"/>
                <w:szCs w:val="18"/>
                <w:b w:val="1"/>
                <w:bCs w:val="1"/>
                <w:color w:val="auto"/>
              </w:rPr>
              <w:t>STOCKHOLDER:</w:t>
            </w:r>
          </w:p>
        </w:tc>
      </w:tr>
      <w:tr>
        <w:trPr>
          <w:trHeight w:val="432"/>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860" w:type="dxa"/>
            <w:vAlign w:val="bottom"/>
            <w:gridSpan w:val="4"/>
          </w:tcPr>
          <w:p>
            <w:pPr>
              <w:ind w:left="680"/>
              <w:spacing w:after="0"/>
              <w:rPr>
                <w:sz w:val="20"/>
                <w:szCs w:val="20"/>
                <w:color w:val="auto"/>
              </w:rPr>
            </w:pPr>
            <w:r>
              <w:rPr>
                <w:rFonts w:ascii="Arial" w:cs="Arial" w:eastAsia="Arial" w:hAnsi="Arial"/>
                <w:sz w:val="18"/>
                <w:szCs w:val="18"/>
                <w:b w:val="1"/>
                <w:bCs w:val="1"/>
                <w:color w:val="auto"/>
              </w:rPr>
              <w:t>[Name]</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5860" w:type="dxa"/>
            <w:vAlign w:val="bottom"/>
            <w:gridSpan w:val="4"/>
          </w:tcPr>
          <w:p>
            <w:pPr>
              <w:ind w:left="680"/>
              <w:spacing w:after="0"/>
              <w:rPr>
                <w:sz w:val="20"/>
                <w:szCs w:val="20"/>
                <w:color w:val="auto"/>
              </w:rPr>
            </w:pPr>
            <w:r>
              <w:rPr>
                <w:rFonts w:ascii="Arial" w:cs="Arial" w:eastAsia="Arial" w:hAnsi="Arial"/>
                <w:sz w:val="18"/>
                <w:szCs w:val="18"/>
                <w:color w:val="auto"/>
              </w:rPr>
              <w:t>By:</w:t>
            </w:r>
          </w:p>
        </w:tc>
      </w:tr>
      <w:tr>
        <w:trPr>
          <w:trHeight w:val="20"/>
        </w:trPr>
        <w:tc>
          <w:tcPr>
            <w:tcW w:w="76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0" w:type="dxa"/>
            <w:vAlign w:val="bottom"/>
            <w:tcBorders>
              <w:bottom w:val="single" w:sz="8" w:color="auto"/>
            </w:tcBorders>
            <w:gridSpan w:val="2"/>
          </w:tcPr>
          <w:p>
            <w:pPr>
              <w:spacing w:after="0" w:line="20" w:lineRule="exact"/>
              <w:rPr>
                <w:sz w:val="1"/>
                <w:szCs w:val="1"/>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David Lowe</w:t>
            </w:r>
          </w:p>
        </w:tc>
        <w:tc>
          <w:tcPr>
            <w:tcW w:w="5860" w:type="dxa"/>
            <w:vAlign w:val="bottom"/>
            <w:gridSpan w:val="4"/>
          </w:tcPr>
          <w:p>
            <w:pPr>
              <w:ind w:left="680"/>
              <w:spacing w:after="0"/>
              <w:rPr>
                <w:sz w:val="20"/>
                <w:szCs w:val="20"/>
                <w:color w:val="auto"/>
              </w:rPr>
            </w:pPr>
            <w:r>
              <w:rPr>
                <w:rFonts w:ascii="Arial" w:cs="Arial" w:eastAsia="Arial" w:hAnsi="Arial"/>
                <w:sz w:val="18"/>
                <w:szCs w:val="18"/>
                <w:color w:val="auto"/>
              </w:rPr>
              <w:t>Address:</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CEO</w:t>
            </w:r>
          </w:p>
        </w:tc>
        <w:tc>
          <w:tcPr>
            <w:tcW w:w="6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00" w:type="dxa"/>
            <w:vAlign w:val="bottom"/>
            <w:tcBorders>
              <w:top w:val="single" w:sz="8" w:color="auto"/>
              <w:bottom w:val="single" w:sz="8" w:color="auto"/>
            </w:tcBorders>
          </w:tcPr>
          <w:p>
            <w:pPr>
              <w:spacing w:after="0"/>
              <w:rPr>
                <w:sz w:val="24"/>
                <w:szCs w:val="24"/>
                <w:color w:val="auto"/>
              </w:rPr>
            </w:pP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901 S. MoPac Expressway</w:t>
            </w:r>
          </w:p>
        </w:tc>
        <w:tc>
          <w:tcPr>
            <w:tcW w:w="6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r>
        <w:trPr>
          <w:trHeight w:val="182"/>
        </w:trPr>
        <w:tc>
          <w:tcPr>
            <w:tcW w:w="760" w:type="dxa"/>
            <w:vAlign w:val="bottom"/>
          </w:tcPr>
          <w:p>
            <w:pPr>
              <w:spacing w:after="0"/>
              <w:rPr>
                <w:sz w:val="15"/>
                <w:szCs w:val="15"/>
                <w:color w:val="auto"/>
              </w:rPr>
            </w:pPr>
          </w:p>
        </w:tc>
        <w:tc>
          <w:tcPr>
            <w:tcW w:w="440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Barton Oaks Plaza One, Suite 250</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00" w:type="dxa"/>
            <w:vAlign w:val="bottom"/>
          </w:tcPr>
          <w:p>
            <w:pPr>
              <w:spacing w:after="0"/>
              <w:rPr>
                <w:sz w:val="15"/>
                <w:szCs w:val="15"/>
                <w:color w:val="auto"/>
              </w:rPr>
            </w:pPr>
          </w:p>
        </w:tc>
      </w:tr>
      <w:tr>
        <w:trPr>
          <w:trHeight w:val="230"/>
        </w:trPr>
        <w:tc>
          <w:tcPr>
            <w:tcW w:w="760" w:type="dxa"/>
            <w:vAlign w:val="bottom"/>
          </w:tcPr>
          <w:p>
            <w:pPr>
              <w:spacing w:after="0"/>
              <w:rPr>
                <w:sz w:val="20"/>
                <w:szCs w:val="20"/>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Austin, Texas 78746</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LIST OF EXHIBITS</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5"/>
          <w:szCs w:val="15"/>
          <w:color w:val="auto"/>
        </w:rPr>
        <w:t>Stock Power and Spouse Consent</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Election Under Section 83(b) of the Internal Revenue Code</w:t>
      </w:r>
    </w:p>
    <w:p>
      <w:pPr>
        <w:sectPr>
          <w:pgSz w:w="11900" w:h="16838" w:orient="portrait"/>
          <w:cols w:equalWidth="0" w:num="1">
            <w:col w:w="11020"/>
          </w:cols>
          <w:pgMar w:left="440" w:top="270" w:right="439" w:bottom="1440" w:gutter="0" w:footer="0" w:header="0"/>
        </w:sectPr>
      </w:pPr>
    </w:p>
    <w:bookmarkStart w:id="650" w:name="page651"/>
    <w:bookmarkEnd w:id="65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POWER AND ASSIGNMENT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SEPARATE FROM CERTIFICATE</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VALUE RECEIVED and pursuant to that certain Stock Restriction Agreement dated as of March , 2015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undersigned hereby sells, assigns and transfers unto , shares of the Common Stock, $0.0001 par value per share, of Aeglea BioTherapeutics,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standing in the undersigned’s name on the books of the Company represented by Certificate No(s). delivered herewith, and does hereby irrevocably constitute and appoint the Secretary of the Company as the undersigned’s attorney-in-fact, with full power of substitution, to transfer said stock on the books of the Company. </w:t>
      </w:r>
      <w:r>
        <w:rPr>
          <w:rFonts w:ascii="Arial" w:cs="Arial" w:eastAsia="Arial" w:hAnsi="Arial"/>
          <w:sz w:val="18"/>
          <w:szCs w:val="18"/>
          <w:i w:val="1"/>
          <w:iCs w:val="1"/>
          <w:color w:val="auto"/>
        </w:rPr>
        <w:t>THIS ASSIGNMENT MAY ONLY BE USED AS AUTHORIZED BY THE AGREEMENT AND ANY</w:t>
      </w:r>
      <w:r>
        <w:rPr>
          <w:rFonts w:ascii="Arial" w:cs="Arial" w:eastAsia="Arial" w:hAnsi="Arial"/>
          <w:sz w:val="18"/>
          <w:szCs w:val="18"/>
          <w:color w:val="auto"/>
        </w:rPr>
        <w:t xml:space="preserve"> </w:t>
      </w:r>
      <w:r>
        <w:rPr>
          <w:rFonts w:ascii="Arial" w:cs="Arial" w:eastAsia="Arial" w:hAnsi="Arial"/>
          <w:sz w:val="18"/>
          <w:szCs w:val="18"/>
          <w:i w:val="1"/>
          <w:iCs w:val="1"/>
          <w:color w:val="auto"/>
        </w:rPr>
        <w:t>EXHIBITS THERETO</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(Please Print Spouse’s Name)</w:t>
      </w:r>
    </w:p>
    <w:p>
      <w:pPr>
        <w:spacing w:after="0" w:line="221"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u w:val="single" w:color="auto"/>
          <w:color w:val="auto"/>
        </w:rPr>
        <w:t>Instructions to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Please do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not</w:t>
      </w:r>
      <w:r>
        <w:rPr>
          <w:rFonts w:ascii="Arial" w:cs="Arial" w:eastAsia="Arial" w:hAnsi="Arial"/>
          <w:sz w:val="17"/>
          <w:szCs w:val="17"/>
          <w:b w:val="1"/>
          <w:bCs w:val="1"/>
          <w:color w:val="auto"/>
        </w:rPr>
        <w:t xml:space="preserve"> </w:t>
      </w:r>
      <w:r>
        <w:rPr>
          <w:rFonts w:ascii="Arial" w:cs="Arial" w:eastAsia="Arial" w:hAnsi="Arial"/>
          <w:sz w:val="17"/>
          <w:szCs w:val="17"/>
          <w:color w:val="auto"/>
        </w:rPr>
        <w:t>fill in any blanks other than the signature line. The purpose of this Stock Power and Assignment is to enable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and/or its assignee(s) to acquire the shares upon exercise of its “Repurchase Option” and “Right of First Refusal” set forth in the Agreement without requiring additional signatures on the part of the Stockholder or Stockholder’s Spouse, if any.</w:t>
      </w:r>
    </w:p>
    <w:p>
      <w:pPr>
        <w:sectPr>
          <w:pgSz w:w="11900" w:h="16838" w:orient="portrait"/>
          <w:cols w:equalWidth="0" w:num="1">
            <w:col w:w="10980"/>
          </w:cols>
          <w:pgMar w:left="440" w:top="270" w:right="479" w:bottom="1440" w:gutter="0" w:footer="0" w:header="0"/>
        </w:sectPr>
      </w:pPr>
    </w:p>
    <w:bookmarkStart w:id="651" w:name="page652"/>
    <w:bookmarkEnd w:id="6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SPOUSE CONSENT</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undersigned spouse of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has read, understands and hereby approves all the terms and conditions of the Stock Restriction Agreement dated March , 2015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by and between Stockholder and Aeglea BioTherapeutics,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12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 hereby agree to be irrevocably bound by all the terms and conditions of the Agreement (including but not limited to the Company’s Repurchase Option and the Right of First Refusal contained therein) and further agree that any community property interest I may have in the shares of the Company’s Common Stock that are held by Stockholder and are subject to the Agreement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will be similarly bound by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I hereby appoint Stockholder as my attorney-in-fact, to act in my name, place and stead with respect to any amendment of the Agreement.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Signature of Spouse [Sign Here]</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of Spouse [Please Print]</w:t>
      </w:r>
    </w:p>
    <w:p>
      <w:pPr>
        <w:spacing w:after="0" w:line="180" w:lineRule="exact"/>
        <w:rPr>
          <w:sz w:val="20"/>
          <w:szCs w:val="20"/>
          <w:color w:val="auto"/>
        </w:rPr>
      </w:pPr>
    </w:p>
    <w:p>
      <w:pPr>
        <w:ind w:left="6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this box if you do not have a spouse.</w:t>
      </w:r>
    </w:p>
    <w:p>
      <w:pPr>
        <w:sectPr>
          <w:pgSz w:w="11900" w:h="16838" w:orient="portrait"/>
          <w:cols w:equalWidth="0" w:num="1">
            <w:col w:w="10980"/>
          </w:cols>
          <w:pgMar w:left="440" w:top="270" w:right="479" w:bottom="1440" w:gutter="0" w:footer="0" w:header="0"/>
        </w:sectPr>
      </w:pPr>
    </w:p>
    <w:bookmarkStart w:id="652" w:name="page653"/>
    <w:bookmarkEnd w:id="652"/>
    <w:p>
      <w:pPr>
        <w:ind w:left="40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ELECTION UNDER SECTION 83(b)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REVENUE CODE</w:t>
      </w:r>
    </w:p>
    <w:p>
      <w:pPr>
        <w:sectPr>
          <w:pgSz w:w="11900" w:h="16838" w:orient="portrait"/>
          <w:cols w:equalWidth="0" w:num="1">
            <w:col w:w="9019"/>
          </w:cols>
          <w:pgMar w:left="1440" w:top="270" w:right="1440" w:bottom="1440" w:gutter="0" w:footer="0" w:header="0"/>
        </w:sectPr>
      </w:pPr>
    </w:p>
    <w:bookmarkStart w:id="653" w:name="page654"/>
    <w:bookmarkEnd w:id="65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UNDER SECTION 83(b) OF THE</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INTERNAL REVENUE CODE</w:t>
      </w:r>
    </w:p>
    <w:p>
      <w:pPr>
        <w:spacing w:after="0" w:line="211" w:lineRule="exact"/>
        <w:rPr>
          <w:sz w:val="20"/>
          <w:szCs w:val="20"/>
          <w:color w:val="auto"/>
        </w:rPr>
      </w:pPr>
    </w:p>
    <w:p>
      <w:pPr>
        <w:jc w:val="both"/>
        <w:ind w:left="4" w:right="120"/>
        <w:spacing w:after="0" w:line="311"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76" w:lineRule="exact"/>
        <w:rPr>
          <w:sz w:val="20"/>
          <w:szCs w:val="20"/>
          <w:color w:val="auto"/>
        </w:rPr>
      </w:pPr>
    </w:p>
    <w:p>
      <w:pPr>
        <w:ind w:left="244" w:right="8780" w:hanging="244"/>
        <w:spacing w:after="0" w:line="606" w:lineRule="auto"/>
        <w:tabs>
          <w:tab w:leader="none" w:pos="244" w:val="left"/>
        </w:tabs>
        <w:numPr>
          <w:ilvl w:val="0"/>
          <w:numId w:val="622"/>
        </w:numPr>
        <w:rPr>
          <w:rFonts w:ascii="Arial" w:cs="Arial" w:eastAsia="Arial" w:hAnsi="Arial"/>
          <w:sz w:val="17"/>
          <w:szCs w:val="17"/>
          <w:color w:val="auto"/>
        </w:rPr>
      </w:pPr>
      <w:r>
        <w:rPr>
          <w:rFonts w:ascii="Arial" w:cs="Arial" w:eastAsia="Arial" w:hAnsi="Arial"/>
          <w:sz w:val="17"/>
          <w:szCs w:val="17"/>
          <w:color w:val="auto"/>
        </w:rPr>
        <w:t>TAXPAYER’S NAME: TAXPAYER’S ADDRESS:</w:t>
      </w:r>
    </w:p>
    <w:p>
      <w:pPr>
        <w:spacing w:after="0" w:line="173" w:lineRule="exact"/>
        <w:rPr>
          <w:rFonts w:ascii="Arial" w:cs="Arial" w:eastAsia="Arial" w:hAnsi="Arial"/>
          <w:sz w:val="17"/>
          <w:szCs w:val="17"/>
          <w:color w:val="auto"/>
        </w:rPr>
      </w:pPr>
    </w:p>
    <w:p>
      <w:pPr>
        <w:ind w:left="244"/>
        <w:spacing w:after="0"/>
        <w:rPr>
          <w:rFonts w:ascii="Arial" w:cs="Arial" w:eastAsia="Arial" w:hAnsi="Arial"/>
          <w:sz w:val="17"/>
          <w:szCs w:val="17"/>
          <w:color w:val="auto"/>
        </w:rPr>
      </w:pPr>
      <w:r>
        <w:rPr>
          <w:rFonts w:ascii="Arial" w:cs="Arial" w:eastAsia="Arial" w:hAnsi="Arial"/>
          <w:sz w:val="18"/>
          <w:szCs w:val="18"/>
          <w:color w:val="auto"/>
        </w:rPr>
        <w:t>SOCIAL SECURITY NUMBER:</w:t>
      </w:r>
    </w:p>
    <w:p>
      <w:pPr>
        <w:spacing w:after="0" w:line="157" w:lineRule="exact"/>
        <w:rPr>
          <w:rFonts w:ascii="Arial" w:cs="Arial" w:eastAsia="Arial" w:hAnsi="Arial"/>
          <w:sz w:val="17"/>
          <w:szCs w:val="17"/>
          <w:color w:val="auto"/>
        </w:rPr>
      </w:pPr>
    </w:p>
    <w:p>
      <w:pPr>
        <w:ind w:left="424" w:right="100" w:hanging="424"/>
        <w:spacing w:after="0" w:line="263" w:lineRule="auto"/>
        <w:tabs>
          <w:tab w:leader="none" w:pos="42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 shares of Common Stock, par value $0.0001 per share, of Aeglea BioTherapeutics,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is Taxpayer’s employer or the corporation for whom the Taxpayer performs services.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date on which the shares were transferred was , and this election is made for the calendar year 2015.</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shares are subject to the following restrictions: The Company may repurchase all or a portion of the shares at the Taxpayer’s original purchase price per share, under certain conditions at the time of Taxpayer’s termination of employment or services.</w:t>
      </w:r>
    </w:p>
    <w:p>
      <w:pPr>
        <w:spacing w:after="0" w:line="75"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fair market value of the shares (without regard to restrictions other than restrictions which by their terms will never lapse) was $ per share x shares = $ .</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amount paid for such shares was $ per share x shares = .</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Taxpayer has submitted a copy of this statement to the Company.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amount to include in gross income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-2924810</wp:posOffset>
            </wp:positionV>
            <wp:extent cx="6995160" cy="15430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1">
                      <a:extLst>
                        <a:ext uri="{28A0092B-C50C-407E-A947-70E740481C1C}"/>
                      </a:extLst>
                    </a:blip>
                    <a:srcRect/>
                    <a:stretch>
                      <a:fillRect/>
                    </a:stretch>
                  </pic:blipFill>
                  <pic:spPr bwMode="auto">
                    <a:xfrm>
                      <a:off x="0" y="0"/>
                      <a:ext cx="699516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-2496185</wp:posOffset>
            </wp:positionV>
            <wp:extent cx="6995160" cy="1714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-2050415</wp:posOffset>
            </wp:positionV>
            <wp:extent cx="35229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13" w:lineRule="exact"/>
        <w:rPr>
          <w:sz w:val="20"/>
          <w:szCs w:val="20"/>
          <w:color w:val="auto"/>
        </w:rPr>
      </w:pPr>
    </w:p>
    <w:p>
      <w:pPr>
        <w:ind w:left="4"/>
        <w:spacing w:after="0" w:line="259" w:lineRule="auto"/>
        <w:rPr>
          <w:sz w:val="20"/>
          <w:szCs w:val="20"/>
          <w:color w:val="auto"/>
        </w:rPr>
      </w:pPr>
      <w:r>
        <w:rPr>
          <w:rFonts w:ascii="Arial" w:cs="Arial" w:eastAsia="Arial" w:hAnsi="Arial"/>
          <w:sz w:val="18"/>
          <w:szCs w:val="18"/>
          <w:i w:val="1"/>
          <w:iCs w:val="1"/>
          <w:color w:val="auto"/>
        </w:rPr>
        <w:t>THIS ELECTION MUST BE FILED WITH THE INTERNAL REVENUE SERVICE (“</w:t>
      </w:r>
      <w:r>
        <w:rPr>
          <w:rFonts w:ascii="Arial" w:cs="Arial" w:eastAsia="Arial" w:hAnsi="Arial"/>
          <w:sz w:val="18"/>
          <w:szCs w:val="18"/>
          <w:b w:val="1"/>
          <w:bCs w:val="1"/>
          <w:i w:val="1"/>
          <w:iCs w:val="1"/>
          <w:color w:val="auto"/>
        </w:rPr>
        <w:t>IRS</w:t>
      </w:r>
      <w:r>
        <w:rPr>
          <w:rFonts w:ascii="Arial" w:cs="Arial" w:eastAsia="Arial" w:hAnsi="Arial"/>
          <w:sz w:val="18"/>
          <w:szCs w:val="18"/>
          <w:i w:val="1"/>
          <w:iCs w:val="1"/>
          <w:color w:val="auto"/>
        </w:rPr>
        <w:t xml:space="preserve">”), AT THE OFFICE WHERE THE TAXPAYER FILES ANNUAL INCOME TAX RETURNS, </w:t>
      </w:r>
      <w:r>
        <w:rPr>
          <w:rFonts w:ascii="Arial" w:cs="Arial" w:eastAsia="Arial" w:hAnsi="Arial"/>
          <w:sz w:val="18"/>
          <w:szCs w:val="18"/>
          <w:i w:val="1"/>
          <w:iCs w:val="1"/>
          <w:u w:val="single" w:color="auto"/>
          <w:color w:val="auto"/>
        </w:rPr>
        <w:t>WITHIN 30 DAYS</w:t>
      </w:r>
      <w:r>
        <w:rPr>
          <w:rFonts w:ascii="Arial" w:cs="Arial" w:eastAsia="Arial" w:hAnsi="Arial"/>
          <w:sz w:val="18"/>
          <w:szCs w:val="18"/>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004"/>
          </w:cols>
          <w:pgMar w:left="436" w:top="270" w:right="459" w:bottom="1440" w:gutter="0" w:footer="0" w:header="0"/>
        </w:sectPr>
      </w:pPr>
    </w:p>
    <w:bookmarkStart w:id="654" w:name="page655"/>
    <w:bookmarkEnd w:id="654"/>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SEVERANCE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This Severance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April __, 2018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__________________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and Aeglea BioTherapeutics,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 Term of Agreement</w:t>
      </w:r>
      <w:r>
        <w:rPr>
          <w:rFonts w:ascii="Arial" w:cs="Arial" w:eastAsia="Arial" w:hAnsi="Arial"/>
          <w:sz w:val="18"/>
          <w:szCs w:val="18"/>
          <w:color w:val="auto"/>
        </w:rPr>
        <w:t>.</w:t>
      </w:r>
    </w:p>
    <w:p>
      <w:pPr>
        <w:spacing w:after="0" w:line="229"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6"/>
          <w:szCs w:val="16"/>
          <w:color w:val="auto"/>
        </w:rPr>
        <w:t>This Agreement shall terminate on the date the Executive’s employment with the Company or its subsidiary, as applicable, terminates for a reason other than a Qualifying Termination or CIC Qualifying Termination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provided however, if a definitive agreement relating to a Change in Control has been signed by the Company on or before the Expiration Date, then this Agreement shall remain in effect through the earlier of:</w:t>
      </w:r>
    </w:p>
    <w:p>
      <w:pPr>
        <w:spacing w:after="0" w:line="54" w:lineRule="exact"/>
        <w:rPr>
          <w:sz w:val="20"/>
          <w:szCs w:val="20"/>
          <w:color w:val="auto"/>
        </w:rPr>
      </w:pPr>
    </w:p>
    <w:p>
      <w:pPr>
        <w:ind w:left="1424" w:right="640" w:hanging="331"/>
        <w:spacing w:after="0" w:line="277" w:lineRule="auto"/>
        <w:tabs>
          <w:tab w:leader="none" w:pos="1424"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75" w:lineRule="exact"/>
        <w:rPr>
          <w:rFonts w:ascii="Arial" w:cs="Arial" w:eastAsia="Arial" w:hAnsi="Arial"/>
          <w:sz w:val="18"/>
          <w:szCs w:val="18"/>
          <w:color w:val="auto"/>
        </w:rPr>
      </w:pPr>
    </w:p>
    <w:p>
      <w:pPr>
        <w:ind w:left="1424" w:right="260" w:hanging="331"/>
        <w:spacing w:after="0" w:line="277" w:lineRule="auto"/>
        <w:tabs>
          <w:tab w:leader="none" w:pos="1424" w:val="left"/>
        </w:tabs>
        <w:numPr>
          <w:ilvl w:val="1"/>
          <w:numId w:val="623"/>
        </w:numPr>
        <w:rPr>
          <w:rFonts w:ascii="Arial" w:cs="Arial" w:eastAsia="Arial" w:hAnsi="Arial"/>
          <w:sz w:val="18"/>
          <w:szCs w:val="18"/>
          <w:color w:val="auto"/>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66" w:lineRule="exact"/>
        <w:rPr>
          <w:rFonts w:ascii="Arial" w:cs="Arial" w:eastAsia="Arial" w:hAnsi="Arial"/>
          <w:sz w:val="18"/>
          <w:szCs w:val="18"/>
          <w:color w:val="auto"/>
        </w:rPr>
      </w:pPr>
    </w:p>
    <w:p>
      <w:pPr>
        <w:ind w:left="4" w:right="460" w:hanging="4"/>
        <w:spacing w:after="0" w:line="282" w:lineRule="auto"/>
        <w:tabs>
          <w:tab w:leader="none" w:pos="184" w:val="left"/>
        </w:tabs>
        <w:numPr>
          <w:ilvl w:val="0"/>
          <w:numId w:val="623"/>
        </w:numPr>
        <w:rPr>
          <w:rFonts w:ascii="Arial" w:cs="Arial" w:eastAsia="Arial" w:hAnsi="Arial"/>
          <w:sz w:val="18"/>
          <w:szCs w:val="18"/>
          <w:b w:val="1"/>
          <w:bCs w:val="1"/>
          <w:color w:val="auto"/>
        </w:rPr>
      </w:pPr>
      <w:r>
        <w:rPr>
          <w:rFonts w:ascii="Arial" w:cs="Arial" w:eastAsia="Arial" w:hAnsi="Arial"/>
          <w:sz w:val="18"/>
          <w:szCs w:val="18"/>
          <w:b w:val="1"/>
          <w:bCs w:val="1"/>
          <w:color w:val="auto"/>
        </w:rPr>
        <w:t>Qualifying Termination</w:t>
      </w:r>
      <w:r>
        <w:rPr>
          <w:rFonts w:ascii="Arial" w:cs="Arial" w:eastAsia="Arial" w:hAnsi="Arial"/>
          <w:sz w:val="18"/>
          <w:szCs w:val="18"/>
          <w:color w:val="auto"/>
        </w:rPr>
        <w:t>. If the Executive is subject to a Qualifying Termination, then, subject to Sections 4, 9, and 10 below, Executive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the following benefits:</w:t>
      </w:r>
    </w:p>
    <w:p>
      <w:pPr>
        <w:spacing w:after="0" w:line="67" w:lineRule="exact"/>
        <w:rPr>
          <w:sz w:val="20"/>
          <w:szCs w:val="20"/>
          <w:color w:val="auto"/>
        </w:rPr>
      </w:pPr>
    </w:p>
    <w:p>
      <w:pPr>
        <w:ind w:left="424" w:right="20" w:hanging="424"/>
        <w:spacing w:after="0" w:line="289" w:lineRule="auto"/>
        <w:tabs>
          <w:tab w:leader="none" w:pos="424" w:val="left"/>
        </w:tabs>
        <w:numPr>
          <w:ilvl w:val="0"/>
          <w:numId w:val="624"/>
        </w:numPr>
        <w:rPr>
          <w:rFonts w:ascii="Arial" w:cs="Arial" w:eastAsia="Arial" w:hAnsi="Arial"/>
          <w:sz w:val="16"/>
          <w:szCs w:val="16"/>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The Company or its subsidiaries shall pay the Executive (i) 12 months of his monthly base salary, (ii) one-hundred percent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(100%) of the Executive’s annual target bonus (in each case, at the rate in effect immediately prior to the actions that resulted in the Qualifying Termination). The severance benefits shall be paid through salary continuation in equal installments in accordance with the Company’s or its subsidiary’s, as applicable, standard payroll procedures, with the initial payment to occur on the first payroll date following the sixtieth (60th) day following the Separation, with the first installment to include a catchup payment for amounts covering the period from the date of Separation through the first payment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Release Conditions have been satisfied. However, if the period comprising the sum of the sixty (60)-day period described in the preceding sentence and the ten (10)-day period described in Section 7(e)(3) below spans two calendar years, then the payments which constitute deferred compensation subject to Section 409A will not in any case commence in the first calendar year. The period between the date of Executive’s Separation and final severance payment shall be referred to herein as the “</w:t>
      </w:r>
      <w:r>
        <w:rPr>
          <w:rFonts w:ascii="Arial" w:cs="Arial" w:eastAsia="Arial" w:hAnsi="Arial"/>
          <w:sz w:val="16"/>
          <w:szCs w:val="16"/>
          <w:b w:val="1"/>
          <w:bCs w:val="1"/>
          <w:color w:val="auto"/>
        </w:rPr>
        <w:t>Severance Period</w:t>
      </w:r>
      <w:r>
        <w:rPr>
          <w:rFonts w:ascii="Arial" w:cs="Arial" w:eastAsia="Arial" w:hAnsi="Arial"/>
          <w:sz w:val="16"/>
          <w:szCs w:val="16"/>
          <w:color w:val="auto"/>
        </w:rPr>
        <w:t>.”</w:t>
      </w:r>
    </w:p>
    <w:p>
      <w:pPr>
        <w:sectPr>
          <w:pgSz w:w="11900" w:h="16838" w:orient="portrait"/>
          <w:cols w:equalWidth="0" w:num="1">
            <w:col w:w="11024"/>
          </w:cols>
          <w:pgMar w:left="436" w:top="122" w:right="439" w:bottom="1440" w:gutter="0" w:footer="0" w:header="0"/>
        </w:sectPr>
      </w:pPr>
    </w:p>
    <w:bookmarkStart w:id="655" w:name="page656"/>
    <w:bookmarkEnd w:id="655"/>
    <w:p>
      <w:pPr>
        <w:ind w:left="424" w:right="40" w:hanging="424"/>
        <w:spacing w:after="0" w:line="283" w:lineRule="auto"/>
        <w:tabs>
          <w:tab w:leader="none" w:pos="424" w:val="left"/>
        </w:tabs>
        <w:numPr>
          <w:ilvl w:val="0"/>
          <w:numId w:val="62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Continued Employee Benefits</w:t>
      </w:r>
      <w:r>
        <w:rPr>
          <w:rFonts w:ascii="Arial" w:cs="Arial" w:eastAsia="Arial" w:hAnsi="Arial"/>
          <w:sz w:val="16"/>
          <w:szCs w:val="16"/>
          <w:color w:val="auto"/>
        </w:rPr>
        <w:t>. If Executive timely elects continued coverage under the Consolidated Omnibus Budget Reconciliation Act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COBRA</w:t>
      </w:r>
      <w:r>
        <w:rPr>
          <w:rFonts w:ascii="Arial" w:cs="Arial" w:eastAsia="Arial" w:hAnsi="Arial"/>
          <w:sz w:val="16"/>
          <w:szCs w:val="16"/>
          <w:color w:val="auto"/>
        </w:rPr>
        <w:t>”), the Company or its subsidiary shall pay the full amount of Executive’s COBRA premiums on behalf of the Executive for the Executive’s continued coverage under the Company’s or its subsidiary’s, as applicable, health, dental and vision plans, including coverage for the Executive’s eligible dependents, for the Severance Period. Notwithstanding the foregoing, if the Company, in its sole discretion, determines that it cannot provide the foregoing subsidy of COBRA coverage without potentially violating or causing the Company or its subsidiary to incur additional expense as a result of noncompliance with applicable law (including, without limitation, Section 2716 of the Public Health Service Act), the Company or its subsidiary instead shall provide to Executive a taxable monthly payment in an amount equal to the monthly COBRA premium that Executive would be required to pay to continue the 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w:t>
      </w:r>
    </w:p>
    <w:p>
      <w:pPr>
        <w:spacing w:after="0" w:line="7" w:lineRule="exact"/>
        <w:rPr>
          <w:rFonts w:ascii="Arial" w:cs="Arial" w:eastAsia="Arial" w:hAnsi="Arial"/>
          <w:sz w:val="16"/>
          <w:szCs w:val="16"/>
          <w:color w:val="auto"/>
        </w:rPr>
      </w:pPr>
    </w:p>
    <w:p>
      <w:pPr>
        <w:ind w:left="424" w:right="6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(x) the effective date on which Executive becomes covered by a health, dental or vision insurance plan of a subsequent employer, and (y) the last day of the Severance Period, </w:t>
      </w:r>
      <w:r>
        <w:rPr>
          <w:rFonts w:ascii="Arial" w:cs="Arial" w:eastAsia="Arial" w:hAnsi="Arial"/>
          <w:sz w:val="16"/>
          <w:szCs w:val="16"/>
          <w:i w:val="1"/>
          <w:iCs w:val="1"/>
          <w:color w:val="auto"/>
        </w:rPr>
        <w:t>provided that</w:t>
      </w:r>
      <w:r>
        <w:rPr>
          <w:rFonts w:ascii="Arial" w:cs="Arial" w:eastAsia="Arial" w:hAnsi="Arial"/>
          <w:sz w:val="16"/>
          <w:szCs w:val="16"/>
          <w:color w:val="auto"/>
        </w:rPr>
        <w:t>, any taxable payments under this Section 2(b) will not be paid before the first business day occurring after the sixtieth (60th)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7(e)(3) below spans two calendar years, then the payments which constitute deferred compensation subject to Section 409A will not in any case be paid in the first calendar year. Executive shall have no right to an additional gross-up payment to account for the fact that such COBRA premium amounts are paid on an after-tax basis.</w:t>
      </w:r>
    </w:p>
    <w:p>
      <w:pPr>
        <w:spacing w:after="0" w:line="69" w:lineRule="exact"/>
        <w:rPr>
          <w:rFonts w:ascii="Arial" w:cs="Arial" w:eastAsia="Arial" w:hAnsi="Arial"/>
          <w:sz w:val="16"/>
          <w:szCs w:val="16"/>
          <w:color w:val="auto"/>
        </w:rPr>
      </w:pPr>
    </w:p>
    <w:p>
      <w:pPr>
        <w:ind w:left="424" w:hanging="424"/>
        <w:spacing w:after="0" w:line="273" w:lineRule="auto"/>
        <w:tabs>
          <w:tab w:leader="none" w:pos="424" w:val="left"/>
        </w:tabs>
        <w:numPr>
          <w:ilvl w:val="0"/>
          <w:numId w:val="625"/>
        </w:numPr>
        <w:rPr>
          <w:rFonts w:ascii="Arial" w:cs="Arial" w:eastAsia="Arial" w:hAnsi="Arial"/>
          <w:sz w:val="17"/>
          <w:szCs w:val="17"/>
          <w:color w:val="auto"/>
        </w:rPr>
      </w:pPr>
      <w:r>
        <w:rPr>
          <w:rFonts w:ascii="Arial" w:cs="Arial" w:eastAsia="Arial" w:hAnsi="Arial"/>
          <w:sz w:val="17"/>
          <w:szCs w:val="17"/>
          <w:b w:val="1"/>
          <w:bCs w:val="1"/>
          <w:color w:val="auto"/>
        </w:rPr>
        <w:t>Equity</w:t>
      </w:r>
      <w:r>
        <w:rPr>
          <w:rFonts w:ascii="Arial" w:cs="Arial" w:eastAsia="Arial" w:hAnsi="Arial"/>
          <w:sz w:val="17"/>
          <w:szCs w:val="17"/>
          <w:color w:val="auto"/>
        </w:rPr>
        <w:t>. Any outstanding Equity Awards, including awards that would otherwise vest only upon satisfaction of performance criteria, shall</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 and become vested and exercisable as if an additional twelve (12) months of vesting had occurred to the then-unvested shares subject to the Equity Award. Equity Awards subject to performance-based vesting criteria as of the date of the Separation shall accelerate and become vested and exercisable as to the number of shares subject to such Equity Award that would have vested if Executive had completed an additional twelve (12) months of service following the date of Separation, provided, however, that the vesting of such performance-based awards shall be as if all applicable performance criteria were achieved at target levels during such 12-month period. Subject to Section 4, the accelerated vesting described above shall be effective as of the Separation.</w:t>
      </w:r>
    </w:p>
    <w:p>
      <w:pPr>
        <w:spacing w:after="0" w:line="172" w:lineRule="exact"/>
        <w:rPr>
          <w:sz w:val="20"/>
          <w:szCs w:val="20"/>
          <w:color w:val="auto"/>
        </w:rPr>
      </w:pPr>
    </w:p>
    <w:p>
      <w:pPr>
        <w:ind w:left="4" w:right="240" w:hanging="4"/>
        <w:spacing w:after="0" w:line="282" w:lineRule="auto"/>
        <w:tabs>
          <w:tab w:leader="none" w:pos="184" w:val="left"/>
        </w:tabs>
        <w:numPr>
          <w:ilvl w:val="0"/>
          <w:numId w:val="626"/>
        </w:numPr>
        <w:rPr>
          <w:rFonts w:ascii="Arial" w:cs="Arial" w:eastAsia="Arial" w:hAnsi="Arial"/>
          <w:sz w:val="18"/>
          <w:szCs w:val="18"/>
          <w:b w:val="1"/>
          <w:bCs w:val="1"/>
          <w:color w:val="auto"/>
        </w:rPr>
      </w:pPr>
      <w:r>
        <w:rPr>
          <w:rFonts w:ascii="Arial" w:cs="Arial" w:eastAsia="Arial" w:hAnsi="Arial"/>
          <w:sz w:val="18"/>
          <w:szCs w:val="18"/>
          <w:b w:val="1"/>
          <w:bCs w:val="1"/>
          <w:color w:val="auto"/>
        </w:rPr>
        <w:t>CIC Qualifying Termination</w:t>
      </w:r>
      <w:r>
        <w:rPr>
          <w:rFonts w:ascii="Arial" w:cs="Arial" w:eastAsia="Arial" w:hAnsi="Arial"/>
          <w:sz w:val="18"/>
          <w:szCs w:val="18"/>
          <w:color w:val="auto"/>
        </w:rPr>
        <w:t>. If the Executive is subject to a CIC Qualifying Termination, then, subject to Sections 4, 9, and 10 below,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entitled to the following benefits:</w:t>
      </w:r>
    </w:p>
    <w:p>
      <w:pPr>
        <w:spacing w:after="0" w:line="67" w:lineRule="exact"/>
        <w:rPr>
          <w:sz w:val="20"/>
          <w:szCs w:val="20"/>
          <w:color w:val="auto"/>
        </w:rPr>
      </w:pPr>
    </w:p>
    <w:p>
      <w:pPr>
        <w:ind w:left="424" w:hanging="424"/>
        <w:spacing w:after="0"/>
        <w:tabs>
          <w:tab w:leader="none" w:pos="424" w:val="left"/>
        </w:tabs>
        <w:numPr>
          <w:ilvl w:val="0"/>
          <w:numId w:val="627"/>
        </w:numPr>
        <w:rPr>
          <w:rFonts w:ascii="Arial" w:cs="Arial" w:eastAsia="Arial" w:hAnsi="Arial"/>
          <w:sz w:val="18"/>
          <w:szCs w:val="18"/>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 The Company or its subsidiary shall pay the Executive the severance benefits set forth in Section 2(a) above.</w:t>
      </w:r>
    </w:p>
    <w:p>
      <w:pPr>
        <w:sectPr>
          <w:pgSz w:w="11900" w:h="16838" w:orient="portrait"/>
          <w:cols w:equalWidth="0" w:num="1">
            <w:col w:w="10984"/>
          </w:cols>
          <w:pgMar w:left="436" w:top="270" w:right="479" w:bottom="1440" w:gutter="0" w:footer="0" w:header="0"/>
        </w:sectPr>
      </w:pPr>
    </w:p>
    <w:bookmarkStart w:id="656" w:name="page657"/>
    <w:bookmarkEnd w:id="656"/>
    <w:p>
      <w:pPr>
        <w:ind w:left="424" w:right="40" w:hanging="424"/>
        <w:spacing w:after="0" w:line="261" w:lineRule="auto"/>
        <w:tabs>
          <w:tab w:leader="none" w:pos="424" w:val="left"/>
        </w:tabs>
        <w:numPr>
          <w:ilvl w:val="0"/>
          <w:numId w:val="6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Continued Employee Benefits</w:t>
      </w:r>
      <w:r>
        <w:rPr>
          <w:rFonts w:ascii="Arial" w:cs="Arial" w:eastAsia="Arial" w:hAnsi="Arial"/>
          <w:sz w:val="18"/>
          <w:szCs w:val="18"/>
          <w:color w:val="auto"/>
        </w:rPr>
        <w:t>. The Company or its subsidiary shall pay the Executive the continued employee benefits set forth in Section 2(b)</w:t>
      </w:r>
      <w:r>
        <w:rPr>
          <w:rFonts w:ascii="Arial" w:cs="Arial" w:eastAsia="Arial" w:hAnsi="Arial"/>
          <w:sz w:val="18"/>
          <w:szCs w:val="18"/>
          <w:b w:val="1"/>
          <w:bCs w:val="1"/>
          <w:color w:val="auto"/>
        </w:rPr>
        <w:t xml:space="preserve"> </w:t>
      </w:r>
      <w:r>
        <w:rPr>
          <w:rFonts w:ascii="Arial" w:cs="Arial" w:eastAsia="Arial" w:hAnsi="Arial"/>
          <w:sz w:val="18"/>
          <w:szCs w:val="18"/>
          <w:color w:val="auto"/>
        </w:rPr>
        <w:t>above for the same period that the Executive is paid severance benefits pursuant to Section 3(a) following the Executive’s Separation or, if earlier, until Executive becomes covered by a health, dental or vision insurance plan of a subsequent employer or until Executive is no longer eligible for COBRA benefits.</w:t>
      </w:r>
    </w:p>
    <w:p>
      <w:pPr>
        <w:spacing w:after="0" w:line="85" w:lineRule="exact"/>
        <w:rPr>
          <w:rFonts w:ascii="Arial" w:cs="Arial" w:eastAsia="Arial" w:hAnsi="Arial"/>
          <w:sz w:val="18"/>
          <w:szCs w:val="18"/>
          <w:color w:val="auto"/>
        </w:rPr>
      </w:pPr>
    </w:p>
    <w:p>
      <w:pPr>
        <w:ind w:left="424" w:right="80" w:hanging="424"/>
        <w:spacing w:after="0" w:line="273" w:lineRule="auto"/>
        <w:tabs>
          <w:tab w:leader="none" w:pos="424" w:val="left"/>
        </w:tabs>
        <w:numPr>
          <w:ilvl w:val="0"/>
          <w:numId w:val="628"/>
        </w:numPr>
        <w:rPr>
          <w:rFonts w:ascii="Arial" w:cs="Arial" w:eastAsia="Arial" w:hAnsi="Arial"/>
          <w:sz w:val="17"/>
          <w:szCs w:val="17"/>
          <w:color w:val="auto"/>
        </w:rPr>
      </w:pPr>
      <w:r>
        <w:rPr>
          <w:rFonts w:ascii="Arial" w:cs="Arial" w:eastAsia="Arial" w:hAnsi="Arial"/>
          <w:sz w:val="17"/>
          <w:szCs w:val="17"/>
          <w:b w:val="1"/>
          <w:bCs w:val="1"/>
          <w:color w:val="auto"/>
        </w:rPr>
        <w:t>Equity</w:t>
      </w:r>
      <w:r>
        <w:rPr>
          <w:rFonts w:ascii="Arial" w:cs="Arial" w:eastAsia="Arial" w:hAnsi="Arial"/>
          <w:sz w:val="17"/>
          <w:szCs w:val="17"/>
          <w:color w:val="auto"/>
        </w:rPr>
        <w:t>. Each of Executive’s then outstanding Equity Awards, including awards that would otherwise vest only upon satisfaction of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criteria, shall accelerate and become vested and exercisable as to 100% of the then unvested shares underlying the Equity Award. For awards that would otherwise vest only upon satisfaction of performance criteria, the foregoing acceleration shall be based on achievement of performance criteria at target, except to the extent otherwise provided in the award agreement evidencing such award. “</w:t>
      </w:r>
      <w:r>
        <w:rPr>
          <w:rFonts w:ascii="Arial" w:cs="Arial" w:eastAsia="Arial" w:hAnsi="Arial"/>
          <w:sz w:val="17"/>
          <w:szCs w:val="17"/>
          <w:b w:val="1"/>
          <w:bCs w:val="1"/>
          <w:color w:val="auto"/>
        </w:rPr>
        <w:t>Equity Awards</w:t>
      </w:r>
      <w:r>
        <w:rPr>
          <w:rFonts w:ascii="Arial" w:cs="Arial" w:eastAsia="Arial" w:hAnsi="Arial"/>
          <w:sz w:val="17"/>
          <w:szCs w:val="17"/>
          <w:color w:val="auto"/>
        </w:rPr>
        <w:t>” means all options to purchase shares of Company common stock as well as any and all other stock-based awards granted to the Executive, including but not limited to stock bonus awards, restricted stock, restricted stock units or stock appreciation rights. Subject to Section 4, the accelerated vesting described above shall be effective as of the Separation.</w:t>
      </w:r>
    </w:p>
    <w:p>
      <w:pPr>
        <w:spacing w:after="0" w:line="172" w:lineRule="exact"/>
        <w:rPr>
          <w:sz w:val="20"/>
          <w:szCs w:val="20"/>
          <w:color w:val="auto"/>
        </w:rPr>
      </w:pPr>
    </w:p>
    <w:p>
      <w:pPr>
        <w:ind w:left="184" w:hanging="184"/>
        <w:spacing w:after="0"/>
        <w:tabs>
          <w:tab w:leader="none" w:pos="184" w:val="left"/>
        </w:tabs>
        <w:numPr>
          <w:ilvl w:val="0"/>
          <w:numId w:val="629"/>
        </w:numPr>
        <w:rPr>
          <w:rFonts w:ascii="Arial" w:cs="Arial" w:eastAsia="Arial" w:hAnsi="Arial"/>
          <w:sz w:val="16"/>
          <w:szCs w:val="16"/>
          <w:b w:val="1"/>
          <w:bCs w:val="1"/>
          <w:color w:val="auto"/>
        </w:rPr>
      </w:pPr>
      <w:r>
        <w:rPr>
          <w:rFonts w:ascii="Arial" w:cs="Arial" w:eastAsia="Arial" w:hAnsi="Arial"/>
          <w:sz w:val="16"/>
          <w:szCs w:val="16"/>
          <w:b w:val="1"/>
          <w:bCs w:val="1"/>
          <w:color w:val="auto"/>
        </w:rPr>
        <w:t>General Release</w:t>
      </w:r>
      <w:r>
        <w:rPr>
          <w:rFonts w:ascii="Arial" w:cs="Arial" w:eastAsia="Arial" w:hAnsi="Arial"/>
          <w:sz w:val="16"/>
          <w:szCs w:val="16"/>
          <w:color w:val="auto"/>
        </w:rPr>
        <w:t>. Any other provision of this Agreement notwithstanding, the benefits under Section 2 and 3 shall not apply unless the Executive</w:t>
      </w:r>
    </w:p>
    <w:p>
      <w:pPr>
        <w:spacing w:after="0" w:line="50" w:lineRule="exact"/>
        <w:rPr>
          <w:rFonts w:ascii="Arial" w:cs="Arial" w:eastAsia="Arial" w:hAnsi="Arial"/>
          <w:sz w:val="16"/>
          <w:szCs w:val="16"/>
          <w:b w:val="1"/>
          <w:bCs w:val="1"/>
          <w:color w:val="auto"/>
        </w:rPr>
      </w:pPr>
    </w:p>
    <w:p>
      <w:pPr>
        <w:ind w:left="4" w:right="4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(i) has executed a general release (in a form prescribed by the Company) of all known and unknown claims that he or she may then have against the Company or entities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7"/>
          <w:szCs w:val="17"/>
          <w:b w:val="1"/>
          <w:bCs w:val="1"/>
          <w:color w:val="auto"/>
        </w:rPr>
        <w:t>Release</w:t>
      </w:r>
      <w:r>
        <w:rPr>
          <w:rFonts w:ascii="Arial" w:cs="Arial" w:eastAsia="Arial" w:hAnsi="Arial"/>
          <w:sz w:val="17"/>
          <w:szCs w:val="17"/>
          <w:color w:val="auto"/>
        </w:rPr>
        <w:t>”). The Company or its subsidiary will deliver the form of Release to the Executive within thirty (30) days after the Executive’s Separation. The Executive must execute and return the Release within the time period specified in the form.</w:t>
      </w:r>
    </w:p>
    <w:p>
      <w:pPr>
        <w:spacing w:after="0" w:line="174" w:lineRule="exact"/>
        <w:rPr>
          <w:rFonts w:ascii="Arial" w:cs="Arial" w:eastAsia="Arial" w:hAnsi="Arial"/>
          <w:sz w:val="16"/>
          <w:szCs w:val="16"/>
          <w:b w:val="1"/>
          <w:bCs w:val="1"/>
          <w:color w:val="auto"/>
        </w:rPr>
      </w:pPr>
    </w:p>
    <w:p>
      <w:pPr>
        <w:ind w:left="4" w:hanging="4"/>
        <w:spacing w:after="0" w:line="271" w:lineRule="auto"/>
        <w:tabs>
          <w:tab w:leader="none" w:pos="184" w:val="left"/>
        </w:tabs>
        <w:numPr>
          <w:ilvl w:val="0"/>
          <w:numId w:val="629"/>
        </w:numPr>
        <w:rPr>
          <w:rFonts w:ascii="Arial" w:cs="Arial" w:eastAsia="Arial" w:hAnsi="Arial"/>
          <w:sz w:val="17"/>
          <w:szCs w:val="17"/>
          <w:b w:val="1"/>
          <w:bCs w:val="1"/>
          <w:color w:val="auto"/>
        </w:rPr>
      </w:pPr>
      <w:r>
        <w:rPr>
          <w:rFonts w:ascii="Arial" w:cs="Arial" w:eastAsia="Arial" w:hAnsi="Arial"/>
          <w:sz w:val="17"/>
          <w:szCs w:val="17"/>
          <w:b w:val="1"/>
          <w:bCs w:val="1"/>
          <w:color w:val="auto"/>
        </w:rPr>
        <w:t>Accrued Compensation and Benefits</w:t>
      </w:r>
      <w:r>
        <w:rPr>
          <w:rFonts w:ascii="Arial" w:cs="Arial" w:eastAsia="Arial" w:hAnsi="Arial"/>
          <w:sz w:val="17"/>
          <w:szCs w:val="17"/>
          <w:color w:val="auto"/>
        </w:rPr>
        <w:t>. Notwithstanding anything to the contrary in Section 2 and 3 above, in connection with any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upon or following a Change in Control (whether or not a Qualifying Termination or CIC Qualifying Termination), the Company or its subsidiary shall pay Executive’s earned but unpaid base salary and other vested but unpaid cash entitlements for the period through and including the termination of employment, including unused earned vacation pay and unreimbursed documented business expenses incurred by Executive prior to the date of termination (collectively “</w:t>
      </w:r>
      <w:r>
        <w:rPr>
          <w:rFonts w:ascii="Arial" w:cs="Arial" w:eastAsia="Arial" w:hAnsi="Arial"/>
          <w:sz w:val="17"/>
          <w:szCs w:val="17"/>
          <w:b w:val="1"/>
          <w:bCs w:val="1"/>
          <w:color w:val="auto"/>
        </w:rPr>
        <w:t>Accrued Compensation and Expenses</w:t>
      </w:r>
      <w:r>
        <w:rPr>
          <w:rFonts w:ascii="Arial" w:cs="Arial" w:eastAsia="Arial" w:hAnsi="Arial"/>
          <w:sz w:val="17"/>
          <w:szCs w:val="17"/>
          <w:color w:val="auto"/>
        </w:rPr>
        <w:t>”), as required by law and the applicable Company or its subsidiary, as applicable, plan or policy. In addition, Executive shall be entitled to any other vested benefits earned by Executive for the period through and including the termination date of Executive’s employment under any other employee benefit plans and arrangements maintained by the Company or its subsidiary, as applicable, in accordance with the terms of such plans and arrangements, except as modified herein (collectively “</w:t>
      </w:r>
      <w:r>
        <w:rPr>
          <w:rFonts w:ascii="Arial" w:cs="Arial" w:eastAsia="Arial" w:hAnsi="Arial"/>
          <w:sz w:val="17"/>
          <w:szCs w:val="17"/>
          <w:b w:val="1"/>
          <w:bCs w:val="1"/>
          <w:color w:val="auto"/>
        </w:rPr>
        <w:t>Accrued Benefits</w:t>
      </w:r>
      <w:r>
        <w:rPr>
          <w:rFonts w:ascii="Arial" w:cs="Arial" w:eastAsia="Arial" w:hAnsi="Arial"/>
          <w:sz w:val="17"/>
          <w:szCs w:val="17"/>
          <w:color w:val="auto"/>
        </w:rPr>
        <w:t>”). Any Accrued Compensation and Expenses to which the Executive is entitled shall be paid to the Executive in</w:t>
      </w:r>
    </w:p>
    <w:p>
      <w:pPr>
        <w:sectPr>
          <w:pgSz w:w="11900" w:h="16838" w:orient="portrait"/>
          <w:cols w:equalWidth="0" w:num="1">
            <w:col w:w="10984"/>
          </w:cols>
          <w:pgMar w:left="436" w:top="270" w:right="479" w:bottom="1440" w:gutter="0" w:footer="0" w:header="0"/>
        </w:sectPr>
      </w:pPr>
    </w:p>
    <w:bookmarkStart w:id="657" w:name="page658"/>
    <w:bookmarkEnd w:id="657"/>
    <w:p>
      <w:pPr>
        <w:jc w:val="both"/>
        <w:ind w:left="4"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as soon as administratively practicable after the termination, and, in any event, no later than two and one-half (2-1/2) months after the end of the taxable year of the Executive in which the termination occurs or at such earlier time as may be required by applicable law or Section 10 below, and to such lesser extent as may be mandated by Section 9 below. Any Accrued Benefits to which the Executive is entitled shall be paid to the Executive as provided in the relevant plans and arrangements.</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Covenants</w:t>
      </w:r>
      <w:r>
        <w:rPr>
          <w:rFonts w:ascii="Arial" w:cs="Arial" w:eastAsia="Arial" w:hAnsi="Arial"/>
          <w:sz w:val="18"/>
          <w:szCs w:val="18"/>
          <w:color w:val="auto"/>
        </w:rPr>
        <w:t>.</w:t>
      </w:r>
    </w:p>
    <w:p>
      <w:pPr>
        <w:spacing w:after="0" w:line="252" w:lineRule="exact"/>
        <w:rPr>
          <w:sz w:val="20"/>
          <w:szCs w:val="20"/>
          <w:color w:val="auto"/>
        </w:rPr>
      </w:pPr>
    </w:p>
    <w:p>
      <w:pPr>
        <w:ind w:left="424" w:right="60" w:hanging="424"/>
        <w:spacing w:after="0" w:line="266" w:lineRule="auto"/>
        <w:tabs>
          <w:tab w:leader="none" w:pos="424" w:val="left"/>
        </w:tabs>
        <w:numPr>
          <w:ilvl w:val="0"/>
          <w:numId w:val="630"/>
        </w:numPr>
        <w:rPr>
          <w:rFonts w:ascii="Arial" w:cs="Arial" w:eastAsia="Arial" w:hAnsi="Arial"/>
          <w:sz w:val="18"/>
          <w:szCs w:val="18"/>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The Executive agrees that the benefits provided in this Agreement are granted in consideration for the ongoing promises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Executive under his employment agreement and any amendments thereto, including but not limited to Executive’s obligations concerning non-competition and non-solicitation.</w:t>
      </w:r>
    </w:p>
    <w:p>
      <w:pPr>
        <w:spacing w:after="0" w:line="81" w:lineRule="exact"/>
        <w:rPr>
          <w:rFonts w:ascii="Arial" w:cs="Arial" w:eastAsia="Arial" w:hAnsi="Arial"/>
          <w:sz w:val="18"/>
          <w:szCs w:val="18"/>
          <w:color w:val="auto"/>
        </w:rPr>
      </w:pPr>
    </w:p>
    <w:p>
      <w:pPr>
        <w:ind w:left="424" w:hanging="424"/>
        <w:spacing w:after="0" w:line="303" w:lineRule="auto"/>
        <w:tabs>
          <w:tab w:leader="none" w:pos="424" w:val="left"/>
        </w:tabs>
        <w:numPr>
          <w:ilvl w:val="0"/>
          <w:numId w:val="630"/>
        </w:numPr>
        <w:rPr>
          <w:rFonts w:ascii="Arial" w:cs="Arial" w:eastAsia="Arial" w:hAnsi="Arial"/>
          <w:sz w:val="16"/>
          <w:szCs w:val="16"/>
          <w:color w:val="auto"/>
        </w:rPr>
      </w:pPr>
      <w:r>
        <w:rPr>
          <w:rFonts w:ascii="Arial" w:cs="Arial" w:eastAsia="Arial" w:hAnsi="Arial"/>
          <w:sz w:val="16"/>
          <w:szCs w:val="16"/>
          <w:b w:val="1"/>
          <w:bCs w:val="1"/>
          <w:color w:val="auto"/>
        </w:rPr>
        <w:t>Cooperation and Non-Disparagement</w:t>
      </w:r>
      <w:r>
        <w:rPr>
          <w:rFonts w:ascii="Arial" w:cs="Arial" w:eastAsia="Arial" w:hAnsi="Arial"/>
          <w:sz w:val="16"/>
          <w:szCs w:val="16"/>
          <w:color w:val="auto"/>
        </w:rPr>
        <w:t>. The Executive agrees that, during the Severance Period, he or she shall cooperate with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its subsidiary in every reasonable respect and shall use his or her best efforts to assist the Company or its subsidiary with the transition of Executive’s duties to his or her successor. The Executive further agrees that following the date of Separation, he or she shall not in any way or by any means disparage the Company, its subsidiaries, or the members of their Board of Directors or their officers and employees.</w:t>
      </w:r>
    </w:p>
    <w:p>
      <w:pPr>
        <w:sectPr>
          <w:pgSz w:w="11900" w:h="16838" w:orient="portrait"/>
          <w:cols w:equalWidth="0" w:num="1">
            <w:col w:w="10884"/>
          </w:cols>
          <w:pgMar w:left="436" w:top="274" w:right="579" w:bottom="1440" w:gutter="0" w:footer="0" w:header="0"/>
        </w:sectPr>
      </w:pPr>
    </w:p>
    <w:bookmarkStart w:id="658" w:name="page659"/>
    <w:bookmarkEnd w:id="65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 Definitions</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line="268" w:lineRule="auto"/>
        <w:tabs>
          <w:tab w:leader="none" w:pos="424" w:val="left"/>
        </w:tabs>
        <w:numPr>
          <w:ilvl w:val="0"/>
          <w:numId w:val="6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xml:space="preserve">” means (i) an unauthorized use or disclosure by Executive of the Company’s or its subsidiaries’ confidential information or trade secrets, which use or disclosure causes or is reasonably likely to cause material harm to the Company or its subsidiaries, (ii) a material breach of any agreement between Executive and the Company or its subsidiaries, (iii) a material failure to comply with the Company’s or its subsidiaries’ written policies or rules that has caused or is reasonably likely to cause material injury to the Company, its successor, or its affiliates, or any of their business, (iv) conviction of, or plea of “guilty” or “no contest” to, a felony under the laws of the United States or any state thereof, (v) willful misconduct that has caused or is reasonably likely to cause material injury to the Company, its successor, or its affiliates, or any of their business, (vi) embezzlement, (vii) failure to cooperate with the Company or its subsidiaries in any investigation or formal proceeding if the Company or its subsidiary, as applicable, has requested Executive’s reasonable cooperation, (viii) violation of any applicable federal, state or foreign statutes or laws that govern or regulate employment, pharmaceutical drugs or securities, including but not limited to the laws enforced by the federal Equal Employment Opportunity Commission, Department of Labor, Food and Drug Administration, Securities and Exchange Commission and Department of Justice or (ix) a continued failure to perform assigned duties after receiving written notification of such failure from the Company’s or its subsidiarys’, as applicable, Chief Executive Officer;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Executive must be provided with written notice of Executive’s termination for “Cause” and Executive must be provided with a thirty (30) day period following Executive’s receipt of such notice to cure the event(s) that trigger “Cause,” with the Company’s or its subsidiarys’, as applicable, Board of Directors making the final determination whether Executive has cured any Cause.</w:t>
      </w:r>
    </w:p>
    <w:p>
      <w:pPr>
        <w:spacing w:after="0" w:line="87" w:lineRule="exact"/>
        <w:rPr>
          <w:rFonts w:ascii="Arial" w:cs="Arial" w:eastAsia="Arial" w:hAnsi="Arial"/>
          <w:sz w:val="17"/>
          <w:szCs w:val="17"/>
          <w:color w:val="auto"/>
        </w:rPr>
      </w:pPr>
    </w:p>
    <w:p>
      <w:pPr>
        <w:ind w:left="424" w:hanging="424"/>
        <w:spacing w:after="0"/>
        <w:tabs>
          <w:tab w:leader="none" w:pos="424" w:val="left"/>
        </w:tabs>
        <w:numPr>
          <w:ilvl w:val="0"/>
          <w:numId w:val="6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30" w:lineRule="exact"/>
        <w:rPr>
          <w:rFonts w:ascii="Arial" w:cs="Arial" w:eastAsia="Arial" w:hAnsi="Arial"/>
          <w:sz w:val="18"/>
          <w:szCs w:val="18"/>
          <w:color w:val="auto"/>
        </w:rPr>
      </w:pPr>
    </w:p>
    <w:p>
      <w:pPr>
        <w:ind w:left="424" w:right="80" w:hanging="424"/>
        <w:spacing w:after="0" w:line="289" w:lineRule="auto"/>
        <w:tabs>
          <w:tab w:leader="none" w:pos="424" w:val="left"/>
        </w:tabs>
        <w:numPr>
          <w:ilvl w:val="0"/>
          <w:numId w:val="6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xml:space="preserve">.” For all purposes under this Agreement, a Change in Control shall mean a “Corporate Transaction,” as such term is defined in the Company’s 2015 Equity Incentive Plan, as may be amended from time to time,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transaction (including any series of transactions) also qualifies as a change in control under U.S. Treasury Regulation 1.409A-3(i)(5)(v) or 1.409A-3(i)(5)(vii).</w:t>
      </w:r>
    </w:p>
    <w:p>
      <w:pPr>
        <w:sectPr>
          <w:pgSz w:w="11900" w:h="16838" w:orient="portrait"/>
          <w:cols w:equalWidth="0" w:num="1">
            <w:col w:w="10984"/>
          </w:cols>
          <w:pgMar w:left="436" w:top="270" w:right="479" w:bottom="1440" w:gutter="0" w:footer="0" w:header="0"/>
        </w:sectPr>
      </w:pPr>
    </w:p>
    <w:bookmarkStart w:id="659" w:name="page660"/>
    <w:bookmarkEnd w:id="659"/>
    <w:p>
      <w:pPr>
        <w:ind w:left="424" w:right="60" w:hanging="424"/>
        <w:spacing w:after="0" w:line="271" w:lineRule="auto"/>
        <w:tabs>
          <w:tab w:leader="none" w:pos="424" w:val="left"/>
        </w:tabs>
        <w:numPr>
          <w:ilvl w:val="0"/>
          <w:numId w:val="6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CIC Qualifying Termination</w:t>
      </w:r>
      <w:r>
        <w:rPr>
          <w:rFonts w:ascii="Arial" w:cs="Arial" w:eastAsia="Arial" w:hAnsi="Arial"/>
          <w:sz w:val="17"/>
          <w:szCs w:val="17"/>
          <w:color w:val="auto"/>
        </w:rPr>
        <w:t>” means a Separation (A) within twelve (12) months following a Change in Control or (B) within three (3) months preceding a Change in Control (but as to part (B), only if the Separation occurs after a Potential Change in Control) resulting, in either case (A) or (B), from (i) the Company or its subsidiary, as applicable, terminating the Executive’s employment for any reason other than Cause or (ii) the Executive voluntarily resigning his or her employment for Good Reason. A termination or resignation due to the Executive’s death or disability shall not constitute a CIC Qualifying Termination. A “</w:t>
      </w:r>
      <w:r>
        <w:rPr>
          <w:rFonts w:ascii="Arial" w:cs="Arial" w:eastAsia="Arial" w:hAnsi="Arial"/>
          <w:sz w:val="17"/>
          <w:szCs w:val="17"/>
          <w:b w:val="1"/>
          <w:bCs w:val="1"/>
          <w:color w:val="auto"/>
        </w:rPr>
        <w:t>Potential Change in Control</w:t>
      </w:r>
      <w:r>
        <w:rPr>
          <w:rFonts w:ascii="Arial" w:cs="Arial" w:eastAsia="Arial" w:hAnsi="Arial"/>
          <w:sz w:val="17"/>
          <w:szCs w:val="17"/>
          <w:color w:val="auto"/>
        </w:rPr>
        <w:t>” means the date of execution of a legally binding and definitive agreement for a corporate transaction which, if consummated, would constitute the applicable Change in Control (which for the avoidance of doubt, would include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79" w:lineRule="exact"/>
        <w:rPr>
          <w:rFonts w:ascii="Arial" w:cs="Arial" w:eastAsia="Arial" w:hAnsi="Arial"/>
          <w:sz w:val="17"/>
          <w:szCs w:val="17"/>
          <w:color w:val="auto"/>
        </w:rPr>
      </w:pPr>
    </w:p>
    <w:p>
      <w:pPr>
        <w:ind w:left="424" w:hanging="424"/>
        <w:spacing w:after="0" w:line="268" w:lineRule="auto"/>
        <w:tabs>
          <w:tab w:leader="none" w:pos="424" w:val="left"/>
        </w:tabs>
        <w:numPr>
          <w:ilvl w:val="0"/>
          <w:numId w:val="6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means, without the Executive’s consent, (i) a material reduction in the Executive’s level of responsibility and/or scope of authority, (ii) a reduction by more than 10% in Executive’s base salary (other than a reduction generally applicable to executive officers of the Company or its subsidiary, as applicable, and in generally the same proportion as for the Executive), or (iii) relocation of the Executive’s principal workplace by more than thirty-five (35) miles from Executive’s then current place of employment. For the purpose of clause (i),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(e), all of the following requirements must be satisfied: (1) the Executive must provide notice to the Company or its subsidiary, as applicable, of his or her intent to assert Good Reason within sixty (60) days of the initial existence of one or more of the conditions set forth in subclauses (i) through (iii); (2) the Company or its subsidiary, as applicable, will have thirty (30) days (the “</w:t>
      </w:r>
      <w:r>
        <w:rPr>
          <w:rFonts w:ascii="Arial" w:cs="Arial" w:eastAsia="Arial" w:hAnsi="Arial"/>
          <w:sz w:val="17"/>
          <w:szCs w:val="17"/>
          <w:b w:val="1"/>
          <w:bCs w:val="1"/>
          <w:color w:val="auto"/>
        </w:rPr>
        <w:t>Company Cure Period</w:t>
      </w:r>
      <w:r>
        <w:rPr>
          <w:rFonts w:ascii="Arial" w:cs="Arial" w:eastAsia="Arial" w:hAnsi="Arial"/>
          <w:sz w:val="17"/>
          <w:szCs w:val="17"/>
          <w:color w:val="auto"/>
        </w:rPr>
        <w:t>”) from the date of such notice to remedy the condition and, if it does so, the Executive may withdraw his or her resignation or may resign with no benefits; and (3) any termination of employment under this provision must occur within ten (10) days of the earlier of expiration of the Company Cure Period or written notice from the Company or its subsidiary, as applicable, that it will not undertake to cure the condition set forth in subclauses (i) through (iii). Should the Company or its subsidiary, as applicable,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87" w:lineRule="exact"/>
        <w:rPr>
          <w:rFonts w:ascii="Arial" w:cs="Arial" w:eastAsia="Arial" w:hAnsi="Arial"/>
          <w:sz w:val="17"/>
          <w:szCs w:val="17"/>
          <w:color w:val="auto"/>
        </w:rPr>
      </w:pPr>
    </w:p>
    <w:p>
      <w:pPr>
        <w:ind w:left="424" w:right="180" w:hanging="424"/>
        <w:spacing w:after="0" w:line="282" w:lineRule="auto"/>
        <w:tabs>
          <w:tab w:leader="none" w:pos="424" w:val="left"/>
        </w:tabs>
        <w:numPr>
          <w:ilvl w:val="0"/>
          <w:numId w:val="6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(i) Company has received the Executive’s executed Release and (ii) any rescission period applicable to the Executive’s executed Release has expired.</w:t>
      </w:r>
    </w:p>
    <w:p>
      <w:pPr>
        <w:sectPr>
          <w:pgSz w:w="11900" w:h="16838" w:orient="portrait"/>
          <w:cols w:equalWidth="0" w:num="1">
            <w:col w:w="11004"/>
          </w:cols>
          <w:pgMar w:left="436" w:top="270" w:right="459" w:bottom="1440" w:gutter="0" w:footer="0" w:header="0"/>
        </w:sectPr>
      </w:pPr>
    </w:p>
    <w:bookmarkStart w:id="660" w:name="page661"/>
    <w:bookmarkEnd w:id="660"/>
    <w:p>
      <w:pPr>
        <w:ind w:left="424" w:hanging="424"/>
        <w:spacing w:after="0" w:line="261" w:lineRule="auto"/>
        <w:tabs>
          <w:tab w:leader="none" w:pos="424" w:val="left"/>
        </w:tabs>
        <w:numPr>
          <w:ilvl w:val="0"/>
          <w:numId w:val="6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(i) the Company or its subsidiary, as applicable,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6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 Successors</w:t>
      </w:r>
      <w:r>
        <w:rPr>
          <w:rFonts w:ascii="Arial" w:cs="Arial" w:eastAsia="Arial" w:hAnsi="Arial"/>
          <w:sz w:val="18"/>
          <w:szCs w:val="18"/>
          <w:color w:val="auto"/>
        </w:rPr>
        <w:t>.</w:t>
      </w:r>
    </w:p>
    <w:p>
      <w:pPr>
        <w:spacing w:after="0" w:line="131" w:lineRule="exact"/>
        <w:rPr>
          <w:sz w:val="20"/>
          <w:szCs w:val="20"/>
          <w:color w:val="auto"/>
        </w:rPr>
      </w:pPr>
    </w:p>
    <w:p>
      <w:pPr>
        <w:ind w:left="424" w:right="40" w:hanging="424"/>
        <w:spacing w:after="0" w:line="298" w:lineRule="auto"/>
        <w:tabs>
          <w:tab w:leader="none" w:pos="424" w:val="left"/>
        </w:tabs>
        <w:numPr>
          <w:ilvl w:val="0"/>
          <w:numId w:val="634"/>
        </w:numPr>
        <w:rPr>
          <w:rFonts w:ascii="Arial" w:cs="Arial" w:eastAsia="Arial" w:hAnsi="Arial"/>
          <w:sz w:val="16"/>
          <w:szCs w:val="16"/>
          <w:color w:val="auto"/>
        </w:rPr>
      </w:pPr>
      <w:r>
        <w:rPr>
          <w:rFonts w:ascii="Arial" w:cs="Arial" w:eastAsia="Arial" w:hAnsi="Arial"/>
          <w:sz w:val="16"/>
          <w:szCs w:val="16"/>
          <w:b w:val="1"/>
          <w:bCs w:val="1"/>
          <w:color w:val="auto"/>
        </w:rPr>
        <w:t>Company’s Successors</w:t>
      </w:r>
      <w:r>
        <w:rPr>
          <w:rFonts w:ascii="Arial" w:cs="Arial" w:eastAsia="Arial" w:hAnsi="Arial"/>
          <w:sz w:val="16"/>
          <w:szCs w:val="16"/>
          <w:color w:val="auto"/>
        </w:rPr>
        <w:t>. The Company shall require any successor (whether direct or indirect and whether by purchase, lease,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59" w:lineRule="exact"/>
        <w:rPr>
          <w:rFonts w:ascii="Arial" w:cs="Arial" w:eastAsia="Arial" w:hAnsi="Arial"/>
          <w:sz w:val="16"/>
          <w:szCs w:val="16"/>
          <w:color w:val="auto"/>
        </w:rPr>
      </w:pPr>
    </w:p>
    <w:p>
      <w:pPr>
        <w:ind w:left="424" w:right="620" w:hanging="424"/>
        <w:spacing w:after="0" w:line="347" w:lineRule="auto"/>
        <w:tabs>
          <w:tab w:leader="none" w:pos="424" w:val="left"/>
        </w:tabs>
        <w:numPr>
          <w:ilvl w:val="0"/>
          <w:numId w:val="634"/>
        </w:numPr>
        <w:rPr>
          <w:rFonts w:ascii="Arial" w:cs="Arial" w:eastAsia="Arial" w:hAnsi="Arial"/>
          <w:sz w:val="16"/>
          <w:szCs w:val="16"/>
          <w:color w:val="auto"/>
        </w:rPr>
      </w:pPr>
      <w:r>
        <w:rPr>
          <w:rFonts w:ascii="Arial" w:cs="Arial" w:eastAsia="Arial" w:hAnsi="Arial"/>
          <w:sz w:val="16"/>
          <w:szCs w:val="16"/>
          <w:b w:val="1"/>
          <w:bCs w:val="1"/>
          <w:color w:val="auto"/>
        </w:rPr>
        <w:t>Executive’s Successors</w:t>
      </w:r>
      <w:r>
        <w:rPr>
          <w:rFonts w:ascii="Arial" w:cs="Arial" w:eastAsia="Arial" w:hAnsi="Arial"/>
          <w:sz w:val="16"/>
          <w:szCs w:val="16"/>
          <w:color w:val="auto"/>
        </w:rPr>
        <w:t>. This Agreement and all rights of the Executive hereunder shall inure to the benefit of, and be enforceable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personal or legal representatives, executors, administrators, successors, heirs, distributees, devisees and legatees.</w:t>
      </w:r>
    </w:p>
    <w:p>
      <w:pPr>
        <w:sectPr>
          <w:pgSz w:w="11900" w:h="16838" w:orient="portrait"/>
          <w:cols w:equalWidth="0" w:num="1">
            <w:col w:w="10984"/>
          </w:cols>
          <w:pgMar w:left="436" w:top="270" w:right="479" w:bottom="1440" w:gutter="0" w:footer="0" w:header="0"/>
        </w:sectPr>
      </w:pPr>
    </w:p>
    <w:bookmarkStart w:id="661" w:name="page662"/>
    <w:bookmarkEnd w:id="66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 Golden Parachute Taxes</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line="283" w:lineRule="auto"/>
        <w:tabs>
          <w:tab w:leader="none" w:pos="424" w:val="left"/>
        </w:tabs>
        <w:numPr>
          <w:ilvl w:val="0"/>
          <w:numId w:val="635"/>
        </w:numPr>
        <w:rPr>
          <w:rFonts w:ascii="Arial" w:cs="Arial" w:eastAsia="Arial" w:hAnsi="Arial"/>
          <w:sz w:val="16"/>
          <w:szCs w:val="16"/>
          <w:color w:val="auto"/>
        </w:rPr>
      </w:pPr>
      <w:r>
        <w:rPr>
          <w:rFonts w:ascii="Arial" w:cs="Arial" w:eastAsia="Arial" w:hAnsi="Arial"/>
          <w:sz w:val="16"/>
          <w:szCs w:val="16"/>
          <w:b w:val="1"/>
          <w:bCs w:val="1"/>
          <w:color w:val="auto"/>
        </w:rPr>
        <w:t>Best After-Tax Result</w:t>
      </w:r>
      <w:r>
        <w:rPr>
          <w:rFonts w:ascii="Arial" w:cs="Arial" w:eastAsia="Arial" w:hAnsi="Arial"/>
          <w:sz w:val="16"/>
          <w:szCs w:val="16"/>
          <w:color w:val="auto"/>
        </w:rPr>
        <w:t>. In the event that any payment or benefit received or to be received by Executive pursuant to this Agreement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Payments</w:t>
      </w:r>
      <w:r>
        <w:rPr>
          <w:rFonts w:ascii="Arial" w:cs="Arial" w:eastAsia="Arial" w:hAnsi="Arial"/>
          <w:sz w:val="16"/>
          <w:szCs w:val="16"/>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6"/>
          <w:szCs w:val="16"/>
          <w:b w:val="1"/>
          <w:bCs w:val="1"/>
          <w:color w:val="auto"/>
        </w:rPr>
        <w:t>Excise Tax</w:t>
      </w:r>
      <w:r>
        <w:rPr>
          <w:rFonts w:ascii="Arial" w:cs="Arial" w:eastAsia="Arial" w:hAnsi="Arial"/>
          <w:sz w:val="16"/>
          <w:szCs w:val="16"/>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6"/>
          <w:szCs w:val="16"/>
          <w:b w:val="1"/>
          <w:bCs w:val="1"/>
          <w:color w:val="auto"/>
        </w:rPr>
        <w:t>Reduced Amount</w:t>
      </w:r>
      <w:r>
        <w:rPr>
          <w:rFonts w:ascii="Arial" w:cs="Arial" w:eastAsia="Arial" w:hAnsi="Arial"/>
          <w:sz w:val="16"/>
          <w:szCs w:val="16"/>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6"/>
          <w:szCs w:val="16"/>
          <w:b w:val="1"/>
          <w:bCs w:val="1"/>
          <w:color w:val="auto"/>
        </w:rPr>
        <w:t>Independent Tax Counsel</w:t>
      </w:r>
      <w:r>
        <w:rPr>
          <w:rFonts w:ascii="Arial" w:cs="Arial" w:eastAsia="Arial" w:hAnsi="Arial"/>
          <w:sz w:val="16"/>
          <w:szCs w:val="16"/>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w:t>
      </w:r>
    </w:p>
    <w:p>
      <w:pPr>
        <w:spacing w:after="0" w:line="2" w:lineRule="exact"/>
        <w:rPr>
          <w:rFonts w:ascii="Arial" w:cs="Arial" w:eastAsia="Arial" w:hAnsi="Arial"/>
          <w:sz w:val="16"/>
          <w:szCs w:val="16"/>
          <w:color w:val="auto"/>
        </w:rPr>
      </w:pPr>
    </w:p>
    <w:p>
      <w:pPr>
        <w:ind w:left="424" w:right="120"/>
        <w:spacing w:after="0" w:line="253" w:lineRule="auto"/>
        <w:rPr>
          <w:rFonts w:ascii="Arial" w:cs="Arial" w:eastAsia="Arial" w:hAnsi="Arial"/>
          <w:sz w:val="16"/>
          <w:szCs w:val="16"/>
          <w:color w:val="auto"/>
        </w:rPr>
      </w:pPr>
      <w:r>
        <w:rPr>
          <w:rFonts w:ascii="Arial" w:cs="Arial" w:eastAsia="Arial" w:hAnsi="Arial"/>
          <w:sz w:val="18"/>
          <w:szCs w:val="18"/>
          <w:color w:val="auto"/>
        </w:rPr>
        <w:t>(B) above applies, then based on the information provided to Executive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9(b) hereof shall apply, and the enforcement of Section 9(b) shall be the exclusive remedy to the Company.</w:t>
      </w:r>
    </w:p>
    <w:p>
      <w:pPr>
        <w:sectPr>
          <w:pgSz w:w="11900" w:h="16838" w:orient="portrait"/>
          <w:cols w:equalWidth="0" w:num="1">
            <w:col w:w="11004"/>
          </w:cols>
          <w:pgMar w:left="436" w:top="270" w:right="459" w:bottom="1440" w:gutter="0" w:footer="0" w:header="0"/>
        </w:sectPr>
      </w:pPr>
    </w:p>
    <w:bookmarkStart w:id="662" w:name="page663"/>
    <w:bookmarkEnd w:id="662"/>
    <w:p>
      <w:pPr>
        <w:ind w:left="424" w:hanging="424"/>
        <w:spacing w:after="0" w:line="285" w:lineRule="auto"/>
        <w:tabs>
          <w:tab w:leader="none" w:pos="424" w:val="left"/>
        </w:tabs>
        <w:numPr>
          <w:ilvl w:val="0"/>
          <w:numId w:val="63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w:t>
      </w:r>
      <w:r>
        <w:rPr>
          <w:rFonts w:ascii="Arial" w:cs="Arial" w:eastAsia="Arial" w:hAnsi="Arial"/>
          <w:sz w:val="16"/>
          <w:szCs w:val="16"/>
          <w:color w:val="auto"/>
        </w:rPr>
        <w:t>. If, notwithstanding any reduction described in Section 9(a) hereof (or in the absence of any such reduction), the IRS determines that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is liable for the Excise Tax as a result of the receipt of one or more Payments, then Executive shall be obligated to surrender or pay back to the Company or its subsidiary, as applicable, within one-hundred twenty (120) days after a final IRS determination, an amount of such payments or benefits equal to the “</w:t>
      </w:r>
      <w:r>
        <w:rPr>
          <w:rFonts w:ascii="Arial" w:cs="Arial" w:eastAsia="Arial" w:hAnsi="Arial"/>
          <w:sz w:val="16"/>
          <w:szCs w:val="16"/>
          <w:b w:val="1"/>
          <w:bCs w:val="1"/>
          <w:color w:val="auto"/>
        </w:rPr>
        <w:t>Repayment Amount</w:t>
      </w:r>
      <w:r>
        <w:rPr>
          <w:rFonts w:ascii="Arial" w:cs="Arial" w:eastAsia="Arial" w:hAnsi="Arial"/>
          <w:sz w:val="16"/>
          <w:szCs w:val="16"/>
          <w:color w:val="auto"/>
        </w:rPr>
        <w:t>.” The Repayment Amount with respect to such Payments shall be the smallest such amount, if any, as shall be required to be surrendered or paid to the Company or its subsidiary, as applicable,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w:t>
      </w:r>
    </w:p>
    <w:p>
      <w:pPr>
        <w:ind w:left="424" w:right="60"/>
        <w:spacing w:after="0" w:line="255" w:lineRule="auto"/>
        <w:rPr>
          <w:rFonts w:ascii="Arial" w:cs="Arial" w:eastAsia="Arial" w:hAnsi="Arial"/>
          <w:sz w:val="16"/>
          <w:szCs w:val="16"/>
          <w:color w:val="auto"/>
        </w:rPr>
      </w:pPr>
      <w:r>
        <w:rPr>
          <w:rFonts w:ascii="Arial" w:cs="Arial" w:eastAsia="Arial" w:hAnsi="Arial"/>
          <w:sz w:val="18"/>
          <w:szCs w:val="18"/>
          <w:color w:val="auto"/>
        </w:rPr>
        <w:t>(0)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ectPr>
          <w:pgSz w:w="11900" w:h="16838" w:orient="portrait"/>
          <w:cols w:equalWidth="0" w:num="1">
            <w:col w:w="11004"/>
          </w:cols>
          <w:pgMar w:left="436" w:top="270" w:right="459" w:bottom="1440" w:gutter="0" w:footer="0" w:header="0"/>
        </w:sectPr>
      </w:pPr>
    </w:p>
    <w:bookmarkStart w:id="663" w:name="page664"/>
    <w:bookmarkEnd w:id="66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Miscellaneous Provisions</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line="285" w:lineRule="auto"/>
        <w:tabs>
          <w:tab w:leader="none" w:pos="424" w:val="left"/>
        </w:tabs>
        <w:numPr>
          <w:ilvl w:val="0"/>
          <w:numId w:val="637"/>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To the extent (i) any payments to which Executive becomes entitled under this Agreement, or any agreement or plan referenced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herein, in connection with Executive’s termination of employment with the Company or its subsidiary, as applicable,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deferral shall only be effected to the extent required to avoid adverse tax treatment to Executive, including (without limitation)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additional twenty percent (20%) tax for which Executive would otherwise be liable under Section 409A(a)(1)(B) of the Code in the absence of such deferral.Upon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ectPr>
          <w:pgSz w:w="11900" w:h="16838" w:orient="portrait"/>
          <w:cols w:equalWidth="0" w:num="1">
            <w:col w:w="10984"/>
          </w:cols>
          <w:pgMar w:left="436" w:top="270" w:right="479" w:bottom="1440" w:gutter="0" w:footer="0" w:header="0"/>
        </w:sectPr>
      </w:pPr>
    </w:p>
    <w:bookmarkStart w:id="664" w:name="page665"/>
    <w:bookmarkEnd w:id="664"/>
    <w:p>
      <w:pPr>
        <w:ind w:left="424" w:hanging="424"/>
        <w:spacing w:after="0"/>
        <w:tabs>
          <w:tab w:leader="none" w:pos="424" w:val="left"/>
        </w:tabs>
        <w:numPr>
          <w:ilvl w:val="0"/>
          <w:numId w:val="63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Arrangements</w:t>
      </w:r>
      <w:r>
        <w:rPr>
          <w:rFonts w:ascii="Arial" w:cs="Arial" w:eastAsia="Arial" w:hAnsi="Arial"/>
          <w:sz w:val="16"/>
          <w:szCs w:val="16"/>
          <w:color w:val="auto"/>
        </w:rPr>
        <w:t>. This Agreement supersedes Executive’s prior Severance Agreement by and between the Company and Executive, dated</w:t>
      </w:r>
    </w:p>
    <w:p>
      <w:pPr>
        <w:spacing w:after="0" w:line="50" w:lineRule="exact"/>
        <w:rPr>
          <w:rFonts w:ascii="Arial" w:cs="Arial" w:eastAsia="Arial" w:hAnsi="Arial"/>
          <w:sz w:val="16"/>
          <w:szCs w:val="16"/>
          <w:b w:val="1"/>
          <w:bCs w:val="1"/>
          <w:color w:val="auto"/>
        </w:rPr>
      </w:pPr>
    </w:p>
    <w:p>
      <w:pPr>
        <w:ind w:left="424"/>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_________________. This Agreement also supersedes any and all cash severance arrangements and vesting acceleration arrangements on change in control under any agreement governing Equity Awards, severance and salary continuation arrangements, programs and plans which were previously offered, or may be offered on the Effective Date or thereafter, by the Company or its subsidiary, as applicable, to the Executive, including change in control severance arrangements and vesting acceleration arrangements pursuant to an agreement governing Equity Awards, employment agreement or offer letter, and Executive hereby waives Executive’s rights to such other benefits.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206" w:lineRule="exact"/>
        <w:rPr>
          <w:rFonts w:ascii="Arial" w:cs="Arial" w:eastAsia="Arial" w:hAnsi="Arial"/>
          <w:sz w:val="16"/>
          <w:szCs w:val="16"/>
          <w:b w:val="1"/>
          <w:bCs w:val="1"/>
          <w:color w:val="auto"/>
        </w:rPr>
      </w:pPr>
    </w:p>
    <w:p>
      <w:pPr>
        <w:ind w:left="424" w:right="60" w:hanging="424"/>
        <w:spacing w:after="0" w:line="255" w:lineRule="auto"/>
        <w:tabs>
          <w:tab w:leader="none" w:pos="424"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 To ensure rapid and economical resolution of any and all disputes that might arise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 Francisco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215" w:lineRule="exact"/>
        <w:rPr>
          <w:rFonts w:ascii="Arial" w:cs="Arial" w:eastAsia="Arial" w:hAnsi="Arial"/>
          <w:sz w:val="18"/>
          <w:szCs w:val="18"/>
          <w:color w:val="auto"/>
        </w:rPr>
      </w:pPr>
    </w:p>
    <w:p>
      <w:pPr>
        <w:ind w:left="424" w:right="220" w:hanging="424"/>
        <w:spacing w:after="0" w:line="298" w:lineRule="auto"/>
        <w:tabs>
          <w:tab w:leader="none" w:pos="424" w:val="left"/>
        </w:tabs>
        <w:numPr>
          <w:ilvl w:val="0"/>
          <w:numId w:val="638"/>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Notices and all other communications contemplated by this Agreement shall be in writing and shall be deemed to have been duly given</w:t>
      </w:r>
      <w:r>
        <w:rPr>
          <w:rFonts w:ascii="Arial" w:cs="Arial" w:eastAsia="Arial" w:hAnsi="Arial"/>
          <w:sz w:val="16"/>
          <w:szCs w:val="16"/>
          <w:b w:val="1"/>
          <w:bCs w:val="1"/>
          <w:color w:val="auto"/>
        </w:rPr>
        <w:t xml:space="preserve"> </w:t>
      </w:r>
      <w:r>
        <w:rPr>
          <w:rFonts w:ascii="Arial" w:cs="Arial" w:eastAsia="Arial" w:hAnsi="Arial"/>
          <w:sz w:val="16"/>
          <w:szCs w:val="16"/>
          <w:color w:val="auto"/>
        </w:rPr>
        <w:t>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80" w:lineRule="exact"/>
        <w:rPr>
          <w:rFonts w:ascii="Arial" w:cs="Arial" w:eastAsia="Arial" w:hAnsi="Arial"/>
          <w:sz w:val="16"/>
          <w:szCs w:val="16"/>
          <w:color w:val="auto"/>
        </w:rPr>
      </w:pPr>
    </w:p>
    <w:p>
      <w:pPr>
        <w:ind w:left="424" w:right="300" w:hanging="424"/>
        <w:spacing w:after="0" w:line="261" w:lineRule="auto"/>
        <w:tabs>
          <w:tab w:leader="none" w:pos="424"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modified, waived or discharged unless the modification, waiver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ectPr>
          <w:pgSz w:w="11900" w:h="16838" w:orient="portrait"/>
          <w:cols w:equalWidth="0" w:num="1">
            <w:col w:w="10964"/>
          </w:cols>
          <w:pgMar w:left="436" w:top="270" w:right="499" w:bottom="1440" w:gutter="0" w:footer="0" w:header="0"/>
        </w:sectPr>
      </w:pPr>
    </w:p>
    <w:bookmarkStart w:id="665" w:name="page666"/>
    <w:bookmarkEnd w:id="665"/>
    <w:p>
      <w:pPr>
        <w:ind w:left="424" w:right="540" w:hanging="424"/>
        <w:spacing w:after="0" w:line="282" w:lineRule="auto"/>
        <w:tabs>
          <w:tab w:leader="none" w:pos="424"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 Taxes</w:t>
      </w:r>
      <w:r>
        <w:rPr>
          <w:rFonts w:ascii="Arial" w:cs="Arial" w:eastAsia="Arial" w:hAnsi="Arial"/>
          <w:sz w:val="18"/>
          <w:szCs w:val="18"/>
          <w:color w:val="auto"/>
        </w:rPr>
        <w:t>. All payments made under this Agreement shall be subject to reduction to reflect taxes or other charges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law.</w:t>
      </w:r>
    </w:p>
    <w:p>
      <w:pPr>
        <w:spacing w:after="0" w:line="67" w:lineRule="exact"/>
        <w:rPr>
          <w:rFonts w:ascii="Arial" w:cs="Arial" w:eastAsia="Arial" w:hAnsi="Arial"/>
          <w:sz w:val="18"/>
          <w:szCs w:val="18"/>
          <w:color w:val="auto"/>
        </w:rPr>
      </w:pPr>
    </w:p>
    <w:p>
      <w:pPr>
        <w:ind w:left="424" w:right="80" w:hanging="424"/>
        <w:spacing w:after="0" w:line="282" w:lineRule="auto"/>
        <w:tabs>
          <w:tab w:leader="none" w:pos="424"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hereof, which shall remain in full force and effect.</w:t>
      </w:r>
    </w:p>
    <w:p>
      <w:pPr>
        <w:spacing w:after="0" w:line="67" w:lineRule="exact"/>
        <w:rPr>
          <w:rFonts w:ascii="Arial" w:cs="Arial" w:eastAsia="Arial" w:hAnsi="Arial"/>
          <w:sz w:val="18"/>
          <w:szCs w:val="18"/>
          <w:color w:val="auto"/>
        </w:rPr>
      </w:pPr>
    </w:p>
    <w:p>
      <w:pPr>
        <w:ind w:left="424" w:hanging="424"/>
        <w:spacing w:after="0" w:line="289" w:lineRule="auto"/>
        <w:tabs>
          <w:tab w:leader="none" w:pos="424" w:val="left"/>
        </w:tabs>
        <w:numPr>
          <w:ilvl w:val="0"/>
          <w:numId w:val="639"/>
        </w:numPr>
        <w:rPr>
          <w:rFonts w:ascii="Arial" w:cs="Arial" w:eastAsia="Arial" w:hAnsi="Arial"/>
          <w:sz w:val="17"/>
          <w:szCs w:val="17"/>
          <w:color w:val="auto"/>
        </w:rPr>
      </w:pPr>
      <w:r>
        <w:rPr>
          <w:rFonts w:ascii="Arial" w:cs="Arial" w:eastAsia="Arial" w:hAnsi="Arial"/>
          <w:sz w:val="17"/>
          <w:szCs w:val="17"/>
          <w:b w:val="1"/>
          <w:bCs w:val="1"/>
          <w:color w:val="auto"/>
        </w:rPr>
        <w:t>No Retention Rights</w:t>
      </w:r>
      <w:r>
        <w:rPr>
          <w:rFonts w:ascii="Arial" w:cs="Arial" w:eastAsia="Arial" w:hAnsi="Arial"/>
          <w:sz w:val="17"/>
          <w:szCs w:val="17"/>
          <w:color w:val="auto"/>
        </w:rPr>
        <w:t>. Nothing in this Agreement shall confer upon the Executive any right to continue in service for any period of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63" w:lineRule="exact"/>
        <w:rPr>
          <w:rFonts w:ascii="Arial" w:cs="Arial" w:eastAsia="Arial" w:hAnsi="Arial"/>
          <w:sz w:val="17"/>
          <w:szCs w:val="17"/>
          <w:color w:val="auto"/>
        </w:rPr>
      </w:pPr>
    </w:p>
    <w:p>
      <w:pPr>
        <w:ind w:left="424" w:right="80" w:hanging="424"/>
        <w:spacing w:after="0" w:line="282" w:lineRule="auto"/>
        <w:tabs>
          <w:tab w:leader="none" w:pos="424"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 the State of Texas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its choice-of-law provisions).</w:t>
      </w:r>
    </w:p>
    <w:p>
      <w:pPr>
        <w:spacing w:after="0" w:line="378"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ectPr>
          <w:pgSz w:w="11900" w:h="16838" w:orient="portrait"/>
          <w:cols w:equalWidth="0" w:num="1">
            <w:col w:w="10924"/>
          </w:cols>
          <w:pgMar w:left="436" w:top="270" w:right="539" w:bottom="1440" w:gutter="0" w:footer="0" w:header="0"/>
        </w:sectPr>
      </w:pPr>
    </w:p>
    <w:bookmarkStart w:id="666" w:name="page667"/>
    <w:bookmarkEnd w:id="66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has executed this Agreement, in the case of the Company by its duly authorized officer,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AEGLEA BIOTHERAPEUTICS,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Anthony Quinn, M.B Ch.B,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Interim Chief Executive Officer</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EVERANCE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920"/>
          </w:cols>
          <w:pgMar w:left="440" w:top="274" w:right="539" w:bottom="1440" w:gutter="0" w:footer="0" w:header="0"/>
        </w:sectPr>
      </w:pPr>
    </w:p>
    <w:bookmarkStart w:id="667" w:name="page668"/>
    <w:bookmarkEnd w:id="667"/>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SEPARATION AND CONSULTING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AND GENERAL RELEASE OF CLAIMS</w:t>
      </w:r>
    </w:p>
    <w:p>
      <w:pPr>
        <w:spacing w:after="0" w:line="211"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This SEPARATION AND CONSULTING AGREEMENT AND GENERAL RELEASE OF CLAIMS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Aeglea BioTherapeutics,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Jonathan Alspaugh (“</w:t>
      </w:r>
      <w:r>
        <w:rPr>
          <w:rFonts w:ascii="Arial" w:cs="Arial" w:eastAsia="Arial" w:hAnsi="Arial"/>
          <w:sz w:val="18"/>
          <w:szCs w:val="18"/>
          <w:u w:val="single" w:color="auto"/>
          <w:color w:val="auto"/>
        </w:rPr>
        <w:t>Executive</w:t>
      </w:r>
      <w:r>
        <w:rPr>
          <w:rFonts w:ascii="Arial" w:cs="Arial" w:eastAsia="Arial" w:hAnsi="Arial"/>
          <w:sz w:val="18"/>
          <w:szCs w:val="18"/>
          <w:color w:val="auto"/>
        </w:rPr>
        <w:t>”). Executive and the Company are each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Executive’s employment with the Company terminated effective as of September 1, 2023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and</w:t>
      </w:r>
    </w:p>
    <w:p>
      <w:pPr>
        <w:spacing w:after="0" w:line="225"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Separation Date, Executive holds the outstanding equity awards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 (collectively the “</w:t>
      </w:r>
      <w:r>
        <w:rPr>
          <w:rFonts w:ascii="Arial" w:cs="Arial" w:eastAsia="Arial" w:hAnsi="Arial"/>
          <w:sz w:val="18"/>
          <w:szCs w:val="18"/>
          <w:u w:val="single" w:color="auto"/>
          <w:color w:val="auto"/>
        </w:rPr>
        <w:t>Options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each case, pursuant to those certain Notices of Stock Option Grants and Stock Option Agreements under the Aeglea BioTherapeutics, Inc. 2016 Equity Incentive Plan (collectively, the “</w:t>
      </w:r>
      <w:r>
        <w:rPr>
          <w:rFonts w:ascii="Arial" w:cs="Arial" w:eastAsia="Arial" w:hAnsi="Arial"/>
          <w:sz w:val="18"/>
          <w:szCs w:val="18"/>
          <w:u w:val="single" w:color="auto"/>
          <w:color w:val="auto"/>
        </w:rPr>
        <w:t>Award Agreements</w:t>
      </w:r>
      <w:r>
        <w:rPr>
          <w:rFonts w:ascii="Arial" w:cs="Arial" w:eastAsia="Arial" w:hAnsi="Arial"/>
          <w:sz w:val="18"/>
          <w:szCs w:val="18"/>
          <w:color w:val="auto"/>
        </w:rPr>
        <w:t>”)</w:t>
      </w:r>
    </w:p>
    <w:p>
      <w:pPr>
        <w:spacing w:after="0" w:line="176" w:lineRule="exact"/>
        <w:rPr>
          <w:sz w:val="20"/>
          <w:szCs w:val="20"/>
          <w:color w:val="auto"/>
        </w:rPr>
      </w:pPr>
    </w:p>
    <w:p>
      <w:pPr>
        <w:ind w:left="4" w:right="3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reference is made to that certain Employee Invention Assignment, Confidentiality and Non-Competition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Company (the “</w:t>
      </w:r>
      <w:r>
        <w:rPr>
          <w:rFonts w:ascii="Arial" w:cs="Arial" w:eastAsia="Arial" w:hAnsi="Arial"/>
          <w:sz w:val="18"/>
          <w:szCs w:val="18"/>
          <w:u w:val="single" w:color="auto"/>
          <w:color w:val="auto"/>
        </w:rPr>
        <w:t>EIACN Agreement</w:t>
      </w:r>
      <w:r>
        <w:rPr>
          <w:rFonts w:ascii="Arial" w:cs="Arial" w:eastAsia="Arial" w:hAnsi="Arial"/>
          <w:sz w:val="18"/>
          <w:szCs w:val="18"/>
          <w:color w:val="auto"/>
        </w:rPr>
        <w:t>”) and to that certain Severance Agreement between Executive and the Company dated July 6, 2021 (the “</w:t>
      </w:r>
      <w:r>
        <w:rPr>
          <w:rFonts w:ascii="Arial" w:cs="Arial" w:eastAsia="Arial" w:hAnsi="Arial"/>
          <w:sz w:val="18"/>
          <w:szCs w:val="18"/>
          <w:u w:val="single" w:color="auto"/>
          <w:color w:val="auto"/>
        </w:rPr>
        <w:t>Severance Agreement</w:t>
      </w:r>
      <w:r>
        <w:rPr>
          <w:rFonts w:ascii="Arial" w:cs="Arial" w:eastAsia="Arial" w:hAnsi="Arial"/>
          <w:sz w:val="18"/>
          <w:szCs w:val="18"/>
          <w:color w:val="auto"/>
        </w:rPr>
        <w:t>”); and</w:t>
      </w:r>
    </w:p>
    <w:p>
      <w:pPr>
        <w:spacing w:after="0" w:line="176"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to provide Executive with certain severance payments and benefits, which are conditioned upon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delivery, non-revocation of and compliance with this Agreement.</w:t>
      </w:r>
    </w:p>
    <w:p>
      <w:pPr>
        <w:spacing w:after="0" w:line="162"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set forth herein, and for other good and valuable consideration, the receipt and sufficiency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acknowledged by Executive and the Company, the Parties hereby agree as follows:</w:t>
      </w:r>
    </w:p>
    <w:p>
      <w:pPr>
        <w:spacing w:after="0" w:line="310" w:lineRule="exact"/>
        <w:rPr>
          <w:sz w:val="20"/>
          <w:szCs w:val="20"/>
          <w:color w:val="auto"/>
        </w:rPr>
      </w:pPr>
    </w:p>
    <w:p>
      <w:pPr>
        <w:ind w:left="424" w:hanging="424"/>
        <w:spacing w:after="0"/>
        <w:tabs>
          <w:tab w:leader="none" w:pos="424" w:val="left"/>
        </w:tabs>
        <w:numPr>
          <w:ilvl w:val="0"/>
          <w:numId w:val="6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Separation from Employment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80" w:firstLine="436"/>
        <w:spacing w:after="0" w:line="273" w:lineRule="auto"/>
        <w:tabs>
          <w:tab w:leader="none" w:pos="824" w:val="left"/>
        </w:tabs>
        <w:numPr>
          <w:ilvl w:val="1"/>
          <w:numId w:val="640"/>
        </w:numPr>
        <w:rPr>
          <w:rFonts w:ascii="Arial" w:cs="Arial" w:eastAsia="Arial" w:hAnsi="Arial"/>
          <w:sz w:val="17"/>
          <w:szCs w:val="17"/>
          <w:color w:val="auto"/>
        </w:rPr>
      </w:pPr>
      <w:r>
        <w:rPr>
          <w:rFonts w:ascii="Arial" w:cs="Arial" w:eastAsia="Arial" w:hAnsi="Arial"/>
          <w:sz w:val="17"/>
          <w:szCs w:val="17"/>
          <w:color w:val="auto"/>
        </w:rPr>
        <w:t>The Company and Executive acknowledge and agree that Executive’s employment with the Company will end as of the Separation Date. As of the Separation Date, Executive will no longer be employed by the Company or any other Company Party (as defined below), and Executive will be deemed to have automatically resigned (i) as an officer of the Company and its affiliates (as applicable) and (ii) from the board of managers, board of directors or similar governing body of each of the Company and its affiliates (as applicable) and any other corporation, limited liability company, trade organization, or other entity in which the Company or any of its affiliates holds an equity interest or with respect to which board or similar governing body Executive serves as the designee or other representative of the Company or any of its affiliates.</w:t>
      </w:r>
    </w:p>
    <w:p>
      <w:pPr>
        <w:spacing w:after="0" w:line="177" w:lineRule="exact"/>
        <w:rPr>
          <w:rFonts w:ascii="Arial" w:cs="Arial" w:eastAsia="Arial" w:hAnsi="Arial"/>
          <w:sz w:val="17"/>
          <w:szCs w:val="17"/>
          <w:color w:val="auto"/>
        </w:rPr>
      </w:pPr>
    </w:p>
    <w:p>
      <w:pPr>
        <w:ind w:left="4" w:right="120" w:firstLine="436"/>
        <w:spacing w:after="0" w:line="259" w:lineRule="auto"/>
        <w:tabs>
          <w:tab w:leader="none" w:pos="834" w:val="left"/>
        </w:tabs>
        <w:numPr>
          <w:ilvl w:val="1"/>
          <w:numId w:val="640"/>
        </w:numPr>
        <w:rPr>
          <w:rFonts w:ascii="Arial" w:cs="Arial" w:eastAsia="Arial" w:hAnsi="Arial"/>
          <w:sz w:val="18"/>
          <w:szCs w:val="18"/>
          <w:color w:val="auto"/>
        </w:rPr>
      </w:pPr>
      <w:r>
        <w:rPr>
          <w:rFonts w:ascii="Arial" w:cs="Arial" w:eastAsia="Arial" w:hAnsi="Arial"/>
          <w:sz w:val="18"/>
          <w:szCs w:val="18"/>
          <w:color w:val="auto"/>
        </w:rPr>
        <w:t>Executive acknowledges and agrees that Executive has been paid in full all bonuses, been provided all benefits, and otherwise received all wages, compensation and other sums that Executive has been owed by each Company Party. Executive further acknowledges and agrees that Executive has received all vacation and leaves (paid and unpaid), including payment of accrued but unpaid paid time off, that Executive has been entitled to receive from each Company Party.</w:t>
      </w:r>
    </w:p>
    <w:p>
      <w:pPr>
        <w:sectPr>
          <w:pgSz w:w="11900" w:h="16838" w:orient="portrait"/>
          <w:cols w:equalWidth="0" w:num="1">
            <w:col w:w="11024"/>
          </w:cols>
          <w:pgMar w:left="436" w:top="122" w:right="439" w:bottom="1440" w:gutter="0" w:footer="0" w:header="0"/>
        </w:sectPr>
      </w:pPr>
    </w:p>
    <w:bookmarkStart w:id="668" w:name="page669"/>
    <w:bookmarkEnd w:id="668"/>
    <w:p>
      <w:pPr>
        <w:ind w:left="4" w:right="260" w:hanging="4"/>
        <w:spacing w:after="0" w:line="277" w:lineRule="auto"/>
        <w:tabs>
          <w:tab w:leader="none" w:pos="454" w:val="left"/>
        </w:tabs>
        <w:numPr>
          <w:ilvl w:val="0"/>
          <w:numId w:val="6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Payments and Benefits</w:t>
      </w:r>
      <w:r>
        <w:rPr>
          <w:rFonts w:ascii="Arial" w:cs="Arial" w:eastAsia="Arial" w:hAnsi="Arial"/>
          <w:sz w:val="17"/>
          <w:szCs w:val="17"/>
          <w:color w:val="auto"/>
        </w:rPr>
        <w:t>. Provided that Executive: (x) executes this Agreement and returns a copy of this Agreement that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by Executive to the Company so that it is received by Cameron Turtle, Chief Operating Officer, 221 Crescent Street, Built 17, Suite 102B, Waltham, MA 02453 (email: ) no later than 5:00 pm CT on September 22, 2023; (y) does not revoke this Agreement during the Release Revocation Period (as defined below); and (z) remains in compliance with the other terms and conditions set forth in this Agreement (including under Section 5), Executive shall receive the following separation payments and benefits:</w:t>
      </w:r>
    </w:p>
    <w:p>
      <w:pPr>
        <w:spacing w:after="0" w:line="171" w:lineRule="exact"/>
        <w:rPr>
          <w:rFonts w:ascii="Arial" w:cs="Arial" w:eastAsia="Arial" w:hAnsi="Arial"/>
          <w:sz w:val="17"/>
          <w:szCs w:val="17"/>
          <w:b w:val="1"/>
          <w:bCs w:val="1"/>
          <w:color w:val="auto"/>
        </w:rPr>
      </w:pPr>
    </w:p>
    <w:p>
      <w:pPr>
        <w:ind w:left="4" w:right="120" w:firstLine="436"/>
        <w:spacing w:after="0" w:line="229" w:lineRule="auto"/>
        <w:tabs>
          <w:tab w:leader="none" w:pos="824"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the Company shall pay to Executive aggregate severance payments of $623,000 (the “</w:t>
      </w:r>
      <w:r>
        <w:rPr>
          <w:rFonts w:ascii="Arial" w:cs="Arial" w:eastAsia="Arial" w:hAnsi="Arial"/>
          <w:sz w:val="18"/>
          <w:szCs w:val="18"/>
          <w:u w:val="single" w:color="auto"/>
          <w:color w:val="auto"/>
        </w:rPr>
        <w:t>Severance Amount</w:t>
      </w:r>
      <w:r>
        <w:rPr>
          <w:rFonts w:ascii="Arial" w:cs="Arial" w:eastAsia="Arial" w:hAnsi="Arial"/>
          <w:sz w:val="18"/>
          <w:szCs w:val="18"/>
          <w:color w:val="auto"/>
        </w:rPr>
        <w:t>”), which Severance Amount shall be paid through salary continuation in equal installments in accordance with the Company’s standard payroll procedures, with the initial payment to occur on the first payroll date following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Separation Date, with the first installment to include a catchup payment for amounts covering the period from the date of Separation Date through the first payment date;</w:t>
      </w:r>
    </w:p>
    <w:p>
      <w:pPr>
        <w:spacing w:after="0" w:line="202" w:lineRule="exact"/>
        <w:rPr>
          <w:rFonts w:ascii="Arial" w:cs="Arial" w:eastAsia="Arial" w:hAnsi="Arial"/>
          <w:sz w:val="18"/>
          <w:szCs w:val="18"/>
          <w:color w:val="auto"/>
        </w:rPr>
      </w:pPr>
    </w:p>
    <w:p>
      <w:pPr>
        <w:jc w:val="both"/>
        <w:ind w:left="4" w:right="140" w:firstLine="436"/>
        <w:spacing w:after="0" w:line="311" w:lineRule="auto"/>
        <w:tabs>
          <w:tab w:leader="none" w:pos="834" w:val="left"/>
        </w:tabs>
        <w:numPr>
          <w:ilvl w:val="1"/>
          <w:numId w:val="641"/>
        </w:numPr>
        <w:rPr>
          <w:rFonts w:ascii="Arial" w:cs="Arial" w:eastAsia="Arial" w:hAnsi="Arial"/>
          <w:sz w:val="16"/>
          <w:szCs w:val="16"/>
          <w:color w:val="auto"/>
        </w:rPr>
      </w:pPr>
      <w:r>
        <w:rPr>
          <w:rFonts w:ascii="Arial" w:cs="Arial" w:eastAsia="Arial" w:hAnsi="Arial"/>
          <w:sz w:val="16"/>
          <w:szCs w:val="16"/>
          <w:color w:val="auto"/>
        </w:rPr>
        <w:t>if Executive timely elects continued coverage under the Consolidated Omnibus Budget Reconciliation Act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the Company shall pay the full amount of Executive’s COBRA premiums on behalf of the Executive for the Executive’s continued coverage under the Company’s health, dental and vision plans, including coverage for the Executive’s eligible dependents, for the Severance Period (as defined in the Severance Agreement);</w:t>
      </w:r>
    </w:p>
    <w:p>
      <w:pPr>
        <w:spacing w:after="0" w:line="148" w:lineRule="exact"/>
        <w:rPr>
          <w:rFonts w:ascii="Arial" w:cs="Arial" w:eastAsia="Arial" w:hAnsi="Arial"/>
          <w:sz w:val="16"/>
          <w:szCs w:val="16"/>
          <w:color w:val="auto"/>
        </w:rPr>
      </w:pPr>
    </w:p>
    <w:p>
      <w:pPr>
        <w:ind w:left="4" w:right="260" w:firstLine="436"/>
        <w:spacing w:after="0" w:line="286" w:lineRule="auto"/>
        <w:tabs>
          <w:tab w:leader="none" w:pos="824" w:val="left"/>
        </w:tabs>
        <w:numPr>
          <w:ilvl w:val="1"/>
          <w:numId w:val="641"/>
        </w:numPr>
        <w:rPr>
          <w:rFonts w:ascii="Arial" w:cs="Arial" w:eastAsia="Arial" w:hAnsi="Arial"/>
          <w:sz w:val="17"/>
          <w:szCs w:val="17"/>
          <w:color w:val="auto"/>
        </w:rPr>
      </w:pPr>
      <w:r>
        <w:rPr>
          <w:rFonts w:ascii="Arial" w:cs="Arial" w:eastAsia="Arial" w:hAnsi="Arial"/>
          <w:sz w:val="17"/>
          <w:szCs w:val="17"/>
          <w:color w:val="auto"/>
        </w:rPr>
        <w:t>the Company shall pay to Executive a lump sum payment of $168,246.58 (the “</w:t>
      </w:r>
      <w:r>
        <w:rPr>
          <w:rFonts w:ascii="Arial" w:cs="Arial" w:eastAsia="Arial" w:hAnsi="Arial"/>
          <w:sz w:val="17"/>
          <w:szCs w:val="17"/>
          <w:u w:val="single" w:color="auto"/>
          <w:color w:val="auto"/>
        </w:rPr>
        <w:t>Retention Bonus</w:t>
      </w:r>
      <w:r>
        <w:rPr>
          <w:rFonts w:ascii="Arial" w:cs="Arial" w:eastAsia="Arial" w:hAnsi="Arial"/>
          <w:sz w:val="17"/>
          <w:szCs w:val="17"/>
          <w:color w:val="auto"/>
        </w:rPr>
        <w:t>”) in accordance with the terms of that certain Incentive Agreement between Executive and the Company dated June 21, 2023 (the “</w:t>
      </w:r>
      <w:r>
        <w:rPr>
          <w:rFonts w:ascii="Arial" w:cs="Arial" w:eastAsia="Arial" w:hAnsi="Arial"/>
          <w:sz w:val="17"/>
          <w:szCs w:val="17"/>
          <w:u w:val="single" w:color="auto"/>
          <w:color w:val="auto"/>
        </w:rPr>
        <w:t>Incentive Agreement</w:t>
      </w:r>
      <w:r>
        <w:rPr>
          <w:rFonts w:ascii="Arial" w:cs="Arial" w:eastAsia="Arial" w:hAnsi="Arial"/>
          <w:sz w:val="17"/>
          <w:szCs w:val="17"/>
          <w:color w:val="auto"/>
        </w:rPr>
        <w:t>”), which Retention Bonus shall be paid following the expiration of the Release Revocation Period but in no event later than December 31, 2023;</w:t>
      </w:r>
    </w:p>
    <w:p>
      <w:pPr>
        <w:spacing w:after="0" w:line="165" w:lineRule="exact"/>
        <w:rPr>
          <w:rFonts w:ascii="Arial" w:cs="Arial" w:eastAsia="Arial" w:hAnsi="Arial"/>
          <w:sz w:val="17"/>
          <w:szCs w:val="17"/>
          <w:color w:val="auto"/>
        </w:rPr>
      </w:pPr>
    </w:p>
    <w:p>
      <w:pPr>
        <w:ind w:left="4" w:firstLine="436"/>
        <w:spacing w:after="0" w:line="277" w:lineRule="auto"/>
        <w:tabs>
          <w:tab w:leader="none" w:pos="834" w:val="left"/>
        </w:tabs>
        <w:numPr>
          <w:ilvl w:val="1"/>
          <w:numId w:val="641"/>
        </w:numPr>
        <w:rPr>
          <w:rFonts w:ascii="Arial" w:cs="Arial" w:eastAsia="Arial" w:hAnsi="Arial"/>
          <w:sz w:val="18"/>
          <w:szCs w:val="18"/>
          <w:color w:val="auto"/>
        </w:rPr>
      </w:pPr>
      <w:r>
        <w:rPr>
          <w:rFonts w:ascii="Arial" w:cs="Arial" w:eastAsia="Arial" w:hAnsi="Arial"/>
          <w:sz w:val="18"/>
          <w:szCs w:val="18"/>
          <w:color w:val="auto"/>
        </w:rPr>
        <w:t>effective as of the last day of the Consulting Period, all unvested Options scheduled to vest within the 12-month period following the last day of the Consulting Period shall immediately become fully vested and exercisable;</w:t>
      </w:r>
    </w:p>
    <w:p>
      <w:pPr>
        <w:spacing w:after="0" w:line="170" w:lineRule="exact"/>
        <w:rPr>
          <w:rFonts w:ascii="Arial" w:cs="Arial" w:eastAsia="Arial" w:hAnsi="Arial"/>
          <w:sz w:val="18"/>
          <w:szCs w:val="18"/>
          <w:color w:val="auto"/>
        </w:rPr>
      </w:pPr>
    </w:p>
    <w:p>
      <w:pPr>
        <w:ind w:left="4" w:right="180" w:firstLine="436"/>
        <w:spacing w:after="0" w:line="277" w:lineRule="auto"/>
        <w:tabs>
          <w:tab w:leader="none" w:pos="824" w:val="left"/>
        </w:tabs>
        <w:numPr>
          <w:ilvl w:val="1"/>
          <w:numId w:val="641"/>
        </w:numPr>
        <w:rPr>
          <w:rFonts w:ascii="Arial" w:cs="Arial" w:eastAsia="Arial" w:hAnsi="Arial"/>
          <w:sz w:val="18"/>
          <w:szCs w:val="18"/>
          <w:color w:val="auto"/>
        </w:rPr>
      </w:pPr>
      <w:r>
        <w:rPr>
          <w:rFonts w:ascii="Arial" w:cs="Arial" w:eastAsia="Arial" w:hAnsi="Arial"/>
          <w:sz w:val="18"/>
          <w:szCs w:val="18"/>
          <w:color w:val="auto"/>
        </w:rPr>
        <w:t>all vested Options (after giving effect to Section 2(d) and Section 5(c)) will remain outstanding for six months following the last day of the Consulting Period and may be exercised during such period in accordance with the terms of the Award Agreements; and</w:t>
      </w:r>
    </w:p>
    <w:p>
      <w:pPr>
        <w:spacing w:after="0" w:line="170" w:lineRule="exact"/>
        <w:rPr>
          <w:rFonts w:ascii="Arial" w:cs="Arial" w:eastAsia="Arial" w:hAnsi="Arial"/>
          <w:sz w:val="18"/>
          <w:szCs w:val="18"/>
          <w:color w:val="auto"/>
        </w:rPr>
      </w:pPr>
    </w:p>
    <w:p>
      <w:pPr>
        <w:ind w:left="4" w:right="160" w:firstLine="436"/>
        <w:spacing w:after="0" w:line="273" w:lineRule="auto"/>
        <w:tabs>
          <w:tab w:leader="none" w:pos="804" w:val="left"/>
        </w:tabs>
        <w:numPr>
          <w:ilvl w:val="1"/>
          <w:numId w:val="641"/>
        </w:numPr>
        <w:rPr>
          <w:rFonts w:ascii="Arial" w:cs="Arial" w:eastAsia="Arial" w:hAnsi="Arial"/>
          <w:sz w:val="17"/>
          <w:szCs w:val="17"/>
          <w:color w:val="auto"/>
        </w:rPr>
      </w:pPr>
      <w:r>
        <w:rPr>
          <w:rFonts w:ascii="Arial" w:cs="Arial" w:eastAsia="Arial" w:hAnsi="Arial"/>
          <w:sz w:val="17"/>
          <w:szCs w:val="17"/>
          <w:color w:val="auto"/>
        </w:rPr>
        <w:t>in the event that any sale, licensing, disposition, or monetization transaction or multiple transactions relating to pegtarviliase or any of the Company’s legacy development-stage assets is consummated prior to June 23, 2024, then, and only then, the Company will pay to Executive a cash bonus equal to: (i) 1.0% of the value of the upfront consideration received by the Company in such transactions, plus (ii) 0.5% of the risk-adjusted net present value of the contingent consideration payable to the Company in such transactions, in each case, to be paid within 30 days of the end of the calendar quarter in which such transaction is consummated, in each case, in accordance the parameters established by the Compensation Committee of the Board of Directors of the Company on August 1, 2023.</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669" w:name="page670"/>
    <w:bookmarkEnd w:id="669"/>
    <w:p>
      <w:pPr>
        <w:ind w:left="4" w:right="3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acknowledges and agrees that the consideration referenced in this Section 2 represents the entirety of the amounts Executive is eligible to receive as severance pay and benefits from the Company or any other Company Party pursuant to the Severance Agreement and otherwise.</w:t>
      </w:r>
    </w:p>
    <w:p>
      <w:pPr>
        <w:spacing w:after="0" w:line="268" w:lineRule="exact"/>
        <w:rPr>
          <w:sz w:val="20"/>
          <w:szCs w:val="20"/>
          <w:color w:val="auto"/>
        </w:rPr>
      </w:pPr>
    </w:p>
    <w:p>
      <w:pPr>
        <w:ind w:left="424" w:hanging="424"/>
        <w:spacing w:after="0"/>
        <w:tabs>
          <w:tab w:leader="none" w:pos="424" w:val="left"/>
        </w:tabs>
        <w:numPr>
          <w:ilvl w:val="0"/>
          <w:numId w:val="6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Liability for Claims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82" w:lineRule="auto"/>
        <w:tabs>
          <w:tab w:leader="none" w:pos="824" w:val="left"/>
        </w:tabs>
        <w:numPr>
          <w:ilvl w:val="1"/>
          <w:numId w:val="642"/>
        </w:numPr>
        <w:rPr>
          <w:rFonts w:ascii="Arial" w:cs="Arial" w:eastAsia="Arial" w:hAnsi="Arial"/>
          <w:sz w:val="16"/>
          <w:szCs w:val="16"/>
          <w:color w:val="auto"/>
        </w:rPr>
      </w:pPr>
      <w:r>
        <w:rPr>
          <w:rFonts w:ascii="Arial" w:cs="Arial" w:eastAsia="Arial" w:hAnsi="Arial"/>
          <w:sz w:val="16"/>
          <w:szCs w:val="16"/>
          <w:color w:val="auto"/>
        </w:rPr>
        <w:t xml:space="preserve">For good and valuable consideration set forth in this Agreement, including the consideration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Executive knowingly and voluntarily (for Executive, Executive’s family, and Executive’s heirs, executors, administrators and assigns) hereby releases and forever discharges the Company and its affiliates, predecessors, successors, subsidiaries and benefit plans, and the foregoing entities’ respective equity-holders, officers, directors, managers, members, partners, employees, agents, representatives, and other affiliated persons, and the Company’s and its affiliates’ benefit plans (and the fiduciaries and trustees of such plans) (collectively, the “</w:t>
      </w:r>
      <w:r>
        <w:rPr>
          <w:rFonts w:ascii="Arial" w:cs="Arial" w:eastAsia="Arial" w:hAnsi="Arial"/>
          <w:sz w:val="16"/>
          <w:szCs w:val="16"/>
          <w:u w:val="single" w:color="auto"/>
          <w:color w:val="auto"/>
        </w:rPr>
        <w:t>Company Parties</w:t>
      </w:r>
      <w:r>
        <w:rPr>
          <w:rFonts w:ascii="Arial" w:cs="Arial" w:eastAsia="Arial" w:hAnsi="Arial"/>
          <w:sz w:val="16"/>
          <w:szCs w:val="16"/>
          <w:color w:val="auto"/>
        </w:rPr>
        <w:t>”), from liability for, and Executive hereby waives, any and all claims, damages, or causes of action of any kind related to Executive’s ownership of any interest in any Company Party, Executive’s employment with any Company Party, the termination of such employment, and any other acts or omissions related to any matter occurring on or prior to the date that Executive executes this Agreement, including (i) any alleged violation through such time of: (A) any federal, state or local anti-discrimination or anti-retaliation law, regulation or ordinance, including the Age Discrimination in Employment Act of 1967 (including as amended by the Older Workers Benefit Protection Act), Title VII of the Civil Rights Act of 1964, the Civil Rights Act of 1991, Sections 1981 through 1988 of Title 42 of the United States Code and the Americans with Disabilities Act of 1990; (B) the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(C) the Immigration Reform Control Act; (D) the National Labor Relations Act; (E) the Occupational Safety and Health Act; (F) the Family and Medical Leave Act of 1993; (G) the Texas Labor Code (specifically including the Texas Payday Law, the Texas Anti-Retaliation Act, Chapter 21 of the Texas Labor Code, and the Texas Whistleblower Act); (H) any federal, state or local wage and hour law; (I) any other local, state or federal law, regulation or ordinance; or (J) any public policy, contract, tort, or common law claim; (ii) any allegation for costs, fees, or other expenses including attorneys’ fees incurred in or with respect to a Released Claim; (iii) any and all rights, benefits or claims Executive may have under any employment contract, incentive compensation plan or equity-based plan with any Company Party or to any ownership interest in any Company Party (other than any rights under the Award Agreements), including any claims relating to an alleged change in control or potential change in control occurring prior to the Separation Date ; and (iv) any claim for compensation or benefits of any kind not expressly set forth in this Agreement (collectively,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xml:space="preserve">”). This Agreement is not intended to indicate that any such claims exist or that, if they do exist, they are meritorious. Rather, Executive is simply agreeing that, in exchange for any consideration received by Executive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and all potential claims of this nature that Executive may have against any of the Company Parties, regardless of whether they actually exist, are expressly settled, compromised and waived. </w:t>
      </w:r>
      <w:r>
        <w:rPr>
          <w:rFonts w:ascii="Arial" w:cs="Arial" w:eastAsia="Arial" w:hAnsi="Arial"/>
          <w:sz w:val="16"/>
          <w:szCs w:val="16"/>
          <w:b w:val="1"/>
          <w:bCs w:val="1"/>
          <w:color w:val="auto"/>
        </w:rPr>
        <w:t>THIS RELEASE</w:t>
      </w:r>
    </w:p>
    <w:p>
      <w:pPr>
        <w:spacing w:after="0" w:line="10"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INCLUDES MATTERS ATTRIBUTABLE TO THE SOLE OR PARTIAL NEGLIGENCE (WHETHER GROSS OR SIMPLE) OR OTHER FAULT, INCLUDING STRICT LIABILITY, OF ANY OF THE COMPANY PARTIES.</w:t>
      </w:r>
    </w:p>
    <w:p>
      <w:pPr>
        <w:spacing w:after="0" w:line="185" w:lineRule="exact"/>
        <w:rPr>
          <w:rFonts w:ascii="Arial" w:cs="Arial" w:eastAsia="Arial" w:hAnsi="Arial"/>
          <w:sz w:val="16"/>
          <w:szCs w:val="16"/>
          <w:color w:val="auto"/>
        </w:rPr>
      </w:pPr>
    </w:p>
    <w:p>
      <w:pPr>
        <w:ind w:left="4" w:right="260" w:firstLine="436"/>
        <w:spacing w:after="0" w:line="342" w:lineRule="auto"/>
        <w:tabs>
          <w:tab w:leader="none" w:pos="834" w:val="left"/>
        </w:tabs>
        <w:numPr>
          <w:ilvl w:val="1"/>
          <w:numId w:val="642"/>
        </w:numPr>
        <w:rPr>
          <w:rFonts w:ascii="Arial" w:cs="Arial" w:eastAsia="Arial" w:hAnsi="Arial"/>
          <w:sz w:val="16"/>
          <w:szCs w:val="16"/>
          <w:color w:val="auto"/>
        </w:rPr>
      </w:pPr>
      <w:r>
        <w:rPr>
          <w:rFonts w:ascii="Arial" w:cs="Arial" w:eastAsia="Arial" w:hAnsi="Arial"/>
          <w:sz w:val="16"/>
          <w:szCs w:val="16"/>
          <w:color w:val="auto"/>
        </w:rPr>
        <w:t>In no event shall the Released Claims include (i) any claim that arises after the date that Executive signs this Agreement; (ii) any claim to vested benefits under an employee benefit plan that is subject to ERISA, unemployment benefits, or worker’s compensation; and (iii) any</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670" w:name="page671"/>
    <w:bookmarkEnd w:id="670"/>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claim for breach of, or otherwise arising out of, this Agreement. Further notwithstanding this release of liability, nothing in this Agreement prevents Executive from filing any non-legally waivable claim (including a challenge to the validity of this Agreement) with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or comparable state or local agency or participating in any investigation or proceeding conducted by the EEOC or comparable state or local agency or cooperating in any such investigation or proceeding; however, Executive understands and agrees that Executive is waiving any and all rights to recover any monetary or personal relief from a Company Party as a result of such EEOC or comparable state or local agency or proceeding or subsequent legal actions. Further, nothing in this Agreement prohibits or restricts Executive from filing a charge or complaint with, or cooperating in any investigation with, the Securities and Exchange Commission, the Financial Industry Regulatory Authority, or any other governmental agency, entity or authority (each, a “</w:t>
      </w:r>
      <w:r>
        <w:rPr>
          <w:rFonts w:ascii="Arial" w:cs="Arial" w:eastAsia="Arial" w:hAnsi="Arial"/>
          <w:sz w:val="18"/>
          <w:szCs w:val="18"/>
          <w:u w:val="single" w:color="auto"/>
          <w:color w:val="auto"/>
        </w:rPr>
        <w:t>Government Agency</w:t>
      </w:r>
      <w:r>
        <w:rPr>
          <w:rFonts w:ascii="Arial" w:cs="Arial" w:eastAsia="Arial" w:hAnsi="Arial"/>
          <w:sz w:val="18"/>
          <w:szCs w:val="18"/>
          <w:color w:val="auto"/>
        </w:rPr>
        <w:t>”). This Agreement does not limit Executive’s right to receive an award for information provided to a Government Agency.</w:t>
      </w:r>
    </w:p>
    <w:p>
      <w:pPr>
        <w:spacing w:after="0" w:line="192" w:lineRule="exact"/>
        <w:rPr>
          <w:sz w:val="20"/>
          <w:szCs w:val="20"/>
          <w:color w:val="auto"/>
        </w:rPr>
      </w:pPr>
    </w:p>
    <w:p>
      <w:pPr>
        <w:ind w:left="4" w:right="40" w:hanging="4"/>
        <w:spacing w:after="0" w:line="273" w:lineRule="auto"/>
        <w:tabs>
          <w:tab w:leader="none" w:pos="454" w:val="left"/>
        </w:tabs>
        <w:numPr>
          <w:ilvl w:val="0"/>
          <w:numId w:val="6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Regarding Claims</w:t>
      </w:r>
      <w:r>
        <w:rPr>
          <w:rFonts w:ascii="Arial" w:cs="Arial" w:eastAsia="Arial" w:hAnsi="Arial"/>
          <w:sz w:val="17"/>
          <w:szCs w:val="17"/>
          <w:color w:val="auto"/>
        </w:rPr>
        <w:t>. Executive represents and warrants that, as of the time at which Executive signs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Executive has not filed or joined any claims, complaints, charges, or lawsuits against any of the Company Parties with any governmental agency or with any state or federal court or arbitrator for, or with respect to, a matter, claim, or incident that occurred or arose out of one or more occurrences that took place on or prior to the time at which Executive signs this Agreement. Executive further represents and warrants that Executive has not made any assignment, sale, delivery, transfer or conveyance of any rights Executive has asserted or may have against any of the Company Parties with respect to any Released Claim. Executive represents and warrants that, as of the time at which Executive signs this Agreement, Executive is not aware of any facts that may lead to a worker’s compensation claim.</w:t>
      </w:r>
    </w:p>
    <w:p>
      <w:pPr>
        <w:spacing w:after="0" w:line="320" w:lineRule="exact"/>
        <w:rPr>
          <w:rFonts w:ascii="Arial" w:cs="Arial" w:eastAsia="Arial" w:hAnsi="Arial"/>
          <w:sz w:val="17"/>
          <w:szCs w:val="17"/>
          <w:b w:val="1"/>
          <w:bCs w:val="1"/>
          <w:color w:val="auto"/>
        </w:rPr>
      </w:pPr>
    </w:p>
    <w:p>
      <w:pPr>
        <w:ind w:left="424" w:hanging="424"/>
        <w:spacing w:after="0"/>
        <w:tabs>
          <w:tab w:leader="none" w:pos="424" w:val="left"/>
        </w:tabs>
        <w:numPr>
          <w:ilvl w:val="0"/>
          <w:numId w:val="6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Consulting Services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80" w:firstLine="436"/>
        <w:spacing w:after="0" w:line="273" w:lineRule="auto"/>
        <w:tabs>
          <w:tab w:leader="none" w:pos="824" w:val="left"/>
        </w:tabs>
        <w:numPr>
          <w:ilvl w:val="0"/>
          <w:numId w:val="644"/>
        </w:numPr>
        <w:rPr>
          <w:rFonts w:ascii="Arial" w:cs="Arial" w:eastAsia="Arial" w:hAnsi="Arial"/>
          <w:sz w:val="17"/>
          <w:szCs w:val="17"/>
          <w:color w:val="auto"/>
        </w:rPr>
      </w:pPr>
      <w:r>
        <w:rPr>
          <w:rFonts w:ascii="Arial" w:cs="Arial" w:eastAsia="Arial" w:hAnsi="Arial"/>
          <w:sz w:val="17"/>
          <w:szCs w:val="17"/>
          <w:color w:val="auto"/>
        </w:rPr>
        <w:t xml:space="preserve">Beginning on the Separation Date through February 29, 2024 (such period, as may be extended or earlier terminated as provided in </w:t>
      </w:r>
      <w:r>
        <w:rPr>
          <w:rFonts w:ascii="Arial" w:cs="Arial" w:eastAsia="Arial" w:hAnsi="Arial"/>
          <w:sz w:val="17"/>
          <w:szCs w:val="17"/>
          <w:u w:val="single" w:color="auto"/>
          <w:color w:val="auto"/>
        </w:rPr>
        <w:t>Section 5(e)</w:t>
      </w:r>
      <w:r>
        <w:rPr>
          <w:rFonts w:ascii="Arial" w:cs="Arial" w:eastAsia="Arial" w:hAnsi="Arial"/>
          <w:sz w:val="17"/>
          <w:szCs w:val="17"/>
          <w:color w:val="auto"/>
        </w:rPr>
        <w:t>, the “</w:t>
      </w:r>
      <w:r>
        <w:rPr>
          <w:rFonts w:ascii="Arial" w:cs="Arial" w:eastAsia="Arial" w:hAnsi="Arial"/>
          <w:sz w:val="17"/>
          <w:szCs w:val="17"/>
          <w:u w:val="single" w:color="auto"/>
          <w:color w:val="auto"/>
        </w:rPr>
        <w:t>Consulting Period</w:t>
      </w:r>
      <w:r>
        <w:rPr>
          <w:rFonts w:ascii="Arial" w:cs="Arial" w:eastAsia="Arial" w:hAnsi="Arial"/>
          <w:sz w:val="17"/>
          <w:szCs w:val="17"/>
          <w:color w:val="auto"/>
        </w:rPr>
        <w:t>”), the Company and Executive agree that Executive shall serve as a consultant to the Company providing the Services (as defined below) for no more than 80 hours per month unless otherwise approved in writing. During the Consulting Period, Executive agrees to provide transition and advisory services, as may be requested from time to time by any officer or member of the Board of Directors of the Company (the “</w:t>
      </w:r>
      <w:r>
        <w:rPr>
          <w:rFonts w:ascii="Arial" w:cs="Arial" w:eastAsia="Arial" w:hAnsi="Arial"/>
          <w:sz w:val="17"/>
          <w:szCs w:val="17"/>
          <w:u w:val="single" w:color="auto"/>
          <w:color w:val="auto"/>
        </w:rPr>
        <w:t>Services</w:t>
      </w:r>
      <w:r>
        <w:rPr>
          <w:rFonts w:ascii="Arial" w:cs="Arial" w:eastAsia="Arial" w:hAnsi="Arial"/>
          <w:sz w:val="17"/>
          <w:szCs w:val="17"/>
          <w:color w:val="auto"/>
        </w:rPr>
        <w:t>”). Executive must submit to the Company a written statement detailing Executive’s time incurred in performing the Services (each, a “</w:t>
      </w:r>
      <w:r>
        <w:rPr>
          <w:rFonts w:ascii="Arial" w:cs="Arial" w:eastAsia="Arial" w:hAnsi="Arial"/>
          <w:sz w:val="17"/>
          <w:szCs w:val="17"/>
          <w:u w:val="single" w:color="auto"/>
          <w:color w:val="auto"/>
        </w:rPr>
        <w:t>Written Statement</w:t>
      </w:r>
      <w:r>
        <w:rPr>
          <w:rFonts w:ascii="Arial" w:cs="Arial" w:eastAsia="Arial" w:hAnsi="Arial"/>
          <w:sz w:val="17"/>
          <w:szCs w:val="17"/>
          <w:color w:val="auto"/>
        </w:rPr>
        <w:t>”) within 15 days following the end of each calendar month.</w:t>
      </w:r>
    </w:p>
    <w:p>
      <w:pPr>
        <w:spacing w:after="0" w:line="177" w:lineRule="exact"/>
        <w:rPr>
          <w:rFonts w:ascii="Arial" w:cs="Arial" w:eastAsia="Arial" w:hAnsi="Arial"/>
          <w:sz w:val="17"/>
          <w:szCs w:val="17"/>
          <w:color w:val="auto"/>
        </w:rPr>
      </w:pPr>
    </w:p>
    <w:p>
      <w:pPr>
        <w:ind w:left="4" w:right="20" w:firstLine="436"/>
        <w:spacing w:after="0" w:line="263" w:lineRule="auto"/>
        <w:tabs>
          <w:tab w:leader="none" w:pos="834" w:val="left"/>
        </w:tabs>
        <w:numPr>
          <w:ilvl w:val="0"/>
          <w:numId w:val="644"/>
        </w:numPr>
        <w:rPr>
          <w:rFonts w:ascii="Arial" w:cs="Arial" w:eastAsia="Arial" w:hAnsi="Arial"/>
          <w:sz w:val="18"/>
          <w:szCs w:val="18"/>
          <w:color w:val="auto"/>
        </w:rPr>
      </w:pPr>
      <w:r>
        <w:rPr>
          <w:rFonts w:ascii="Arial" w:cs="Arial" w:eastAsia="Arial" w:hAnsi="Arial"/>
          <w:sz w:val="18"/>
          <w:szCs w:val="18"/>
          <w:color w:val="auto"/>
        </w:rPr>
        <w:t xml:space="preserve">During the Consulting Period, Executive shall receive a consulting fee of $500 per hour, payable within 30 days following receipt by the Company of a Written Statement. As an independent contractor, no income or other taxes shall be withheld from the amounts paid to Executive pursuant to this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60" w:firstLine="436"/>
        <w:spacing w:after="0" w:line="342" w:lineRule="auto"/>
        <w:tabs>
          <w:tab w:leader="none" w:pos="824" w:val="left"/>
        </w:tabs>
        <w:numPr>
          <w:ilvl w:val="0"/>
          <w:numId w:val="644"/>
        </w:numPr>
        <w:rPr>
          <w:rFonts w:ascii="Arial" w:cs="Arial" w:eastAsia="Arial" w:hAnsi="Arial"/>
          <w:sz w:val="16"/>
          <w:szCs w:val="16"/>
          <w:color w:val="auto"/>
        </w:rPr>
      </w:pPr>
      <w:r>
        <w:rPr>
          <w:rFonts w:ascii="Arial" w:cs="Arial" w:eastAsia="Arial" w:hAnsi="Arial"/>
          <w:sz w:val="16"/>
          <w:szCs w:val="16"/>
          <w:color w:val="auto"/>
        </w:rPr>
        <w:t xml:space="preserve">During the Consulting Period, Executive will continue to vest in the Options in accordance with the terms of the Award Agreements. For the avoidance of doubt, all unvested Option (after giving effect to </w:t>
      </w:r>
      <w:r>
        <w:rPr>
          <w:rFonts w:ascii="Arial" w:cs="Arial" w:eastAsia="Arial" w:hAnsi="Arial"/>
          <w:sz w:val="16"/>
          <w:szCs w:val="16"/>
          <w:u w:val="single" w:color="auto"/>
          <w:color w:val="auto"/>
        </w:rPr>
        <w:t>Section 2(d)</w:t>
      </w:r>
      <w:r>
        <w:rPr>
          <w:rFonts w:ascii="Arial" w:cs="Arial" w:eastAsia="Arial" w:hAnsi="Arial"/>
          <w:sz w:val="16"/>
          <w:szCs w:val="16"/>
          <w:color w:val="auto"/>
        </w:rPr>
        <w:t>) will be automatically forfeited upon termination of the Consulting Period.</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671" w:name="page672"/>
    <w:bookmarkEnd w:id="671"/>
    <w:p>
      <w:pPr>
        <w:ind w:left="4" w:right="80" w:firstLine="436"/>
        <w:spacing w:after="0" w:line="275" w:lineRule="auto"/>
        <w:tabs>
          <w:tab w:leader="none" w:pos="834" w:val="left"/>
        </w:tabs>
        <w:numPr>
          <w:ilvl w:val="1"/>
          <w:numId w:val="6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Consulting Period, Executive’s relationship with the Company shall be that of an independent contractor. Executive shall control and determine how the Services are to be accomplished; provided, however, that in all events Executive shall perform the Services in a quality, workmanlike manner and within reasonable deadlines established by the Company and consistent with the professional talent of Executive that Executive applied during Executive’s prior service with the Company. As an independent contractor, Executive shall not participate as an active employee in any employee benefit plan of the Company or an affiliate (other than with respect to the Award Agreements).</w:t>
      </w:r>
    </w:p>
    <w:p>
      <w:pPr>
        <w:spacing w:after="0" w:line="176" w:lineRule="exact"/>
        <w:rPr>
          <w:rFonts w:ascii="Arial" w:cs="Arial" w:eastAsia="Arial" w:hAnsi="Arial"/>
          <w:sz w:val="17"/>
          <w:szCs w:val="17"/>
          <w:color w:val="auto"/>
        </w:rPr>
      </w:pPr>
    </w:p>
    <w:p>
      <w:pPr>
        <w:ind w:left="4" w:right="240" w:firstLine="436"/>
        <w:spacing w:after="0" w:line="263" w:lineRule="auto"/>
        <w:tabs>
          <w:tab w:leader="none" w:pos="824" w:val="left"/>
        </w:tabs>
        <w:numPr>
          <w:ilvl w:val="1"/>
          <w:numId w:val="64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the Consulting Period may be terminated (i) by Executive for any reason, (ii) by the Company for Cause (as defined in the Severance Agreement) or (iii) as a result of Executive’s death or Disability (as defined in the Severance Agreement). The Consulting Period may be extended by mutual agreement of the Parties.</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6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75" w:lineRule="auto"/>
        <w:tabs>
          <w:tab w:leader="none" w:pos="824" w:val="left"/>
        </w:tabs>
        <w:numPr>
          <w:ilvl w:val="1"/>
          <w:numId w:val="646"/>
        </w:numPr>
        <w:rPr>
          <w:rFonts w:ascii="Arial" w:cs="Arial" w:eastAsia="Arial" w:hAnsi="Arial"/>
          <w:sz w:val="17"/>
          <w:szCs w:val="17"/>
          <w:color w:val="auto"/>
        </w:rPr>
      </w:pPr>
      <w:r>
        <w:rPr>
          <w:rFonts w:ascii="Arial" w:cs="Arial" w:eastAsia="Arial" w:hAnsi="Arial"/>
          <w:sz w:val="17"/>
          <w:szCs w:val="17"/>
          <w:color w:val="auto"/>
        </w:rPr>
        <w:t>Executive acknowledges and agrees that Executive has continuing obligations to the Company and its affiliates pursuant to the EIACN Agreement, including obligations relating to intellectual property, confidentiality, non-competition and non-solicitation (collectively, the “</w:t>
      </w:r>
      <w:r>
        <w:rPr>
          <w:rFonts w:ascii="Arial" w:cs="Arial" w:eastAsia="Arial" w:hAnsi="Arial"/>
          <w:sz w:val="17"/>
          <w:szCs w:val="17"/>
          <w:u w:val="single" w:color="auto"/>
          <w:color w:val="auto"/>
        </w:rPr>
        <w:t>Covenants</w:t>
      </w:r>
      <w:r>
        <w:rPr>
          <w:rFonts w:ascii="Arial" w:cs="Arial" w:eastAsia="Arial" w:hAnsi="Arial"/>
          <w:sz w:val="17"/>
          <w:szCs w:val="17"/>
          <w:color w:val="auto"/>
        </w:rPr>
        <w:t>”). In entering into this Agreement, Executive acknowledges the continued effectiveness and enforceability of the Covenants, and Executive expressly reaffirms Executive’s commitment to abide by, and agrees that Executive will abide by, the terms of the Covenants. For the avoidance of doubt, the Post-Employment Period (as defined in the EIACN Agreement) shall commence on the Separation Date.</w:t>
      </w:r>
    </w:p>
    <w:p>
      <w:pPr>
        <w:spacing w:after="0" w:line="176" w:lineRule="exact"/>
        <w:rPr>
          <w:rFonts w:ascii="Arial" w:cs="Arial" w:eastAsia="Arial" w:hAnsi="Arial"/>
          <w:sz w:val="17"/>
          <w:szCs w:val="17"/>
          <w:color w:val="auto"/>
        </w:rPr>
      </w:pPr>
    </w:p>
    <w:p>
      <w:pPr>
        <w:ind w:left="4" w:right="180" w:firstLine="436"/>
        <w:spacing w:after="0" w:line="275" w:lineRule="auto"/>
        <w:tabs>
          <w:tab w:leader="none" w:pos="834" w:val="left"/>
        </w:tabs>
        <w:numPr>
          <w:ilvl w:val="1"/>
          <w:numId w:val="646"/>
        </w:numPr>
        <w:rPr>
          <w:rFonts w:ascii="Arial" w:cs="Arial" w:eastAsia="Arial" w:hAnsi="Arial"/>
          <w:sz w:val="17"/>
          <w:szCs w:val="17"/>
          <w:color w:val="auto"/>
        </w:rPr>
      </w:pPr>
      <w:r>
        <w:rPr>
          <w:rFonts w:ascii="Arial" w:cs="Arial" w:eastAsia="Arial" w:hAnsi="Arial"/>
          <w:sz w:val="17"/>
          <w:szCs w:val="17"/>
          <w:color w:val="auto"/>
        </w:rPr>
        <w:t>Executive shall refrain from making (or causing or assisting any other person or entity to make) any oral or written statements about the Company and any Company Party that (i) are slanderous, libelous, disparaging or defamatory or (ii) place the Company, any Company Party or any of their respective directors, officers, managers, members, employees, consultants, agents or representatives in a false light before the public. Nothing in this Agreement or the EIACN Agreement prevents Executive from discussing or disclosing information about unlawful acts in the workplace, such as harassment or discrimination or any other conduct that Executive has reason to believe is unlawful.</w:t>
      </w:r>
    </w:p>
    <w:p>
      <w:pPr>
        <w:spacing w:after="0" w:line="176" w:lineRule="exact"/>
        <w:rPr>
          <w:rFonts w:ascii="Arial" w:cs="Arial" w:eastAsia="Arial" w:hAnsi="Arial"/>
          <w:sz w:val="17"/>
          <w:szCs w:val="17"/>
          <w:color w:val="auto"/>
        </w:rPr>
      </w:pPr>
    </w:p>
    <w:p>
      <w:pPr>
        <w:ind w:left="4" w:firstLine="436"/>
        <w:spacing w:after="0" w:line="263" w:lineRule="auto"/>
        <w:tabs>
          <w:tab w:leader="none" w:pos="824" w:val="left"/>
        </w:tabs>
        <w:numPr>
          <w:ilvl w:val="1"/>
          <w:numId w:val="646"/>
        </w:numPr>
        <w:rPr>
          <w:rFonts w:ascii="Arial" w:cs="Arial" w:eastAsia="Arial" w:hAnsi="Arial"/>
          <w:sz w:val="18"/>
          <w:szCs w:val="18"/>
          <w:color w:val="auto"/>
        </w:rPr>
      </w:pPr>
      <w:r>
        <w:rPr>
          <w:rFonts w:ascii="Arial" w:cs="Arial" w:eastAsia="Arial" w:hAnsi="Arial"/>
          <w:sz w:val="18"/>
          <w:szCs w:val="18"/>
          <w:color w:val="auto"/>
        </w:rPr>
        <w:t>Executive agrees that this Agreement is confidential and agrees not to disclose any information regarding the terms of this Agreement, except to Executive’s immediate family and any tax, legal or other counsel Executive has consulted regarding the meaning or effect hereof or as required by law, and Executive will instruct each of the foregoing not to disclose the same to anyone.</w:t>
      </w:r>
    </w:p>
    <w:p>
      <w:pPr>
        <w:spacing w:after="0" w:line="179" w:lineRule="exact"/>
        <w:rPr>
          <w:rFonts w:ascii="Arial" w:cs="Arial" w:eastAsia="Arial" w:hAnsi="Arial"/>
          <w:sz w:val="18"/>
          <w:szCs w:val="18"/>
          <w:color w:val="auto"/>
        </w:rPr>
      </w:pPr>
    </w:p>
    <w:p>
      <w:pPr>
        <w:ind w:left="4" w:right="20" w:hanging="4"/>
        <w:spacing w:after="0" w:line="281" w:lineRule="auto"/>
        <w:tabs>
          <w:tab w:leader="none" w:pos="454" w:val="left"/>
        </w:tabs>
        <w:numPr>
          <w:ilvl w:val="0"/>
          <w:numId w:val="6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Covenant to Cooperate in Legal Proceedings</w:t>
      </w:r>
      <w:r>
        <w:rPr>
          <w:rFonts w:ascii="Arial" w:cs="Arial" w:eastAsia="Arial" w:hAnsi="Arial"/>
          <w:sz w:val="17"/>
          <w:szCs w:val="17"/>
          <w:color w:val="auto"/>
        </w:rPr>
        <w:t>. Executive agrees to reasonably cooperate with the Company in any internal investigation, any</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regulatory, or judicial proceeding or any dispute with a third party. Executive understands and agrees that Executive’s cooperation may include, but not be limited to, making Executive available to the Company upon reasonable notice for interviews and factual investigations; appearing at the request of the Company to give testimony without requiring service of a subpoena or other legal process;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672" w:name="page673"/>
    <w:bookmarkEnd w:id="672"/>
    <w:p>
      <w:pPr>
        <w:jc w:val="both"/>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volunteering to the Company pertinent information received by Executive in Executive’s capacity as an employee; and turning over to the Company all relevant documents which are or may come into Executive’s possession in Executive’s capacity an employee or otherwise, all at times and on schedules that are reasonably consistent with Executive’s other permitted activities and commitments.</w:t>
      </w:r>
    </w:p>
    <w:p>
      <w:pPr>
        <w:spacing w:after="0" w:line="288" w:lineRule="exact"/>
        <w:rPr>
          <w:sz w:val="20"/>
          <w:szCs w:val="20"/>
          <w:color w:val="auto"/>
        </w:rPr>
      </w:pPr>
    </w:p>
    <w:p>
      <w:pPr>
        <w:ind w:left="444" w:hanging="444"/>
        <w:spacing w:after="0"/>
        <w:tabs>
          <w:tab w:leader="none" w:pos="444" w:val="left"/>
        </w:tabs>
        <w:numPr>
          <w:ilvl w:val="0"/>
          <w:numId w:val="6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Executive’s Acknowledgements</w:t>
      </w:r>
      <w:r>
        <w:rPr>
          <w:rFonts w:ascii="Arial" w:cs="Arial" w:eastAsia="Arial" w:hAnsi="Arial"/>
          <w:sz w:val="18"/>
          <w:szCs w:val="18"/>
          <w:color w:val="auto"/>
        </w:rPr>
        <w:t>. By executing and delivering this Agreement, Executive expressly acknowledges that:</w:t>
      </w:r>
    </w:p>
    <w:p>
      <w:pPr>
        <w:spacing w:after="0" w:line="121" w:lineRule="exact"/>
        <w:rPr>
          <w:rFonts w:ascii="Arial" w:cs="Arial" w:eastAsia="Arial" w:hAnsi="Arial"/>
          <w:sz w:val="18"/>
          <w:szCs w:val="18"/>
          <w:b w:val="1"/>
          <w:bCs w:val="1"/>
          <w:color w:val="auto"/>
        </w:rPr>
      </w:pPr>
    </w:p>
    <w:p>
      <w:pPr>
        <w:ind w:left="824" w:hanging="384"/>
        <w:spacing w:after="0"/>
        <w:tabs>
          <w:tab w:leader="none" w:pos="824" w:val="left"/>
        </w:tabs>
        <w:numPr>
          <w:ilvl w:val="1"/>
          <w:numId w:val="647"/>
        </w:numPr>
        <w:rPr>
          <w:rFonts w:ascii="Arial" w:cs="Arial" w:eastAsia="Arial" w:hAnsi="Arial"/>
          <w:sz w:val="16"/>
          <w:szCs w:val="16"/>
          <w:color w:val="auto"/>
        </w:rPr>
      </w:pPr>
      <w:r>
        <w:rPr>
          <w:rFonts w:ascii="Arial" w:cs="Arial" w:eastAsia="Arial" w:hAnsi="Arial"/>
          <w:sz w:val="16"/>
          <w:szCs w:val="16"/>
          <w:color w:val="auto"/>
        </w:rPr>
        <w:t>Executive has been given at least 21 days to review and consider this Agreement. If Executive signs this Agreement before the expiration of</w:t>
      </w:r>
    </w:p>
    <w:p>
      <w:pPr>
        <w:spacing w:after="0" w:line="46" w:lineRule="exact"/>
        <w:rPr>
          <w:rFonts w:ascii="Arial" w:cs="Arial" w:eastAsia="Arial" w:hAnsi="Arial"/>
          <w:sz w:val="16"/>
          <w:szCs w:val="16"/>
          <w:color w:val="auto"/>
        </w:rPr>
      </w:pPr>
    </w:p>
    <w:p>
      <w:pPr>
        <w:ind w:left="4" w:right="60" w:hanging="4"/>
        <w:spacing w:after="0" w:line="253" w:lineRule="auto"/>
        <w:tabs>
          <w:tab w:leader="none" w:pos="229" w:val="left"/>
        </w:tabs>
        <w:numPr>
          <w:ilvl w:val="0"/>
          <w:numId w:val="648"/>
        </w:numPr>
        <w:rPr>
          <w:rFonts w:ascii="Arial" w:cs="Arial" w:eastAsia="Arial" w:hAnsi="Arial"/>
          <w:sz w:val="18"/>
          <w:szCs w:val="18"/>
          <w:color w:val="auto"/>
        </w:rPr>
      </w:pPr>
      <w:r>
        <w:rPr>
          <w:rFonts w:ascii="Arial" w:cs="Arial" w:eastAsia="Arial" w:hAnsi="Arial"/>
          <w:sz w:val="18"/>
          <w:szCs w:val="18"/>
          <w:color w:val="auto"/>
        </w:rPr>
        <w:t>days after Executive’s receipt of this Agreement, Executive has knowingly and voluntarily waived any longer consideration period than the one provided to Executive and such waiver is not induced through fraud, misrepresentation, or threat to withdraw or alter the offer or by providing different terms if others sign the agreement prior to the expiration of 21 days. No changes (whether material or immaterial) to this Agreement shall restart the running of this 21-day period;</w:t>
      </w:r>
    </w:p>
    <w:p>
      <w:pPr>
        <w:spacing w:after="0" w:line="192" w:lineRule="exact"/>
        <w:rPr>
          <w:rFonts w:ascii="Arial" w:cs="Arial" w:eastAsia="Arial" w:hAnsi="Arial"/>
          <w:sz w:val="18"/>
          <w:szCs w:val="18"/>
          <w:color w:val="auto"/>
        </w:rPr>
      </w:pPr>
    </w:p>
    <w:p>
      <w:pPr>
        <w:ind w:left="824" w:hanging="384"/>
        <w:spacing w:after="0"/>
        <w:tabs>
          <w:tab w:leader="none" w:pos="824" w:val="left"/>
        </w:tabs>
        <w:numPr>
          <w:ilvl w:val="1"/>
          <w:numId w:val="648"/>
        </w:numPr>
        <w:rPr>
          <w:rFonts w:ascii="Arial" w:cs="Arial" w:eastAsia="Arial" w:hAnsi="Arial"/>
          <w:sz w:val="17"/>
          <w:szCs w:val="17"/>
          <w:color w:val="auto"/>
        </w:rPr>
      </w:pPr>
      <w:r>
        <w:rPr>
          <w:rFonts w:ascii="Arial" w:cs="Arial" w:eastAsia="Arial" w:hAnsi="Arial"/>
          <w:sz w:val="17"/>
          <w:szCs w:val="17"/>
          <w:color w:val="auto"/>
        </w:rPr>
        <w:t>Executive is receiving, pursuant to this Agreement, consideration in addition to anything of value to which Executive is already entitled;</w:t>
      </w:r>
    </w:p>
    <w:p>
      <w:pPr>
        <w:spacing w:after="0" w:line="236" w:lineRule="exact"/>
        <w:rPr>
          <w:rFonts w:ascii="Arial" w:cs="Arial" w:eastAsia="Arial" w:hAnsi="Arial"/>
          <w:sz w:val="17"/>
          <w:szCs w:val="17"/>
          <w:color w:val="auto"/>
        </w:rPr>
      </w:pPr>
    </w:p>
    <w:p>
      <w:pPr>
        <w:ind w:left="4" w:right="400" w:firstLine="436"/>
        <w:spacing w:after="0" w:line="277" w:lineRule="auto"/>
        <w:tabs>
          <w:tab w:leader="none" w:pos="824" w:val="left"/>
        </w:tabs>
        <w:numPr>
          <w:ilvl w:val="1"/>
          <w:numId w:val="648"/>
        </w:numPr>
        <w:rPr>
          <w:rFonts w:ascii="Arial" w:cs="Arial" w:eastAsia="Arial" w:hAnsi="Arial"/>
          <w:sz w:val="18"/>
          <w:szCs w:val="18"/>
          <w:color w:val="auto"/>
        </w:rPr>
      </w:pPr>
      <w:r>
        <w:rPr>
          <w:rFonts w:ascii="Arial" w:cs="Arial" w:eastAsia="Arial" w:hAnsi="Arial"/>
          <w:sz w:val="18"/>
          <w:szCs w:val="18"/>
          <w:color w:val="auto"/>
        </w:rPr>
        <w:t>Executive has been advised, and hereby is advised in writing, to discuss this Agreement with an attorney of Executive’s choice and that Executive has had an adequate opportunity to do so prior to executing this Agreement;</w:t>
      </w:r>
    </w:p>
    <w:p>
      <w:pPr>
        <w:spacing w:after="0" w:line="170" w:lineRule="exact"/>
        <w:rPr>
          <w:rFonts w:ascii="Arial" w:cs="Arial" w:eastAsia="Arial" w:hAnsi="Arial"/>
          <w:sz w:val="18"/>
          <w:szCs w:val="18"/>
          <w:color w:val="auto"/>
        </w:rPr>
      </w:pPr>
    </w:p>
    <w:p>
      <w:pPr>
        <w:ind w:left="4" w:right="80" w:firstLine="436"/>
        <w:spacing w:after="0" w:line="263" w:lineRule="auto"/>
        <w:tabs>
          <w:tab w:leader="none" w:pos="834" w:val="left"/>
        </w:tabs>
        <w:numPr>
          <w:ilvl w:val="1"/>
          <w:numId w:val="648"/>
        </w:numPr>
        <w:rPr>
          <w:rFonts w:ascii="Arial" w:cs="Arial" w:eastAsia="Arial" w:hAnsi="Arial"/>
          <w:sz w:val="18"/>
          <w:szCs w:val="18"/>
          <w:color w:val="auto"/>
        </w:rPr>
      </w:pPr>
      <w:r>
        <w:rPr>
          <w:rFonts w:ascii="Arial" w:cs="Arial" w:eastAsia="Arial" w:hAnsi="Arial"/>
          <w:sz w:val="18"/>
          <w:szCs w:val="18"/>
          <w:color w:val="auto"/>
        </w:rPr>
        <w:t>Executive fully understands the final and binding effect of this Agreement; the only promises made to Executive to sign this Agreement are those stated herein; and Executive is signing this Agreement knowingly, voluntarily and of Executive’s own free will, and that Executive understands and agrees to each of the terms of this Agreement; and</w:t>
      </w:r>
    </w:p>
    <w:p>
      <w:pPr>
        <w:spacing w:after="0" w:line="183" w:lineRule="exact"/>
        <w:rPr>
          <w:rFonts w:ascii="Arial" w:cs="Arial" w:eastAsia="Arial" w:hAnsi="Arial"/>
          <w:sz w:val="18"/>
          <w:szCs w:val="18"/>
          <w:color w:val="auto"/>
        </w:rPr>
      </w:pPr>
    </w:p>
    <w:p>
      <w:pPr>
        <w:ind w:left="4" w:firstLine="436"/>
        <w:spacing w:after="0" w:line="263" w:lineRule="auto"/>
        <w:tabs>
          <w:tab w:leader="none" w:pos="824" w:val="left"/>
        </w:tabs>
        <w:numPr>
          <w:ilvl w:val="1"/>
          <w:numId w:val="648"/>
        </w:numPr>
        <w:rPr>
          <w:rFonts w:ascii="Arial" w:cs="Arial" w:eastAsia="Arial" w:hAnsi="Arial"/>
          <w:sz w:val="18"/>
          <w:szCs w:val="18"/>
          <w:color w:val="auto"/>
        </w:rPr>
      </w:pPr>
      <w:r>
        <w:rPr>
          <w:rFonts w:ascii="Arial" w:cs="Arial" w:eastAsia="Arial" w:hAnsi="Arial"/>
          <w:sz w:val="18"/>
          <w:szCs w:val="18"/>
          <w:color w:val="auto"/>
        </w:rPr>
        <w:t>No Company Party has provided any tax or legal advice regarding this Agreement, and Executive has had an adequate opportunity to receive sufficient tax and legal advice from advisors of Executive’s own choosing such that Executive enters into this Agreement with full understanding of the tax and legal implications thereof.</w:t>
      </w:r>
    </w:p>
    <w:p>
      <w:pPr>
        <w:spacing w:after="0" w:line="179" w:lineRule="exact"/>
        <w:rPr>
          <w:rFonts w:ascii="Arial" w:cs="Arial" w:eastAsia="Arial" w:hAnsi="Arial"/>
          <w:sz w:val="18"/>
          <w:szCs w:val="18"/>
          <w:color w:val="auto"/>
        </w:rPr>
      </w:pPr>
    </w:p>
    <w:p>
      <w:pPr>
        <w:ind w:left="4" w:right="80" w:hanging="4"/>
        <w:spacing w:after="0" w:line="254" w:lineRule="auto"/>
        <w:tabs>
          <w:tab w:leader="none" w:pos="454" w:val="left"/>
        </w:tabs>
        <w:numPr>
          <w:ilvl w:val="0"/>
          <w:numId w:val="6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Revocation Right</w:t>
      </w:r>
      <w:r>
        <w:rPr>
          <w:rFonts w:ascii="Arial" w:cs="Arial" w:eastAsia="Arial" w:hAnsi="Arial"/>
          <w:sz w:val="18"/>
          <w:szCs w:val="18"/>
          <w:color w:val="auto"/>
        </w:rPr>
        <w:t>. Notwithstanding the initial effectiveness of this Agreement, Executive may revoke the delivery (and therefore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this Agreement within the seven-day period beginning on the date Executive executes this Agreement (such seven-day period being referred to herein as the “</w:t>
      </w:r>
      <w:r>
        <w:rPr>
          <w:rFonts w:ascii="Arial" w:cs="Arial" w:eastAsia="Arial" w:hAnsi="Arial"/>
          <w:sz w:val="18"/>
          <w:szCs w:val="18"/>
          <w:u w:val="single" w:color="auto"/>
          <w:color w:val="auto"/>
        </w:rPr>
        <w:t>Release Revocation Period</w:t>
      </w:r>
      <w:r>
        <w:rPr>
          <w:rFonts w:ascii="Arial" w:cs="Arial" w:eastAsia="Arial" w:hAnsi="Arial"/>
          <w:sz w:val="18"/>
          <w:szCs w:val="18"/>
          <w:color w:val="auto"/>
        </w:rPr>
        <w:t xml:space="preserve">”). To be effective, such revocation must be in writing signed by Executive and must be delivered personally or by courier to the Company so that it is received by Cameron Turtle, Chief Operating Officer, 221 Crescent Street, Built 17, Suite 102B, Waltham, MA 02453 (email: ) no later than 11:59 pm CT on the last day of the Release Revocation Period. If an effective revocation is delivered in the foregoing manner and timeframe, the release of claims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will be of no force or effect, the Company’s obligations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have no further effect Executive, the Consulting Period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terminated immediately, and the remainder of this Agreement will remain in full force and effect.</w:t>
      </w:r>
    </w:p>
    <w:p>
      <w:pPr>
        <w:spacing w:after="0" w:line="12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673" w:name="page674"/>
    <w:bookmarkEnd w:id="673"/>
    <w:p>
      <w:pPr>
        <w:ind w:left="4" w:right="20" w:hanging="4"/>
        <w:spacing w:after="0" w:line="261" w:lineRule="auto"/>
        <w:tabs>
          <w:tab w:leader="none" w:pos="544" w:val="left"/>
        </w:tabs>
        <w:numPr>
          <w:ilvl w:val="0"/>
          <w:numId w:val="6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Return of Property</w:t>
      </w:r>
      <w:r>
        <w:rPr>
          <w:rFonts w:ascii="Arial" w:cs="Arial" w:eastAsia="Arial" w:hAnsi="Arial"/>
          <w:sz w:val="18"/>
          <w:szCs w:val="18"/>
          <w:color w:val="auto"/>
        </w:rPr>
        <w:t>. Executive represents and warrants that Executive has returned to the Company all property belonging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Company Party, including all computer files, electronically stored information, computers and other materials and items provided to Executive by the Company or any other Company Party in the course of Executive’s employment, and Executive further represents and warrants that Executive has not maintained a copy of any such materials or items in any form.</w:t>
      </w:r>
    </w:p>
    <w:p>
      <w:pPr>
        <w:spacing w:after="0" w:line="179" w:lineRule="exact"/>
        <w:rPr>
          <w:rFonts w:ascii="Arial" w:cs="Arial" w:eastAsia="Arial" w:hAnsi="Arial"/>
          <w:sz w:val="18"/>
          <w:szCs w:val="18"/>
          <w:b w:val="1"/>
          <w:bCs w:val="1"/>
          <w:color w:val="auto"/>
        </w:rPr>
      </w:pPr>
    </w:p>
    <w:p>
      <w:pPr>
        <w:ind w:left="4" w:right="40" w:hanging="4"/>
        <w:spacing w:after="0" w:line="314" w:lineRule="auto"/>
        <w:tabs>
          <w:tab w:leader="none" w:pos="534" w:val="left"/>
        </w:tabs>
        <w:numPr>
          <w:ilvl w:val="0"/>
          <w:numId w:val="6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Arbitration</w:t>
      </w:r>
      <w:r>
        <w:rPr>
          <w:rFonts w:ascii="Arial" w:cs="Arial" w:eastAsia="Arial" w:hAnsi="Arial"/>
          <w:sz w:val="16"/>
          <w:szCs w:val="16"/>
          <w:color w:val="auto"/>
        </w:rPr>
        <w:t>. This Agreement and its performance will be construed and interpreted in accordance with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Texas, without regard to principles of conflicts of law that would apply the substantive law of any other jurisdiction. For the avoidance of doubt, the arbitration and equitable relief provisions of Section 10(c) of the Severance Agreement shall apply to any dispute arising under this Agreement.</w:t>
      </w:r>
    </w:p>
    <w:p>
      <w:pPr>
        <w:spacing w:after="0" w:line="141" w:lineRule="exact"/>
        <w:rPr>
          <w:rFonts w:ascii="Arial" w:cs="Arial" w:eastAsia="Arial" w:hAnsi="Arial"/>
          <w:sz w:val="16"/>
          <w:szCs w:val="16"/>
          <w:b w:val="1"/>
          <w:bCs w:val="1"/>
          <w:color w:val="auto"/>
        </w:rPr>
      </w:pPr>
    </w:p>
    <w:p>
      <w:pPr>
        <w:ind w:left="4" w:hanging="4"/>
        <w:spacing w:after="0" w:line="282" w:lineRule="auto"/>
        <w:tabs>
          <w:tab w:leader="none" w:pos="544" w:val="left"/>
        </w:tabs>
        <w:numPr>
          <w:ilvl w:val="0"/>
          <w:numId w:val="6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several counterparts, including by .PDF or ..GIF attachment to email or by facsimile,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deemed to be an original, and all of which taken together constitute one and the same agreement.</w:t>
      </w:r>
    </w:p>
    <w:p>
      <w:pPr>
        <w:spacing w:after="0" w:line="161" w:lineRule="exact"/>
        <w:rPr>
          <w:rFonts w:ascii="Arial" w:cs="Arial" w:eastAsia="Arial" w:hAnsi="Arial"/>
          <w:sz w:val="18"/>
          <w:szCs w:val="18"/>
          <w:b w:val="1"/>
          <w:bCs w:val="1"/>
          <w:color w:val="auto"/>
        </w:rPr>
      </w:pPr>
    </w:p>
    <w:p>
      <w:pPr>
        <w:ind w:left="4" w:right="100" w:hanging="4"/>
        <w:spacing w:after="0" w:line="277" w:lineRule="auto"/>
        <w:tabs>
          <w:tab w:leader="none" w:pos="544" w:val="left"/>
        </w:tabs>
        <w:numPr>
          <w:ilvl w:val="0"/>
          <w:numId w:val="6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Entire Agreement</w:t>
      </w:r>
      <w:r>
        <w:rPr>
          <w:rFonts w:ascii="Arial" w:cs="Arial" w:eastAsia="Arial" w:hAnsi="Arial"/>
          <w:sz w:val="17"/>
          <w:szCs w:val="17"/>
          <w:color w:val="auto"/>
        </w:rPr>
        <w:t>. This Agreement may not be changed orally but only by an agreement in writing agreed to and signed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be charged. This Agreement, the EIACN Agreement and the Award Agreement constitute the entire agreement of the Parties with regard to the subject matter hereof and supersede all prior and contemporaneous agreements and understandings, oral or written, between Executive and any Company Party with regard to the subject matter hereof. In executing this Agreement, neither Executive nor the Company have relied on any promise, agreement, statement, or representation, not expressly contained in this Agreement.</w:t>
      </w:r>
    </w:p>
    <w:p>
      <w:pPr>
        <w:spacing w:after="0" w:line="167" w:lineRule="exact"/>
        <w:rPr>
          <w:rFonts w:ascii="Arial" w:cs="Arial" w:eastAsia="Arial" w:hAnsi="Arial"/>
          <w:sz w:val="17"/>
          <w:szCs w:val="17"/>
          <w:b w:val="1"/>
          <w:bCs w:val="1"/>
          <w:color w:val="auto"/>
        </w:rPr>
      </w:pPr>
    </w:p>
    <w:p>
      <w:pPr>
        <w:ind w:left="4" w:hanging="4"/>
        <w:spacing w:after="0" w:line="312" w:lineRule="auto"/>
        <w:tabs>
          <w:tab w:leader="none" w:pos="544" w:val="left"/>
        </w:tabs>
        <w:numPr>
          <w:ilvl w:val="0"/>
          <w:numId w:val="6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Third-Party Beneficiaries</w:t>
      </w:r>
      <w:r>
        <w:rPr>
          <w:rFonts w:ascii="Arial" w:cs="Arial" w:eastAsia="Arial" w:hAnsi="Arial"/>
          <w:sz w:val="17"/>
          <w:szCs w:val="17"/>
          <w:color w:val="auto"/>
        </w:rPr>
        <w:t>. Executive expressly acknowledges and agrees that each Company Party that is not a party to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third-party beneficiary of Sections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and entitled to enforce such provisions as if it were a party hereto.</w:t>
      </w:r>
    </w:p>
    <w:p>
      <w:pPr>
        <w:spacing w:after="0" w:line="139" w:lineRule="exact"/>
        <w:rPr>
          <w:rFonts w:ascii="Arial" w:cs="Arial" w:eastAsia="Arial" w:hAnsi="Arial"/>
          <w:sz w:val="17"/>
          <w:szCs w:val="17"/>
          <w:b w:val="1"/>
          <w:bCs w:val="1"/>
          <w:color w:val="auto"/>
        </w:rPr>
      </w:pPr>
    </w:p>
    <w:p>
      <w:pPr>
        <w:ind w:left="4" w:right="40" w:hanging="4"/>
        <w:spacing w:after="0" w:line="281" w:lineRule="auto"/>
        <w:tabs>
          <w:tab w:leader="none" w:pos="544" w:val="left"/>
        </w:tabs>
        <w:numPr>
          <w:ilvl w:val="0"/>
          <w:numId w:val="6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Executive shall, and shall cause Executive’s affiliates, representatives and agents to, from time to time at the request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without any additional consideration, furnish the Company with such further information or assurances, execute and deliver such additional documents, instruments and conveyances, and take such other actions and do such other things, as may be reasonably necessary or desirable, as determined in the sole discretion of the Company, to carry out the provisions of this Agreement.</w:t>
      </w:r>
    </w:p>
    <w:p>
      <w:pPr>
        <w:spacing w:after="0" w:line="164" w:lineRule="exact"/>
        <w:rPr>
          <w:rFonts w:ascii="Arial" w:cs="Arial" w:eastAsia="Arial" w:hAnsi="Arial"/>
          <w:sz w:val="17"/>
          <w:szCs w:val="17"/>
          <w:b w:val="1"/>
          <w:bCs w:val="1"/>
          <w:color w:val="auto"/>
        </w:rPr>
      </w:pPr>
    </w:p>
    <w:p>
      <w:pPr>
        <w:ind w:left="4" w:right="80" w:hanging="4"/>
        <w:spacing w:after="0" w:line="261" w:lineRule="auto"/>
        <w:tabs>
          <w:tab w:leader="none" w:pos="544" w:val="left"/>
        </w:tabs>
        <w:numPr>
          <w:ilvl w:val="0"/>
          <w:numId w:val="6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Any term or provision of this Agreement (or part thereof) that renders such term or provision (or part thereof) or any other term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(or part thereof) hereof invalid or unenforceable in any respect shall be severable and shall be modified or severed to the extent necessary to avoid rendering such term or provision (or part thereof) invalid or unenforceable, and such modification or severance shall be accomplished in the manner that most nearly preserves the benefit of the Parties’ bargain hereunder.</w:t>
      </w:r>
    </w:p>
    <w:p>
      <w:pPr>
        <w:spacing w:after="0" w:line="179" w:lineRule="exact"/>
        <w:rPr>
          <w:rFonts w:ascii="Arial" w:cs="Arial" w:eastAsia="Arial" w:hAnsi="Arial"/>
          <w:sz w:val="18"/>
          <w:szCs w:val="18"/>
          <w:b w:val="1"/>
          <w:bCs w:val="1"/>
          <w:color w:val="auto"/>
        </w:rPr>
      </w:pPr>
    </w:p>
    <w:p>
      <w:pPr>
        <w:ind w:left="4" w:right="40" w:hanging="4"/>
        <w:spacing w:after="0" w:line="261" w:lineRule="auto"/>
        <w:tabs>
          <w:tab w:leader="none" w:pos="544" w:val="left"/>
        </w:tabs>
        <w:numPr>
          <w:ilvl w:val="0"/>
          <w:numId w:val="6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The Section headings have been inserted for purposes of convenience and shall not be used for interpretive purposes. The words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“herein” and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674" w:name="page675"/>
    <w:bookmarkEnd w:id="674"/>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Neither this Agreement nor any uncertainty or ambiguity herein shall be construed against any Party, whether under any rule of construction or otherwise. This Agreement has been reviewed by each of the Parties and shall be construed and interpreted according to the ordinary meaning of the words used so as to fairly accomplish the purposes and intentions of the Parties.</w:t>
      </w:r>
    </w:p>
    <w:p>
      <w:pPr>
        <w:spacing w:after="0" w:line="161" w:lineRule="exact"/>
        <w:rPr>
          <w:sz w:val="20"/>
          <w:szCs w:val="20"/>
          <w:color w:val="auto"/>
        </w:rPr>
      </w:pPr>
    </w:p>
    <w:p>
      <w:pPr>
        <w:ind w:left="4" w:hanging="4"/>
        <w:spacing w:after="0" w:line="266" w:lineRule="auto"/>
        <w:tabs>
          <w:tab w:leader="none" w:pos="544" w:val="left"/>
        </w:tabs>
        <w:numPr>
          <w:ilvl w:val="0"/>
          <w:numId w:val="6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Assignment</w:t>
      </w:r>
      <w:r>
        <w:rPr>
          <w:rFonts w:ascii="Arial" w:cs="Arial" w:eastAsia="Arial" w:hAnsi="Arial"/>
          <w:sz w:val="18"/>
          <w:szCs w:val="18"/>
          <w:color w:val="auto"/>
        </w:rPr>
        <w:t>. No right to receive payments and benefits under this Agreement shall be subject to set off, offset, anticipation, commutation,</w:t>
      </w:r>
      <w:r>
        <w:rPr>
          <w:rFonts w:ascii="Arial" w:cs="Arial" w:eastAsia="Arial" w:hAnsi="Arial"/>
          <w:sz w:val="18"/>
          <w:szCs w:val="18"/>
          <w:b w:val="1"/>
          <w:bCs w:val="1"/>
          <w:color w:val="auto"/>
        </w:rPr>
        <w:t xml:space="preserve"> </w:t>
      </w:r>
      <w:r>
        <w:rPr>
          <w:rFonts w:ascii="Arial" w:cs="Arial" w:eastAsia="Arial" w:hAnsi="Arial"/>
          <w:sz w:val="18"/>
          <w:szCs w:val="18"/>
          <w:color w:val="auto"/>
        </w:rPr>
        <w:t>alienation, assignment, encumbrance, charge, pledge or hypothecation or to execution, attachment, levy, or similar process or assignment by operation of law.</w:t>
      </w:r>
    </w:p>
    <w:p>
      <w:pPr>
        <w:spacing w:after="0" w:line="175" w:lineRule="exact"/>
        <w:rPr>
          <w:rFonts w:ascii="Arial" w:cs="Arial" w:eastAsia="Arial" w:hAnsi="Arial"/>
          <w:sz w:val="18"/>
          <w:szCs w:val="18"/>
          <w:b w:val="1"/>
          <w:bCs w:val="1"/>
          <w:color w:val="auto"/>
        </w:rPr>
      </w:pPr>
    </w:p>
    <w:p>
      <w:pPr>
        <w:ind w:left="4" w:right="620" w:hanging="4"/>
        <w:spacing w:after="0" w:line="266" w:lineRule="auto"/>
        <w:tabs>
          <w:tab w:leader="none" w:pos="544" w:val="left"/>
        </w:tabs>
        <w:numPr>
          <w:ilvl w:val="0"/>
          <w:numId w:val="6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Withholdings; Deductions</w:t>
      </w:r>
      <w:r>
        <w:rPr>
          <w:rFonts w:ascii="Arial" w:cs="Arial" w:eastAsia="Arial" w:hAnsi="Arial"/>
          <w:sz w:val="18"/>
          <w:szCs w:val="18"/>
          <w:color w:val="auto"/>
        </w:rPr>
        <w:t>. The Company may withhold and deduct from any payments or benefits made or to be made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 all federal, state, local and other taxes as may be required pursuant to any law or governmental regulation or ruling and (b) any deductions consented to in writing by Executive.</w:t>
      </w:r>
    </w:p>
    <w:p>
      <w:pPr>
        <w:spacing w:after="0" w:line="175" w:lineRule="exact"/>
        <w:rPr>
          <w:rFonts w:ascii="Arial" w:cs="Arial" w:eastAsia="Arial" w:hAnsi="Arial"/>
          <w:sz w:val="18"/>
          <w:szCs w:val="18"/>
          <w:b w:val="1"/>
          <w:bCs w:val="1"/>
          <w:color w:val="auto"/>
        </w:rPr>
      </w:pPr>
    </w:p>
    <w:p>
      <w:pPr>
        <w:ind w:left="4" w:right="20" w:hanging="4"/>
        <w:spacing w:after="0" w:line="256" w:lineRule="auto"/>
        <w:tabs>
          <w:tab w:leader="none" w:pos="544" w:val="left"/>
        </w:tabs>
        <w:numPr>
          <w:ilvl w:val="0"/>
          <w:numId w:val="6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This Agreement and the benefits provided hereunder are intended be exempt from, or compliant with,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shall be construed and administered in accordance with such intent. Each installment payment under this Agreement shall be deemed and treated as a separate payment for purposes of Section 409A. Notwithstanding the foregoing, the Company makes no representations that the benefits provided under this Agreement are exempt from the requirements of Section 409A and in no event shall the Company or any other Company Party be liable for all or any portion of any taxes, penalties, interest or other expenses that may be incurred by Executive on account of non-compliance with Section 409A.</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75" w:name="page676"/>
    <w:bookmarkEnd w:id="67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dates set forth beneath their names below, effective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provided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Jonathan Alspaugh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Jonathan Alspaugh</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Date:</w:t>
        <w:tab/>
        <w:t>September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Cameron Turtle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Cameron Turtle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Operating Officer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Date:</w:t>
        <w:tab/>
        <w:t>September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EPARATION AND</w:t>
      </w:r>
      <w:r>
        <w:rPr>
          <w:rFonts w:ascii="Arial" w:cs="Arial" w:eastAsia="Arial" w:hAnsi="Arial"/>
          <w:sz w:val="18"/>
          <w:szCs w:val="18"/>
          <w:color w:val="auto"/>
        </w:rPr>
        <w:t xml:space="preserve"> C</w:t>
      </w:r>
      <w:r>
        <w:rPr>
          <w:rFonts w:ascii="Arial" w:cs="Arial" w:eastAsia="Arial" w:hAnsi="Arial"/>
          <w:sz w:val="14"/>
          <w:szCs w:val="14"/>
          <w:color w:val="auto"/>
        </w:rPr>
        <w:t>ONSULTING</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5"/>
          <w:szCs w:val="15"/>
          <w:color w:val="auto"/>
        </w:rPr>
        <w:t xml:space="preserve">AND </w:t>
      </w:r>
      <w:r>
        <w:rPr>
          <w:rFonts w:ascii="Arial" w:cs="Arial" w:eastAsia="Arial" w:hAnsi="Arial"/>
          <w:sz w:val="17"/>
          <w:szCs w:val="17"/>
          <w:color w:val="auto"/>
        </w:rPr>
        <w:t>G</w:t>
      </w:r>
      <w:r>
        <w:rPr>
          <w:rFonts w:ascii="Arial" w:cs="Arial" w:eastAsia="Arial" w:hAnsi="Arial"/>
          <w:sz w:val="15"/>
          <w:szCs w:val="15"/>
          <w:color w:val="auto"/>
        </w:rPr>
        <w:t xml:space="preserve">ENERAL </w:t>
      </w:r>
      <w:r>
        <w:rPr>
          <w:rFonts w:ascii="Arial" w:cs="Arial" w:eastAsia="Arial" w:hAnsi="Arial"/>
          <w:sz w:val="17"/>
          <w:szCs w:val="17"/>
          <w:color w:val="auto"/>
        </w:rPr>
        <w:t>R</w:t>
      </w:r>
      <w:r>
        <w:rPr>
          <w:rFonts w:ascii="Arial" w:cs="Arial" w:eastAsia="Arial" w:hAnsi="Arial"/>
          <w:sz w:val="15"/>
          <w:szCs w:val="15"/>
          <w:color w:val="auto"/>
        </w:rPr>
        <w:t xml:space="preserve">ELEASE OF </w:t>
      </w:r>
      <w:r>
        <w:rPr>
          <w:rFonts w:ascii="Arial" w:cs="Arial" w:eastAsia="Arial" w:hAnsi="Arial"/>
          <w:sz w:val="17"/>
          <w:szCs w:val="17"/>
          <w:color w:val="auto"/>
        </w:rPr>
        <w:t>C</w:t>
      </w:r>
      <w:r>
        <w:rPr>
          <w:rFonts w:ascii="Arial" w:cs="Arial" w:eastAsia="Arial" w:hAnsi="Arial"/>
          <w:sz w:val="15"/>
          <w:szCs w:val="15"/>
          <w:color w:val="auto"/>
        </w:rPr>
        <w:t>LAIMS</w:t>
      </w:r>
    </w:p>
    <w:p>
      <w:pPr>
        <w:sectPr>
          <w:pgSz w:w="11900" w:h="16838" w:orient="portrait"/>
          <w:cols w:equalWidth="0" w:num="1">
            <w:col w:w="10420"/>
          </w:cols>
          <w:pgMar w:left="440" w:top="270" w:right="1039" w:bottom="1440" w:gutter="0" w:footer="0" w:header="0"/>
        </w:sectPr>
      </w:pPr>
    </w:p>
    <w:bookmarkStart w:id="676" w:name="page677"/>
    <w:bookmarkEnd w:id="67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 Options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Vested as of</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Unvested as of</w:t>
            </w:r>
          </w:p>
        </w:tc>
        <w:tc>
          <w:tcPr>
            <w:tcW w:w="0" w:type="dxa"/>
            <w:vAlign w:val="bottom"/>
          </w:tcPr>
          <w:p>
            <w:pPr>
              <w:spacing w:after="0"/>
              <w:rPr>
                <w:sz w:val="1"/>
                <w:szCs w:val="1"/>
                <w:color w:val="auto"/>
              </w:rPr>
            </w:pPr>
          </w:p>
        </w:tc>
      </w:tr>
      <w:tr>
        <w:trPr>
          <w:trHeight w:val="148"/>
        </w:trPr>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54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the Separation</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the Separation</w:t>
            </w:r>
          </w:p>
        </w:tc>
        <w:tc>
          <w:tcPr>
            <w:tcW w:w="0" w:type="dxa"/>
            <w:vAlign w:val="bottom"/>
          </w:tcPr>
          <w:p>
            <w:pPr>
              <w:spacing w:after="0"/>
              <w:rPr>
                <w:sz w:val="1"/>
                <w:szCs w:val="1"/>
                <w:color w:val="auto"/>
              </w:rPr>
            </w:pPr>
          </w:p>
        </w:tc>
      </w:tr>
      <w:tr>
        <w:trPr>
          <w:trHeight w:val="171"/>
        </w:trPr>
        <w:tc>
          <w:tcPr>
            <w:tcW w:w="1440" w:type="dxa"/>
            <w:vAlign w:val="bottom"/>
            <w:gridSpan w:val="2"/>
            <w:vMerge w:val="continue"/>
          </w:tcPr>
          <w:p>
            <w:pPr>
              <w:spacing w:after="0"/>
              <w:rPr>
                <w:sz w:val="14"/>
                <w:szCs w:val="14"/>
                <w:color w:val="auto"/>
              </w:rPr>
            </w:pPr>
          </w:p>
        </w:tc>
        <w:tc>
          <w:tcPr>
            <w:tcW w:w="4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Granted</w:t>
            </w: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June 22, 2023</w:t>
            </w:r>
          </w:p>
        </w:tc>
        <w:tc>
          <w:tcPr>
            <w:tcW w:w="4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19,787,969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824,499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18,963,470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5"/>
              </w:rPr>
              <w:t>February 23, 2023</w:t>
            </w:r>
          </w:p>
        </w:tc>
        <w:tc>
          <w:tcPr>
            <w:tcW w:w="5440" w:type="dxa"/>
            <w:vAlign w:val="bottom"/>
            <w:gridSpan w:val="3"/>
          </w:tcPr>
          <w:p>
            <w:pPr>
              <w:jc w:val="right"/>
              <w:ind w:right="44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0.44</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August 23, 2022</w:t>
            </w:r>
          </w:p>
        </w:tc>
        <w:tc>
          <w:tcPr>
            <w:tcW w:w="5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5"/>
              </w:rPr>
              <w:t>February 17, 2022</w:t>
            </w:r>
          </w:p>
        </w:tc>
        <w:tc>
          <w:tcPr>
            <w:tcW w:w="5440" w:type="dxa"/>
            <w:vAlign w:val="bottom"/>
            <w:gridSpan w:val="3"/>
          </w:tcPr>
          <w:p>
            <w:pPr>
              <w:jc w:val="right"/>
              <w:ind w:right="440"/>
              <w:spacing w:after="0"/>
              <w:rPr>
                <w:sz w:val="20"/>
                <w:szCs w:val="20"/>
                <w:color w:val="auto"/>
              </w:rPr>
            </w:pPr>
            <w:r>
              <w:rPr>
                <w:rFonts w:ascii="Arial" w:cs="Arial" w:eastAsia="Arial" w:hAnsi="Arial"/>
                <w:sz w:val="18"/>
                <w:szCs w:val="18"/>
                <w:color w:val="auto"/>
              </w:rPr>
              <w:t>170,000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3.17</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63,750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June 6, 2021</w:t>
            </w:r>
          </w:p>
        </w:tc>
        <w:tc>
          <w:tcPr>
            <w:tcW w:w="5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83,333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76,667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A</w:t>
      </w:r>
    </w:p>
    <w:p>
      <w:pPr>
        <w:sectPr>
          <w:pgSz w:w="11900" w:h="16838" w:orient="portrait"/>
          <w:cols w:equalWidth="0" w:num="1">
            <w:col w:w="10120"/>
          </w:cols>
          <w:pgMar w:left="880" w:top="270" w:right="899" w:bottom="1440" w:gutter="0" w:footer="0" w:header="0"/>
        </w:sectPr>
      </w:pPr>
    </w:p>
    <w:bookmarkStart w:id="677" w:name="page678"/>
    <w:bookmarkEnd w:id="677"/>
    <w:p>
      <w:pPr>
        <w:jc w:val="right"/>
        <w:spacing w:after="0"/>
        <w:rPr>
          <w:sz w:val="20"/>
          <w:szCs w:val="20"/>
          <w:color w:val="auto"/>
        </w:rPr>
      </w:pPr>
      <w:r>
        <w:rPr>
          <w:rFonts w:ascii="Arial" w:cs="Arial" w:eastAsia="Arial" w:hAnsi="Arial"/>
          <w:sz w:val="18"/>
          <w:szCs w:val="18"/>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848360" cy="28321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0">
                      <a:extLst>
                        <a:ext uri="{28A0092B-C50C-407E-A947-70E740481C1C}"/>
                      </a:extLst>
                    </a:blip>
                    <a:srcRect/>
                    <a:stretch>
                      <a:fillRect/>
                    </a:stretch>
                  </pic:blipFill>
                  <pic:spPr bwMode="auto">
                    <a:xfrm>
                      <a:off x="0" y="0"/>
                      <a:ext cx="84836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10,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Scott Burrows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 Offer of Employment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On behalf of Aeglea BioTherapeutics,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I am very pleased to offer you a position as Chief Financial Officer (the “</w:t>
      </w:r>
      <w:r>
        <w:rPr>
          <w:rFonts w:ascii="Arial" w:cs="Arial" w:eastAsia="Arial" w:hAnsi="Arial"/>
          <w:sz w:val="18"/>
          <w:szCs w:val="18"/>
          <w:u w:val="single" w:color="auto"/>
          <w:color w:val="auto"/>
        </w:rPr>
        <w:t>Role</w:t>
      </w:r>
      <w:r>
        <w:rPr>
          <w:rFonts w:ascii="Arial" w:cs="Arial" w:eastAsia="Arial" w:hAnsi="Arial"/>
          <w:sz w:val="18"/>
          <w:szCs w:val="18"/>
          <w:color w:val="auto"/>
        </w:rPr>
        <w:t>”) pursuant to this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provided you accept such offer as indicated by your signature below.</w:t>
      </w:r>
    </w:p>
    <w:p>
      <w:pPr>
        <w:spacing w:after="0" w:line="170"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Your employment with the Company in the Role will commence as of September 1,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Should you not commence services by the Effective Date or if this Agreement is otherwise terminated on or prior to the Effective Date, you hereby agree that this Agreement shall be void </w:t>
      </w:r>
      <w:r>
        <w:rPr>
          <w:rFonts w:ascii="Arial" w:cs="Arial" w:eastAsia="Arial" w:hAnsi="Arial"/>
          <w:sz w:val="18"/>
          <w:szCs w:val="18"/>
          <w:i w:val="1"/>
          <w:iCs w:val="1"/>
          <w:color w:val="auto"/>
        </w:rPr>
        <w:t>ab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initio </w:t>
      </w:r>
      <w:r>
        <w:rPr>
          <w:rFonts w:ascii="Arial" w:cs="Arial" w:eastAsia="Arial" w:hAnsi="Arial"/>
          <w:sz w:val="18"/>
          <w:szCs w:val="18"/>
          <w:color w:val="auto"/>
        </w:rPr>
        <w:t>and of no force or effect, other than as described herein.</w:t>
      </w:r>
    </w:p>
    <w:p>
      <w:pPr>
        <w:spacing w:after="0" w:line="180" w:lineRule="exact"/>
        <w:rPr>
          <w:sz w:val="20"/>
          <w:szCs w:val="20"/>
          <w:color w:val="auto"/>
        </w:rPr>
      </w:pPr>
    </w:p>
    <w:p>
      <w:pPr>
        <w:ind w:left="4" w:right="80" w:hanging="4"/>
        <w:spacing w:after="0" w:line="274" w:lineRule="auto"/>
        <w:tabs>
          <w:tab w:leader="none" w:pos="184" w:val="left"/>
        </w:tabs>
        <w:numPr>
          <w:ilvl w:val="0"/>
          <w:numId w:val="652"/>
        </w:numPr>
        <w:rPr>
          <w:rFonts w:ascii="Arial" w:cs="Arial" w:eastAsia="Arial" w:hAnsi="Arial"/>
          <w:sz w:val="17"/>
          <w:szCs w:val="17"/>
          <w:b w:val="1"/>
          <w:bCs w:val="1"/>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While serving in the Role, you will initially report to Cameron Turtle as the Company’s Chief Operating Officer, and upon his promotion to</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you shall report to the Company’s Chief Executive Officer. You will have such duties, authorities, and responsibilities as are customarily associated with the Role. This is a full-time employment position. It is understood and agreed that, commencing as of the Effective Date you will not engage in any other employment, consulting or other business activities (whether full-time or part-time), except as expressly authorized in writing by the Company. Notwithstanding the foregoing, you may engage in religious, charitable and other community activities so long as such activities do not unreasonably interfere or conflict with your obligations to the Company.</w:t>
      </w:r>
    </w:p>
    <w:p>
      <w:pPr>
        <w:spacing w:after="0" w:line="173" w:lineRule="exact"/>
        <w:rPr>
          <w:rFonts w:ascii="Arial" w:cs="Arial" w:eastAsia="Arial" w:hAnsi="Arial"/>
          <w:sz w:val="17"/>
          <w:szCs w:val="17"/>
          <w:b w:val="1"/>
          <w:bCs w:val="1"/>
          <w:color w:val="auto"/>
        </w:rPr>
      </w:pPr>
    </w:p>
    <w:p>
      <w:pPr>
        <w:ind w:left="184" w:hanging="184"/>
        <w:spacing w:after="0"/>
        <w:tabs>
          <w:tab w:leader="none" w:pos="184" w:val="left"/>
        </w:tabs>
        <w:numPr>
          <w:ilvl w:val="0"/>
          <w:numId w:val="652"/>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Upon and following the Effective Date, as cash compensation for your services, the Company will pay you an initial base salary of</w:t>
      </w:r>
    </w:p>
    <w:p>
      <w:pPr>
        <w:spacing w:after="0" w:line="39" w:lineRule="exact"/>
        <w:rPr>
          <w:sz w:val="20"/>
          <w:szCs w:val="20"/>
          <w:color w:val="auto"/>
        </w:rPr>
      </w:pPr>
    </w:p>
    <w:p>
      <w:pPr>
        <w:ind w:left="4" w:right="280"/>
        <w:spacing w:after="0" w:line="255" w:lineRule="auto"/>
        <w:rPr>
          <w:sz w:val="20"/>
          <w:szCs w:val="20"/>
          <w:color w:val="auto"/>
        </w:rPr>
      </w:pPr>
      <w:r>
        <w:rPr>
          <w:rFonts w:ascii="Arial" w:cs="Arial" w:eastAsia="Arial" w:hAnsi="Arial"/>
          <w:sz w:val="18"/>
          <w:szCs w:val="18"/>
          <w:color w:val="auto"/>
        </w:rPr>
        <w:t>$455,000 per year, payable in accordance with the Company’s standard payroll schedule and subject to applicable deductions and withholdings. Your base salary will be subject to periodic review and potential adjustment in the Company’s discretion. Your base salary in effect at any given time is referred to herein as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213" w:lineRule="exact"/>
        <w:rPr>
          <w:sz w:val="20"/>
          <w:szCs w:val="20"/>
          <w:color w:val="auto"/>
        </w:rPr>
      </w:pPr>
    </w:p>
    <w:p>
      <w:pPr>
        <w:ind w:left="424" w:hanging="424"/>
        <w:spacing w:after="0"/>
        <w:tabs>
          <w:tab w:leader="none" w:pos="424" w:val="left"/>
        </w:tabs>
        <w:numPr>
          <w:ilvl w:val="0"/>
          <w:numId w:val="653"/>
        </w:numPr>
        <w:rPr>
          <w:rFonts w:ascii="Arial" w:cs="Arial" w:eastAsia="Arial" w:hAnsi="Arial"/>
          <w:sz w:val="18"/>
          <w:szCs w:val="18"/>
          <w:b w:val="1"/>
          <w:bCs w:val="1"/>
          <w:color w:val="auto"/>
        </w:rPr>
      </w:pPr>
      <w:r>
        <w:rPr>
          <w:rFonts w:ascii="Arial" w:cs="Arial" w:eastAsia="Arial" w:hAnsi="Arial"/>
          <w:sz w:val="18"/>
          <w:szCs w:val="18"/>
          <w:b w:val="1"/>
          <w:bCs w:val="1"/>
          <w:color w:val="auto"/>
        </w:rPr>
        <w:t>Bonus Compensation.</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653"/>
        </w:numPr>
        <w:rPr>
          <w:rFonts w:ascii="Arial" w:cs="Arial" w:eastAsia="Arial" w:hAnsi="Arial"/>
          <w:sz w:val="17"/>
          <w:szCs w:val="17"/>
          <w:color w:val="auto"/>
        </w:rPr>
      </w:pPr>
      <w:r>
        <w:rPr>
          <w:rFonts w:ascii="Arial" w:cs="Arial" w:eastAsia="Arial" w:hAnsi="Arial"/>
          <w:sz w:val="17"/>
          <w:szCs w:val="17"/>
          <w:b w:val="1"/>
          <w:bCs w:val="1"/>
          <w:color w:val="auto"/>
        </w:rPr>
        <w:t>Sign-On Bonus</w:t>
      </w:r>
      <w:r>
        <w:rPr>
          <w:rFonts w:ascii="Arial" w:cs="Arial" w:eastAsia="Arial" w:hAnsi="Arial"/>
          <w:sz w:val="17"/>
          <w:szCs w:val="17"/>
          <w:color w:val="auto"/>
        </w:rPr>
        <w:t>. Within 30 days following the Effective Date, you will receive a one-time lump sum sign-on bonus of $115,000 (the</w:t>
      </w:r>
    </w:p>
    <w:p>
      <w:pPr>
        <w:spacing w:after="0" w:line="38" w:lineRule="exact"/>
        <w:rPr>
          <w:rFonts w:ascii="Arial" w:cs="Arial" w:eastAsia="Arial" w:hAnsi="Arial"/>
          <w:sz w:val="17"/>
          <w:szCs w:val="17"/>
          <w:color w:val="auto"/>
        </w:rPr>
      </w:pPr>
    </w:p>
    <w:p>
      <w:pPr>
        <w:ind w:left="964" w:right="120"/>
        <w:spacing w:after="0" w:line="255"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Sign-On Bonus</w:t>
      </w:r>
      <w:r>
        <w:rPr>
          <w:rFonts w:ascii="Arial" w:cs="Arial" w:eastAsia="Arial" w:hAnsi="Arial"/>
          <w:sz w:val="18"/>
          <w:szCs w:val="18"/>
          <w:color w:val="auto"/>
        </w:rPr>
        <w:t>”). In the event of your termination for Cause (as defined below) or resignation without Good Reason (as defined below), in either case, prior to the first anniversary of the Effective Date, you will be required to repay the full Sign-On Bonus within 30 days following the date of such termination of employment.</w:t>
      </w:r>
    </w:p>
    <w:p>
      <w:pPr>
        <w:sectPr>
          <w:pgSz w:w="11900" w:h="16838" w:orient="portrait"/>
          <w:cols w:equalWidth="0" w:num="1">
            <w:col w:w="11024"/>
          </w:cols>
          <w:pgMar w:left="436" w:top="122" w:right="439" w:bottom="1440" w:gutter="0" w:footer="0" w:header="0"/>
        </w:sectPr>
      </w:pPr>
    </w:p>
    <w:bookmarkStart w:id="678" w:name="page679"/>
    <w:bookmarkEnd w:id="678"/>
    <w:p>
      <w:pPr>
        <w:ind w:left="964" w:hanging="532"/>
        <w:spacing w:after="0" w:line="274" w:lineRule="auto"/>
        <w:tabs>
          <w:tab w:leader="none" w:pos="964" w:val="left"/>
        </w:tabs>
        <w:numPr>
          <w:ilvl w:val="1"/>
          <w:numId w:val="65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2">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Annual Bonus</w:t>
      </w:r>
      <w:r>
        <w:rPr>
          <w:rFonts w:ascii="Arial" w:cs="Arial" w:eastAsia="Arial" w:hAnsi="Arial"/>
          <w:sz w:val="17"/>
          <w:szCs w:val="17"/>
          <w:color w:val="auto"/>
        </w:rPr>
        <w:t>. Commencing as of the Effective Date, you will be eligible to receive an annual performance bonus targeted at 40%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Base Salary. The target annual bonus in effect at any given time is referred to herein as “</w:t>
      </w:r>
      <w:r>
        <w:rPr>
          <w:rFonts w:ascii="Arial" w:cs="Arial" w:eastAsia="Arial" w:hAnsi="Arial"/>
          <w:sz w:val="17"/>
          <w:szCs w:val="17"/>
          <w:u w:val="single" w:color="auto"/>
          <w:color w:val="auto"/>
        </w:rPr>
        <w:t>Target Bonus</w:t>
      </w:r>
      <w:r>
        <w:rPr>
          <w:rFonts w:ascii="Arial" w:cs="Arial" w:eastAsia="Arial" w:hAnsi="Arial"/>
          <w:sz w:val="17"/>
          <w:szCs w:val="17"/>
          <w:color w:val="auto"/>
        </w:rPr>
        <w:t>.” Your 2023 annual bonus will be prorated based on your period of employment following the Effective Date. The actual bonus amount is discretionary and may be subject to achievement of performance targets established by the Company for such year. To earn an annual bonus, you must be (except as otherwise provided herein) employed by the Company as of the payment date of such bonus. Any annual bonus will be paid no later than March 15th of the calendar year following the calendar year to which such bonus relates.</w:t>
      </w:r>
    </w:p>
    <w:p>
      <w:pPr>
        <w:spacing w:after="0" w:line="173" w:lineRule="exact"/>
        <w:rPr>
          <w:rFonts w:ascii="Arial" w:cs="Arial" w:eastAsia="Arial" w:hAnsi="Arial"/>
          <w:sz w:val="17"/>
          <w:szCs w:val="17"/>
          <w:color w:val="auto"/>
        </w:rPr>
      </w:pPr>
    </w:p>
    <w:p>
      <w:pPr>
        <w:ind w:left="4" w:right="20" w:hanging="4"/>
        <w:spacing w:after="0" w:line="269" w:lineRule="auto"/>
        <w:tabs>
          <w:tab w:leader="none" w:pos="184" w:val="left"/>
        </w:tabs>
        <w:numPr>
          <w:ilvl w:val="0"/>
          <w:numId w:val="655"/>
        </w:numPr>
        <w:rPr>
          <w:rFonts w:ascii="Arial" w:cs="Arial" w:eastAsia="Arial" w:hAnsi="Arial"/>
          <w:sz w:val="17"/>
          <w:szCs w:val="17"/>
          <w:b w:val="1"/>
          <w:bCs w:val="1"/>
          <w:color w:val="auto"/>
        </w:rPr>
      </w:pPr>
      <w:r>
        <w:rPr>
          <w:rFonts w:ascii="Arial" w:cs="Arial" w:eastAsia="Arial" w:hAnsi="Arial"/>
          <w:sz w:val="17"/>
          <w:szCs w:val="17"/>
          <w:b w:val="1"/>
          <w:bCs w:val="1"/>
          <w:color w:val="auto"/>
        </w:rPr>
        <w:t>Inducement Grant</w:t>
      </w:r>
      <w:r>
        <w:rPr>
          <w:rFonts w:ascii="Arial" w:cs="Arial" w:eastAsia="Arial" w:hAnsi="Arial"/>
          <w:sz w:val="17"/>
          <w:szCs w:val="17"/>
          <w:color w:val="auto"/>
        </w:rPr>
        <w:t>. Subject to approval by the Company’s Board and as a material inducement to you agreeing to become employed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as soon as practicable following the Effective Date, the Company will grant you (i) nonqualified stock options to purchase a number of shares of the Company’s common stock equal to 0.75% of the total outstanding shares of the Company’s common stock as of the Effective Date with an exercise price equal to the fair market value of the underlying shares on the date of grant as determined by the Board (the “</w:t>
      </w:r>
      <w:r>
        <w:rPr>
          <w:rFonts w:ascii="Arial" w:cs="Arial" w:eastAsia="Arial" w:hAnsi="Arial"/>
          <w:sz w:val="17"/>
          <w:szCs w:val="17"/>
          <w:u w:val="single" w:color="auto"/>
          <w:color w:val="auto"/>
        </w:rPr>
        <w:t>Inducement Options</w:t>
      </w:r>
      <w:r>
        <w:rPr>
          <w:rFonts w:ascii="Arial" w:cs="Arial" w:eastAsia="Arial" w:hAnsi="Arial"/>
          <w:sz w:val="17"/>
          <w:szCs w:val="17"/>
          <w:color w:val="auto"/>
        </w:rPr>
        <w:t>”) and (ii) a number of restricted stock units (the “</w:t>
      </w:r>
      <w:r>
        <w:rPr>
          <w:rFonts w:ascii="Arial" w:cs="Arial" w:eastAsia="Arial" w:hAnsi="Arial"/>
          <w:sz w:val="17"/>
          <w:szCs w:val="17"/>
          <w:u w:val="single" w:color="auto"/>
          <w:color w:val="auto"/>
        </w:rPr>
        <w:t>Inducement RSUs</w:t>
      </w:r>
      <w:r>
        <w:rPr>
          <w:rFonts w:ascii="Arial" w:cs="Arial" w:eastAsia="Arial" w:hAnsi="Arial"/>
          <w:sz w:val="17"/>
          <w:szCs w:val="17"/>
          <w:color w:val="auto"/>
        </w:rPr>
        <w:t>”) equal to 0.25% of the total outstanding shares of the Company’s common stock as of the Effective Date. The Inducement Options will vest over a four year period following your grant date, with 25% of the Inducement Options vesting on the first anniversary of your initial grant date, and the remainder vesting in 36 equal monthly installments on each monthly anniversary thereafter, in each case, subject to your continued services with the Company through the applicable vesting dates. The Inducement RSUs will vest over a four-year period following your initial grant date, with 25% of the RSUs vesting on each anniversary of your grant date, in each case, subject to your continued services with the Company through the applicable vesting dates. The Inducement Options and Inducement RSUs will be governed by the terms of the related award agreements, the Company’s 2018 Equity Inducement Plan and the terms and conditions approved by the Board. The Inducement Options and Inducement RSUs will be granted in compliance with NASDAQ Listing Rule 5635(c)(4) as a material inducement to you entering into employment with the Company.</w:t>
      </w:r>
    </w:p>
    <w:p>
      <w:pPr>
        <w:spacing w:after="0" w:line="175" w:lineRule="exact"/>
        <w:rPr>
          <w:rFonts w:ascii="Arial" w:cs="Arial" w:eastAsia="Arial" w:hAnsi="Arial"/>
          <w:sz w:val="17"/>
          <w:szCs w:val="17"/>
          <w:b w:val="1"/>
          <w:bCs w:val="1"/>
          <w:color w:val="auto"/>
        </w:rPr>
      </w:pPr>
    </w:p>
    <w:p>
      <w:pPr>
        <w:ind w:left="4" w:right="220" w:hanging="4"/>
        <w:spacing w:after="0" w:line="277" w:lineRule="auto"/>
        <w:tabs>
          <w:tab w:leader="none" w:pos="184" w:val="left"/>
        </w:tabs>
        <w:numPr>
          <w:ilvl w:val="0"/>
          <w:numId w:val="6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Benefits/Paid Time Off. </w:t>
      </w:r>
      <w:r>
        <w:rPr>
          <w:rFonts w:ascii="Arial" w:cs="Arial" w:eastAsia="Arial" w:hAnsi="Arial"/>
          <w:sz w:val="17"/>
          <w:szCs w:val="17"/>
          <w:color w:val="auto"/>
        </w:rPr>
        <w:t>Commencing as of the Effective Date, you will be eligible, subject to the terms of the applicable plans and programs,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The Company reserves the right to modify, limit, amend or cancel any of its benefits plans or programs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3103245" cy="15430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3">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64" w:right="459" w:bottom="1440" w:gutter="0" w:footer="0" w:header="0"/>
        </w:sectPr>
      </w:pPr>
    </w:p>
    <w:bookmarkStart w:id="679" w:name="page680"/>
    <w:bookmarkEnd w:id="679"/>
    <w:p>
      <w:pPr>
        <w:ind w:left="4" w:right="40" w:hanging="4"/>
        <w:spacing w:after="0" w:line="266" w:lineRule="auto"/>
        <w:tabs>
          <w:tab w:leader="none" w:pos="184" w:val="left"/>
        </w:tabs>
        <w:numPr>
          <w:ilvl w:val="0"/>
          <w:numId w:val="6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5">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 xml:space="preserve">Expense Reimbursement. </w:t>
      </w:r>
      <w:r>
        <w:rPr>
          <w:rFonts w:ascii="Arial" w:cs="Arial" w:eastAsia="Arial" w:hAnsi="Arial"/>
          <w:sz w:val="18"/>
          <w:szCs w:val="18"/>
          <w:color w:val="auto"/>
        </w:rPr>
        <w:t>The Company will reimburse you for all reasonable and necessary expenses incurred by you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your duties as an employee of the Company and that are pre-approved by the Company, provided that you comply with any Company policy or practice on submitting, accounting for and documenting such expenses.</w:t>
      </w:r>
    </w:p>
    <w:p>
      <w:pPr>
        <w:spacing w:after="0" w:line="175" w:lineRule="exact"/>
        <w:rPr>
          <w:rFonts w:ascii="Arial" w:cs="Arial" w:eastAsia="Arial" w:hAnsi="Arial"/>
          <w:sz w:val="18"/>
          <w:szCs w:val="18"/>
          <w:b w:val="1"/>
          <w:bCs w:val="1"/>
          <w:color w:val="auto"/>
        </w:rPr>
      </w:pPr>
    </w:p>
    <w:p>
      <w:pPr>
        <w:ind w:left="4" w:right="60" w:hanging="4"/>
        <w:spacing w:after="0" w:line="347" w:lineRule="auto"/>
        <w:tabs>
          <w:tab w:leader="none" w:pos="184" w:val="left"/>
        </w:tabs>
        <w:numPr>
          <w:ilvl w:val="0"/>
          <w:numId w:val="656"/>
        </w:numPr>
        <w:rPr>
          <w:rFonts w:ascii="Arial" w:cs="Arial" w:eastAsia="Arial" w:hAnsi="Arial"/>
          <w:sz w:val="16"/>
          <w:szCs w:val="16"/>
          <w:b w:val="1"/>
          <w:bCs w:val="1"/>
          <w:color w:val="auto"/>
        </w:rPr>
      </w:pPr>
      <w:r>
        <w:rPr>
          <w:rFonts w:ascii="Arial" w:cs="Arial" w:eastAsia="Arial" w:hAnsi="Arial"/>
          <w:sz w:val="16"/>
          <w:szCs w:val="16"/>
          <w:b w:val="1"/>
          <w:bCs w:val="1"/>
          <w:color w:val="auto"/>
        </w:rPr>
        <w:t>Location</w:t>
      </w:r>
      <w:r>
        <w:rPr>
          <w:rFonts w:ascii="Arial" w:cs="Arial" w:eastAsia="Arial" w:hAnsi="Arial"/>
          <w:sz w:val="16"/>
          <w:szCs w:val="16"/>
          <w:color w:val="auto"/>
        </w:rPr>
        <w:t>. Your primary work location will be remotely in California, provided that you may be required to engage in reasonable travel for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with the Company’s business needs. You may change your remote work location with prior written notice to and approval from the Company.</w:t>
      </w:r>
    </w:p>
    <w:p>
      <w:pPr>
        <w:spacing w:after="0" w:line="115" w:lineRule="exact"/>
        <w:rPr>
          <w:rFonts w:ascii="Arial" w:cs="Arial" w:eastAsia="Arial" w:hAnsi="Arial"/>
          <w:sz w:val="16"/>
          <w:szCs w:val="16"/>
          <w:b w:val="1"/>
          <w:bCs w:val="1"/>
          <w:color w:val="auto"/>
        </w:rPr>
      </w:pPr>
    </w:p>
    <w:p>
      <w:pPr>
        <w:ind w:left="4" w:right="20" w:hanging="4"/>
        <w:spacing w:after="0" w:line="271" w:lineRule="auto"/>
        <w:tabs>
          <w:tab w:leader="none" w:pos="184" w:val="left"/>
        </w:tabs>
        <w:numPr>
          <w:ilvl w:val="0"/>
          <w:numId w:val="656"/>
        </w:numPr>
        <w:rPr>
          <w:rFonts w:ascii="Arial" w:cs="Arial" w:eastAsia="Arial" w:hAnsi="Arial"/>
          <w:sz w:val="17"/>
          <w:szCs w:val="17"/>
          <w:b w:val="1"/>
          <w:bCs w:val="1"/>
          <w:color w:val="auto"/>
        </w:rPr>
      </w:pPr>
      <w:r>
        <w:rPr>
          <w:rFonts w:ascii="Arial" w:cs="Arial" w:eastAsia="Arial" w:hAnsi="Arial"/>
          <w:sz w:val="17"/>
          <w:szCs w:val="17"/>
          <w:b w:val="1"/>
          <w:bCs w:val="1"/>
          <w:color w:val="auto"/>
        </w:rPr>
        <w:t>At-Will Employment; Date of Termination</w:t>
      </w:r>
      <w:r>
        <w:rPr>
          <w:rFonts w:ascii="Arial" w:cs="Arial" w:eastAsia="Arial" w:hAnsi="Arial"/>
          <w:sz w:val="17"/>
          <w:szCs w:val="17"/>
          <w:color w:val="auto"/>
        </w:rPr>
        <w:t>. At all times, your employment with the Company is “at will,” meaning you or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authorized officer of the Company. Your last day of employment for any reason is referred to herein as the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In the event that you elect to end your employment other than for Good Reason, the Company requires you to provide at least 30 days’ advance written notice to the Company; and in the event that the Company terminates you without “Cause”, you shall be given at least 30 days advance written notice by the Company. Notwithstanding the foregoing, the Company may unilaterally accelerate the Date of Termination, and such acceleration shall not result in a termination without Cause by the Company for purposes of this Agreement.</w:t>
      </w:r>
    </w:p>
    <w:p>
      <w:pPr>
        <w:spacing w:after="0" w:line="178" w:lineRule="exact"/>
        <w:rPr>
          <w:sz w:val="20"/>
          <w:szCs w:val="20"/>
          <w:color w:val="auto"/>
        </w:rPr>
      </w:pPr>
    </w:p>
    <w:p>
      <w:pPr>
        <w:jc w:val="both"/>
        <w:ind w:left="4" w:right="200"/>
        <w:spacing w:after="0" w:line="263" w:lineRule="auto"/>
        <w:rPr>
          <w:sz w:val="20"/>
          <w:szCs w:val="20"/>
          <w:color w:val="auto"/>
        </w:rPr>
      </w:pPr>
      <w:r>
        <w:rPr>
          <w:rFonts w:ascii="Arial" w:cs="Arial" w:eastAsia="Arial" w:hAnsi="Arial"/>
          <w:sz w:val="18"/>
          <w:szCs w:val="18"/>
          <w:color w:val="auto"/>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80" w:lineRule="exact"/>
        <w:rPr>
          <w:sz w:val="20"/>
          <w:szCs w:val="20"/>
          <w:color w:val="auto"/>
        </w:rPr>
      </w:pPr>
    </w:p>
    <w:p>
      <w:pPr>
        <w:ind w:left="4" w:hanging="4"/>
        <w:spacing w:after="0" w:line="266" w:lineRule="auto"/>
        <w:tabs>
          <w:tab w:leader="none" w:pos="184" w:val="left"/>
        </w:tabs>
        <w:numPr>
          <w:ilvl w:val="0"/>
          <w:numId w:val="657"/>
        </w:numPr>
        <w:rPr>
          <w:rFonts w:ascii="Arial" w:cs="Arial" w:eastAsia="Arial" w:hAnsi="Arial"/>
          <w:sz w:val="18"/>
          <w:szCs w:val="18"/>
          <w:b w:val="1"/>
          <w:bCs w:val="1"/>
          <w:color w:val="auto"/>
        </w:rPr>
      </w:pPr>
      <w:r>
        <w:rPr>
          <w:rFonts w:ascii="Arial" w:cs="Arial" w:eastAsia="Arial" w:hAnsi="Arial"/>
          <w:sz w:val="18"/>
          <w:szCs w:val="18"/>
          <w:b w:val="1"/>
          <w:bCs w:val="1"/>
          <w:color w:val="auto"/>
        </w:rPr>
        <w:t>Accrued Obligations</w:t>
      </w:r>
      <w:r>
        <w:rPr>
          <w:rFonts w:ascii="Arial" w:cs="Arial" w:eastAsia="Arial" w:hAnsi="Arial"/>
          <w:sz w:val="18"/>
          <w:szCs w:val="18"/>
          <w:color w:val="auto"/>
        </w:rPr>
        <w:t>. In the event of the ending of your employment for any reason, the Company shall pay you (i) your Base Salary and,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any accrued but unused vacation, through the Date of Termination, and (ii) the amount of any documented expenses properly incurred by you on behalf of the Company prior to any such termination and not yet reimbursed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3103245" cy="15430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6">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24"/>
          </w:cols>
          <w:pgMar w:left="436" w:top="864" w:right="439" w:bottom="1440" w:gutter="0" w:footer="0" w:header="0"/>
        </w:sectPr>
      </w:pPr>
    </w:p>
    <w:bookmarkStart w:id="680" w:name="page681"/>
    <w:bookmarkEnd w:id="680"/>
    <w:p>
      <w:pPr>
        <w:ind w:left="4" w:right="60" w:hanging="4"/>
        <w:spacing w:after="0" w:line="266" w:lineRule="auto"/>
        <w:tabs>
          <w:tab w:leader="none" w:pos="274" w:val="left"/>
        </w:tabs>
        <w:numPr>
          <w:ilvl w:val="0"/>
          <w:numId w:val="6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8">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Severance Pay and Benefits Outside of the Change in Control Period</w:t>
      </w:r>
      <w:r>
        <w:rPr>
          <w:rFonts w:ascii="Arial" w:cs="Arial" w:eastAsia="Arial" w:hAnsi="Arial"/>
          <w:sz w:val="18"/>
          <w:szCs w:val="18"/>
          <w:color w:val="auto"/>
        </w:rPr>
        <w:t>. As explained below, under certain circumstances you 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equal to the Severance Amount (as defined below), accelerated vesting of a portion of your unvested equity awards, plus continued employee benefits pursuant to COBRA (as defined below):</w:t>
      </w:r>
    </w:p>
    <w:p>
      <w:pPr>
        <w:spacing w:after="0" w:line="180"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 xml:space="preserve">In the event that the Company terminates your employment without Cause or you terminate your employment with Good Reason, in either case, outside of the Change in Control Period (as such capitalized terms are defined in </w:t>
      </w:r>
      <w:r>
        <w:rPr>
          <w:rFonts w:ascii="Arial" w:cs="Arial" w:eastAsia="Arial" w:hAnsi="Arial"/>
          <w:sz w:val="16"/>
          <w:szCs w:val="16"/>
          <w:u w:val="single" w:color="auto"/>
          <w:color w:val="auto"/>
        </w:rPr>
        <w:t>Appendix A</w:t>
      </w:r>
      <w:r>
        <w:rPr>
          <w:rFonts w:ascii="Arial" w:cs="Arial" w:eastAsia="Arial" w:hAnsi="Arial"/>
          <w:sz w:val="16"/>
          <w:szCs w:val="16"/>
          <w:color w:val="auto"/>
        </w:rPr>
        <w:t>), then, in addition to the Accrued Obligations, and subject to</w:t>
      </w:r>
    </w:p>
    <w:p>
      <w:pPr>
        <w:ind w:left="4" w:right="100" w:hanging="4"/>
        <w:spacing w:after="0" w:line="292" w:lineRule="auto"/>
        <w:tabs>
          <w:tab w:leader="none" w:pos="219" w:val="left"/>
        </w:tabs>
        <w:numPr>
          <w:ilvl w:val="0"/>
          <w:numId w:val="659"/>
        </w:numPr>
        <w:rPr>
          <w:rFonts w:ascii="Arial" w:cs="Arial" w:eastAsia="Arial" w:hAnsi="Arial"/>
          <w:sz w:val="16"/>
          <w:szCs w:val="16"/>
          <w:color w:val="auto"/>
        </w:rPr>
      </w:pPr>
      <w:r>
        <w:rPr>
          <w:rFonts w:ascii="Arial" w:cs="Arial" w:eastAsia="Arial" w:hAnsi="Arial"/>
          <w:sz w:val="16"/>
          <w:szCs w:val="16"/>
          <w:color w:val="auto"/>
        </w:rPr>
        <w:t>your execution and non-revocation of a separation agreement and release in a form acceptable to the Company, which shall include a general release of claims against the Company and all related persons and entities and a reaffirmation of the Continuing Obligations (as defined below) and shall provide that if you breach the Continuing Obligations, all payments of the Severance Amount (as defined below) shall immediately cease (the “</w:t>
      </w:r>
      <w:r>
        <w:rPr>
          <w:rFonts w:ascii="Arial" w:cs="Arial" w:eastAsia="Arial" w:hAnsi="Arial"/>
          <w:sz w:val="16"/>
          <w:szCs w:val="16"/>
          <w:u w:val="single" w:color="auto"/>
          <w:color w:val="auto"/>
        </w:rPr>
        <w:t>Separation Agreement and Release</w:t>
      </w:r>
      <w:r>
        <w:rPr>
          <w:rFonts w:ascii="Arial" w:cs="Arial" w:eastAsia="Arial" w:hAnsi="Arial"/>
          <w:sz w:val="16"/>
          <w:szCs w:val="16"/>
          <w:color w:val="auto"/>
        </w:rPr>
        <w:t>”), and (ii) the Separation Agreement and Release becoming irrevocable, all within 60 days after the Date of Termination (or such shorter period as set forth in the Separation Agreement and Release), which shall include a seven (7) day revocation period:</w:t>
      </w:r>
    </w:p>
    <w:p>
      <w:pPr>
        <w:spacing w:after="0" w:line="67" w:lineRule="exact"/>
        <w:rPr>
          <w:rFonts w:ascii="Arial" w:cs="Arial" w:eastAsia="Arial" w:hAnsi="Arial"/>
          <w:sz w:val="16"/>
          <w:szCs w:val="16"/>
          <w:color w:val="auto"/>
        </w:rPr>
      </w:pPr>
    </w:p>
    <w:p>
      <w:pPr>
        <w:ind w:left="964" w:right="40" w:hanging="532"/>
        <w:spacing w:after="0" w:line="277" w:lineRule="auto"/>
        <w:tabs>
          <w:tab w:leader="none" w:pos="964" w:val="left"/>
        </w:tabs>
        <w:numPr>
          <w:ilvl w:val="1"/>
          <w:numId w:val="659"/>
        </w:numPr>
        <w:rPr>
          <w:rFonts w:ascii="Arial" w:cs="Arial" w:eastAsia="Arial" w:hAnsi="Arial"/>
          <w:sz w:val="18"/>
          <w:szCs w:val="18"/>
          <w:color w:val="auto"/>
        </w:rPr>
      </w:pPr>
      <w:r>
        <w:rPr>
          <w:rFonts w:ascii="Arial" w:cs="Arial" w:eastAsia="Arial" w:hAnsi="Arial"/>
          <w:sz w:val="18"/>
          <w:szCs w:val="18"/>
          <w:color w:val="auto"/>
        </w:rPr>
        <w:t>The Company shall pay you an amount equal to 12 months of your Base Salary plus any bonus earned but unpaid for the year immediately prior to the year of termination (such salary and bonus together, the “</w:t>
      </w:r>
      <w:r>
        <w:rPr>
          <w:rFonts w:ascii="Arial" w:cs="Arial" w:eastAsia="Arial" w:hAnsi="Arial"/>
          <w:sz w:val="18"/>
          <w:szCs w:val="18"/>
          <w:u w:val="single" w:color="auto"/>
          <w:color w:val="auto"/>
        </w:rPr>
        <w:t>Severance Amount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964" w:right="500" w:hanging="532"/>
        <w:spacing w:after="0" w:line="291" w:lineRule="auto"/>
        <w:tabs>
          <w:tab w:leader="none" w:pos="964" w:val="left"/>
        </w:tabs>
        <w:numPr>
          <w:ilvl w:val="1"/>
          <w:numId w:val="659"/>
        </w:numPr>
        <w:rPr>
          <w:rFonts w:ascii="Arial" w:cs="Arial" w:eastAsia="Arial" w:hAnsi="Arial"/>
          <w:sz w:val="16"/>
          <w:szCs w:val="16"/>
          <w:color w:val="auto"/>
        </w:rPr>
      </w:pPr>
      <w:r>
        <w:rPr>
          <w:rFonts w:ascii="Arial" w:cs="Arial" w:eastAsia="Arial" w:hAnsi="Arial"/>
          <w:sz w:val="16"/>
          <w:szCs w:val="16"/>
          <w:color w:val="auto"/>
        </w:rPr>
        <w:t>Notwithstanding anything to the contrary in any applicable equity-based award agreement or plan, the unvested portion of your then outstanding equity-based awards subject to time-based vesting (the “</w:t>
      </w:r>
      <w:r>
        <w:rPr>
          <w:rFonts w:ascii="Arial" w:cs="Arial" w:eastAsia="Arial" w:hAnsi="Arial"/>
          <w:sz w:val="16"/>
          <w:szCs w:val="16"/>
          <w:u w:val="single" w:color="auto"/>
          <w:color w:val="auto"/>
        </w:rPr>
        <w:t>Time-Based Equity Awards</w:t>
      </w:r>
      <w:r>
        <w:rPr>
          <w:rFonts w:ascii="Arial" w:cs="Arial" w:eastAsia="Arial" w:hAnsi="Arial"/>
          <w:sz w:val="16"/>
          <w:szCs w:val="16"/>
          <w:color w:val="auto"/>
        </w:rPr>
        <w:t>”) that would have vested within the</w:t>
      </w:r>
    </w:p>
    <w:p>
      <w:pPr>
        <w:ind w:left="964"/>
        <w:spacing w:after="0" w:line="288" w:lineRule="auto"/>
        <w:rPr>
          <w:rFonts w:ascii="Arial" w:cs="Arial" w:eastAsia="Arial" w:hAnsi="Arial"/>
          <w:sz w:val="16"/>
          <w:szCs w:val="16"/>
          <w:color w:val="auto"/>
        </w:rPr>
      </w:pPr>
      <w:r>
        <w:rPr>
          <w:rFonts w:ascii="Arial" w:cs="Arial" w:eastAsia="Arial" w:hAnsi="Arial"/>
          <w:sz w:val="16"/>
          <w:szCs w:val="16"/>
          <w:color w:val="auto"/>
        </w:rPr>
        <w:t>12-month period following the Termination Date shall immediately accelerate and become vested or nonforfeitable as of the later of (i) the Date of Termination or (ii) the effective date of the Separation Agreement and Release (such later date being the “</w:t>
      </w:r>
      <w:r>
        <w:rPr>
          <w:rFonts w:ascii="Arial" w:cs="Arial" w:eastAsia="Arial" w:hAnsi="Arial"/>
          <w:sz w:val="16"/>
          <w:szCs w:val="16"/>
          <w:u w:val="single" w:color="auto"/>
          <w:color w:val="auto"/>
        </w:rPr>
        <w:t>Accelerated Vesting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and provided further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the Date of Termination and the Accelerated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3103245" cy="15430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9">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64" w:right="459" w:bottom="1440" w:gutter="0" w:footer="0" w:header="0"/>
        </w:sectPr>
      </w:pPr>
    </w:p>
    <w:bookmarkStart w:id="681" w:name="page682"/>
    <w:bookmarkEnd w:id="681"/>
    <w:p>
      <w:pPr>
        <w:ind w:left="960" w:hanging="532"/>
        <w:spacing w:after="0" w:line="269" w:lineRule="auto"/>
        <w:tabs>
          <w:tab w:leader="none" w:pos="960" w:val="left"/>
        </w:tabs>
        <w:numPr>
          <w:ilvl w:val="0"/>
          <w:numId w:val="6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1">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Subject to your copayment of premium amounts at the applicable active employees’ rate and your proper election to receive benefits under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amounts payable under </w:t>
      </w:r>
      <w:r>
        <w:rPr>
          <w:rFonts w:ascii="Arial" w:cs="Arial" w:eastAsia="Arial" w:hAnsi="Arial"/>
          <w:sz w:val="17"/>
          <w:szCs w:val="17"/>
          <w:u w:val="single" w:color="auto"/>
          <w:color w:val="auto"/>
        </w:rPr>
        <w:t>Section 10(a)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to the extent taxable, shall be paid out in substantially equal installments in accordance with the Company’s payroll practice over 12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in this Agreement, for the avoidance of doubt:</w:t>
      </w:r>
    </w:p>
    <w:p>
      <w:pPr>
        <w:spacing w:after="0" w:line="131" w:lineRule="exact"/>
        <w:rPr>
          <w:sz w:val="20"/>
          <w:szCs w:val="20"/>
          <w:color w:val="auto"/>
        </w:rPr>
      </w:pPr>
    </w:p>
    <w:p>
      <w:pPr>
        <w:ind w:left="1420" w:right="240" w:hanging="439"/>
        <w:spacing w:after="0" w:line="342" w:lineRule="auto"/>
        <w:tabs>
          <w:tab w:leader="none" w:pos="1420" w:val="left"/>
        </w:tabs>
        <w:numPr>
          <w:ilvl w:val="0"/>
          <w:numId w:val="661"/>
        </w:numPr>
        <w:rPr>
          <w:rFonts w:ascii="Arial" w:cs="Arial" w:eastAsia="Arial" w:hAnsi="Arial"/>
          <w:sz w:val="16"/>
          <w:szCs w:val="16"/>
          <w:color w:val="auto"/>
        </w:rPr>
      </w:pPr>
      <w:r>
        <w:rPr>
          <w:rFonts w:ascii="Arial" w:cs="Arial" w:eastAsia="Arial" w:hAnsi="Arial"/>
          <w:sz w:val="16"/>
          <w:szCs w:val="16"/>
          <w:color w:val="auto"/>
        </w:rPr>
        <w:t>if your employment ends for as a result of a termination by the Company for Cause or a resignation by you without Good Reason, you will be entitled to the Accrued Obligations and will not be entitled to any further compensation from the Company; and</w:t>
      </w:r>
    </w:p>
    <w:p>
      <w:pPr>
        <w:spacing w:after="0" w:line="29" w:lineRule="exact"/>
        <w:rPr>
          <w:rFonts w:ascii="Arial" w:cs="Arial" w:eastAsia="Arial" w:hAnsi="Arial"/>
          <w:sz w:val="16"/>
          <w:szCs w:val="16"/>
          <w:color w:val="auto"/>
        </w:rPr>
      </w:pPr>
    </w:p>
    <w:p>
      <w:pPr>
        <w:ind w:left="1420" w:right="120" w:hanging="439"/>
        <w:spacing w:after="0" w:line="286" w:lineRule="auto"/>
        <w:tabs>
          <w:tab w:leader="none" w:pos="1420" w:val="left"/>
        </w:tabs>
        <w:numPr>
          <w:ilvl w:val="0"/>
          <w:numId w:val="661"/>
        </w:numPr>
        <w:rPr>
          <w:rFonts w:ascii="Arial" w:cs="Arial" w:eastAsia="Arial" w:hAnsi="Arial"/>
          <w:sz w:val="17"/>
          <w:szCs w:val="17"/>
          <w:color w:val="auto"/>
        </w:rPr>
      </w:pPr>
      <w:r>
        <w:rPr>
          <w:rFonts w:ascii="Arial" w:cs="Arial" w:eastAsia="Arial" w:hAnsi="Arial"/>
          <w:sz w:val="17"/>
          <w:szCs w:val="17"/>
          <w:color w:val="auto"/>
        </w:rPr>
        <w:t xml:space="preserve">if your employment ends due to your death or Disability, you will receive (i) the Accrued Obligations and (ii) all outstanding Time-Based Equity Awards shall immediately accelerate and become vested or nonforfeitable as of the Date of Termination, but will not be eligible for any other severance pay or benefits, whether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3103245" cy="154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2">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0"/>
          </w:cols>
          <w:pgMar w:left="440" w:top="868" w:right="459" w:bottom="1440" w:gutter="0" w:footer="0" w:header="0"/>
        </w:sectPr>
      </w:pPr>
    </w:p>
    <w:bookmarkStart w:id="682" w:name="page683"/>
    <w:bookmarkEnd w:id="682"/>
    <w:p>
      <w:pPr>
        <w:ind w:left="4" w:hanging="4"/>
        <w:spacing w:after="0" w:line="303" w:lineRule="auto"/>
        <w:tabs>
          <w:tab w:leader="none" w:pos="264" w:val="left"/>
        </w:tabs>
        <w:numPr>
          <w:ilvl w:val="0"/>
          <w:numId w:val="66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4">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Severance Pay and Benefits Within the Change in Control Period</w:t>
      </w:r>
      <w:r>
        <w:rPr>
          <w:rFonts w:ascii="Arial" w:cs="Arial" w:eastAsia="Arial" w:hAnsi="Arial"/>
          <w:sz w:val="16"/>
          <w:szCs w:val="16"/>
          <w:color w:val="auto"/>
        </w:rPr>
        <w:t>. In the event that the Company terminates your employment without Cause or</w:t>
      </w:r>
      <w:r>
        <w:rPr>
          <w:rFonts w:ascii="Arial" w:cs="Arial" w:eastAsia="Arial" w:hAnsi="Arial"/>
          <w:sz w:val="16"/>
          <w:szCs w:val="16"/>
          <w:b w:val="1"/>
          <w:bCs w:val="1"/>
          <w:color w:val="auto"/>
        </w:rPr>
        <w:t xml:space="preserve"> </w:t>
      </w:r>
      <w:r>
        <w:rPr>
          <w:rFonts w:ascii="Arial" w:cs="Arial" w:eastAsia="Arial" w:hAnsi="Arial"/>
          <w:sz w:val="16"/>
          <w:szCs w:val="16"/>
          <w:color w:val="auto"/>
        </w:rPr>
        <w:t>you resign for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w:t>
      </w:r>
    </w:p>
    <w:p>
      <w:pPr>
        <w:spacing w:after="0" w:line="60" w:lineRule="exact"/>
        <w:rPr>
          <w:rFonts w:ascii="Arial" w:cs="Arial" w:eastAsia="Arial" w:hAnsi="Arial"/>
          <w:sz w:val="16"/>
          <w:szCs w:val="16"/>
          <w:b w:val="1"/>
          <w:bCs w:val="1"/>
          <w:color w:val="auto"/>
        </w:rPr>
      </w:pPr>
    </w:p>
    <w:p>
      <w:pPr>
        <w:ind w:left="964" w:right="180" w:hanging="532"/>
        <w:spacing w:after="0" w:line="257" w:lineRule="auto"/>
        <w:tabs>
          <w:tab w:leader="none" w:pos="964" w:val="left"/>
        </w:tabs>
        <w:numPr>
          <w:ilvl w:val="1"/>
          <w:numId w:val="662"/>
        </w:numPr>
        <w:rPr>
          <w:rFonts w:ascii="Arial" w:cs="Arial" w:eastAsia="Arial" w:hAnsi="Arial"/>
          <w:sz w:val="18"/>
          <w:szCs w:val="18"/>
          <w:color w:val="auto"/>
        </w:rPr>
      </w:pPr>
      <w:r>
        <w:rPr>
          <w:rFonts w:ascii="Arial" w:cs="Arial" w:eastAsia="Arial" w:hAnsi="Arial"/>
          <w:sz w:val="18"/>
          <w:szCs w:val="18"/>
          <w:color w:val="auto"/>
        </w:rPr>
        <w:t>The Company shall pay you an amount equal (i) to 18 months of your Base Salary, plus (ii) any bonus earned but unpaid for the year immediately prior to the year of termination, plus (iii) your Target Bonus for the year in which the termination occurs (in each case, calculated by reference to your Base Salary rate as in effect immediately prior to your termination, but without giving effect to any prior reduction in Base Salary by the Company which would give rise to your right to resign for Good Reason) (such salary and bonuses together, the “</w:t>
      </w:r>
      <w:r>
        <w:rPr>
          <w:rFonts w:ascii="Arial" w:cs="Arial" w:eastAsia="Arial" w:hAnsi="Arial"/>
          <w:sz w:val="18"/>
          <w:szCs w:val="18"/>
          <w:u w:val="single" w:color="auto"/>
          <w:color w:val="auto"/>
        </w:rPr>
        <w:t>CIC Severance Amount</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662"/>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equity-based award agreement or plan, all of the unvested Time-Based Equity Awards shall immediately accelerate and become vested or nonforfeitable as of the Accelerated Vesting Date.</w:t>
      </w:r>
    </w:p>
    <w:p>
      <w:pPr>
        <w:spacing w:after="0" w:line="75" w:lineRule="exact"/>
        <w:rPr>
          <w:rFonts w:ascii="Arial" w:cs="Arial" w:eastAsia="Arial" w:hAnsi="Arial"/>
          <w:sz w:val="18"/>
          <w:szCs w:val="18"/>
          <w:color w:val="auto"/>
        </w:rPr>
      </w:pPr>
    </w:p>
    <w:p>
      <w:pPr>
        <w:ind w:left="964" w:right="320" w:hanging="532"/>
        <w:spacing w:after="0" w:line="257" w:lineRule="auto"/>
        <w:tabs>
          <w:tab w:leader="none" w:pos="964" w:val="left"/>
        </w:tabs>
        <w:numPr>
          <w:ilvl w:val="1"/>
          <w:numId w:val="662"/>
        </w:numPr>
        <w:rPr>
          <w:rFonts w:ascii="Arial" w:cs="Arial" w:eastAsia="Arial" w:hAnsi="Arial"/>
          <w:sz w:val="18"/>
          <w:szCs w:val="18"/>
          <w:color w:val="auto"/>
        </w:rPr>
      </w:pPr>
      <w:r>
        <w:rPr>
          <w:rFonts w:ascii="Arial" w:cs="Arial" w:eastAsia="Arial" w:hAnsi="Arial"/>
          <w:sz w:val="18"/>
          <w:szCs w:val="18"/>
          <w:color w:val="auto"/>
        </w:rPr>
        <w:t>All of your outstanding equity-based awards subject to performance-based vesting (the “</w:t>
      </w:r>
      <w:r>
        <w:rPr>
          <w:rFonts w:ascii="Arial" w:cs="Arial" w:eastAsia="Arial" w:hAnsi="Arial"/>
          <w:sz w:val="18"/>
          <w:szCs w:val="18"/>
          <w:u w:val="single" w:color="auto"/>
          <w:color w:val="auto"/>
        </w:rPr>
        <w:t>Performance-Based Equity Awards</w:t>
      </w:r>
      <w:r>
        <w:rPr>
          <w:rFonts w:ascii="Arial" w:cs="Arial" w:eastAsia="Arial" w:hAnsi="Arial"/>
          <w:sz w:val="18"/>
          <w:szCs w:val="18"/>
          <w:color w:val="auto"/>
        </w:rPr>
        <w:t xml:space="preserve">”) shall immediately accelerate and become vested or nonforfeitable as of the Accelerated Vesting Date with the performance criteria being deemed to have been met based on the greater of target or, if determinable, actual performance; provided, however, that the applicable award agreement for any Performance-Based Equity Award may provide for alternative treatment upon a termination covered by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964" w:right="80" w:hanging="532"/>
        <w:spacing w:after="0" w:line="257" w:lineRule="auto"/>
        <w:tabs>
          <w:tab w:leader="none" w:pos="964" w:val="left"/>
        </w:tabs>
        <w:numPr>
          <w:ilvl w:val="1"/>
          <w:numId w:val="662"/>
        </w:numPr>
        <w:rPr>
          <w:rFonts w:ascii="Arial" w:cs="Arial" w:eastAsia="Arial" w:hAnsi="Arial"/>
          <w:sz w:val="18"/>
          <w:szCs w:val="18"/>
          <w:color w:val="auto"/>
        </w:rPr>
      </w:pPr>
      <w:r>
        <w:rPr>
          <w:rFonts w:ascii="Arial" w:cs="Arial" w:eastAsia="Arial" w:hAnsi="Arial"/>
          <w:sz w:val="18"/>
          <w:szCs w:val="18"/>
          <w:color w:val="auto"/>
        </w:rPr>
        <w:t>The Company shall pay to the group health plan provider(s), the COBRA provider or you a monthly payment equal to the monthly COBRA continuation premiums until the earliest of (A) the 18-month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3103245" cy="15430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5">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44"/>
          </w:cols>
          <w:pgMar w:left="436" w:top="864" w:right="519" w:bottom="1440" w:gutter="0" w:footer="0" w:header="0"/>
        </w:sectPr>
      </w:pPr>
    </w:p>
    <w:bookmarkStart w:id="683" w:name="page684"/>
    <w:bookmarkEnd w:id="683"/>
    <w:p>
      <w:pPr>
        <w:ind w:left="98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7">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p>
      <w:pPr>
        <w:spacing w:after="0" w:line="165"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 xml:space="preserve">For the avoidance of doubt,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 are mutually exclusive and in no event shall you be entitled to payments or benefits pursuant to both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w:t>
      </w:r>
    </w:p>
    <w:p>
      <w:pPr>
        <w:spacing w:after="0" w:line="193" w:lineRule="exact"/>
        <w:rPr>
          <w:sz w:val="20"/>
          <w:szCs w:val="20"/>
          <w:color w:val="auto"/>
        </w:rPr>
      </w:pPr>
    </w:p>
    <w:p>
      <w:pPr>
        <w:ind w:left="424" w:hanging="424"/>
        <w:spacing w:after="0"/>
        <w:tabs>
          <w:tab w:leader="none" w:pos="424" w:val="left"/>
        </w:tabs>
        <w:numPr>
          <w:ilvl w:val="0"/>
          <w:numId w:val="663"/>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p>
    <w:p>
      <w:pPr>
        <w:spacing w:after="0" w:line="130" w:lineRule="exact"/>
        <w:rPr>
          <w:rFonts w:ascii="Arial" w:cs="Arial" w:eastAsia="Arial" w:hAnsi="Arial"/>
          <w:sz w:val="18"/>
          <w:szCs w:val="18"/>
          <w:b w:val="1"/>
          <w:bCs w:val="1"/>
          <w:color w:val="auto"/>
        </w:rPr>
      </w:pPr>
    </w:p>
    <w:p>
      <w:pPr>
        <w:ind w:left="964" w:hanging="532"/>
        <w:spacing w:after="0" w:line="274" w:lineRule="auto"/>
        <w:tabs>
          <w:tab w:leader="none" w:pos="964" w:val="left"/>
        </w:tabs>
        <w:numPr>
          <w:ilvl w:val="1"/>
          <w:numId w:val="663"/>
        </w:numPr>
        <w:rPr>
          <w:rFonts w:ascii="Arial" w:cs="Arial" w:eastAsia="Arial" w:hAnsi="Arial"/>
          <w:sz w:val="17"/>
          <w:szCs w:val="17"/>
          <w:color w:val="auto"/>
        </w:rPr>
      </w:pPr>
      <w:r>
        <w:rPr>
          <w:rFonts w:ascii="Arial" w:cs="Arial" w:eastAsia="Arial" w:hAnsi="Arial"/>
          <w:sz w:val="17"/>
          <w:szCs w:val="17"/>
          <w:b w:val="1"/>
          <w:bCs w:val="1"/>
          <w:color w:val="auto"/>
        </w:rPr>
        <w:t>EIACN Agreement</w:t>
      </w:r>
      <w:r>
        <w:rPr>
          <w:rFonts w:ascii="Arial" w:cs="Arial" w:eastAsia="Arial" w:hAnsi="Arial"/>
          <w:sz w:val="17"/>
          <w:szCs w:val="17"/>
          <w:color w:val="auto"/>
        </w:rPr>
        <w:t>. As a condition of your employment, you are required to enter into an Employee Invention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and Non-Competition Agreement, which is enclosed with this Agreement (the “</w:t>
      </w:r>
      <w:r>
        <w:rPr>
          <w:rFonts w:ascii="Arial" w:cs="Arial" w:eastAsia="Arial" w:hAnsi="Arial"/>
          <w:sz w:val="17"/>
          <w:szCs w:val="17"/>
          <w:u w:val="single" w:color="auto"/>
          <w:color w:val="auto"/>
        </w:rPr>
        <w:t>EIACN Agreement</w:t>
      </w:r>
      <w:r>
        <w:rPr>
          <w:rFonts w:ascii="Arial" w:cs="Arial" w:eastAsia="Arial" w:hAnsi="Arial"/>
          <w:sz w:val="17"/>
          <w:szCs w:val="17"/>
          <w:color w:val="auto"/>
        </w:rPr>
        <w:t xml:space="preserve">”), which must be signed prior to the Effective Date. For purposes of this Agreement, the obligations in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those that arise in the EIACN Agreement and any other agreement relating to confidentiality, assignment of inventions, or other restrictive covenants shall collectively be referred to as the “</w:t>
      </w:r>
      <w:r>
        <w:rPr>
          <w:rFonts w:ascii="Arial" w:cs="Arial" w:eastAsia="Arial" w:hAnsi="Arial"/>
          <w:sz w:val="17"/>
          <w:szCs w:val="17"/>
          <w:u w:val="single" w:color="auto"/>
          <w:color w:val="auto"/>
        </w:rPr>
        <w:t>Continuing Obligations</w:t>
      </w:r>
      <w:r>
        <w:rPr>
          <w:rFonts w:ascii="Arial" w:cs="Arial" w:eastAsia="Arial" w:hAnsi="Arial"/>
          <w:sz w:val="17"/>
          <w:szCs w:val="17"/>
          <w:color w:val="auto"/>
        </w:rPr>
        <w:t>.” You are advised to discuss the EIACN Agreement with an attorney of your choice, and you have had an adequate opportunity to do so prior to executing this Agreement or the EIACN Agreement.</w:t>
      </w:r>
    </w:p>
    <w:p>
      <w:pPr>
        <w:spacing w:after="0" w:line="78" w:lineRule="exact"/>
        <w:rPr>
          <w:rFonts w:ascii="Arial" w:cs="Arial" w:eastAsia="Arial" w:hAnsi="Arial"/>
          <w:sz w:val="17"/>
          <w:szCs w:val="17"/>
          <w:color w:val="auto"/>
        </w:rPr>
      </w:pPr>
    </w:p>
    <w:p>
      <w:pPr>
        <w:ind w:left="964" w:right="20" w:hanging="532"/>
        <w:spacing w:after="0" w:line="255" w:lineRule="auto"/>
        <w:tabs>
          <w:tab w:leader="none" w:pos="964" w:val="left"/>
        </w:tabs>
        <w:numPr>
          <w:ilvl w:val="1"/>
          <w:numId w:val="663"/>
        </w:numPr>
        <w:rPr>
          <w:rFonts w:ascii="Arial" w:cs="Arial" w:eastAsia="Arial" w:hAnsi="Arial"/>
          <w:sz w:val="18"/>
          <w:szCs w:val="18"/>
          <w:color w:val="auto"/>
        </w:rPr>
      </w:pPr>
      <w:r>
        <w:rPr>
          <w:rFonts w:ascii="Arial" w:cs="Arial" w:eastAsia="Arial" w:hAnsi="Arial"/>
          <w:sz w:val="18"/>
          <w:szCs w:val="18"/>
          <w:b w:val="1"/>
          <w:bCs w:val="1"/>
          <w:color w:val="auto"/>
        </w:rPr>
        <w:t>Third Party Agreements and Rights</w:t>
      </w:r>
      <w:r>
        <w:rPr>
          <w:rFonts w:ascii="Arial" w:cs="Arial" w:eastAsia="Arial" w:hAnsi="Arial"/>
          <w:sz w:val="18"/>
          <w:szCs w:val="18"/>
          <w:color w:val="auto"/>
        </w:rPr>
        <w:t>. You hereby confirm that you are not bound by the terms of any agreement with any previous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or other party which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94" w:lineRule="exact"/>
        <w:rPr>
          <w:rFonts w:ascii="Arial" w:cs="Arial" w:eastAsia="Arial" w:hAnsi="Arial"/>
          <w:sz w:val="18"/>
          <w:szCs w:val="18"/>
          <w:color w:val="auto"/>
        </w:rPr>
      </w:pPr>
    </w:p>
    <w:p>
      <w:pPr>
        <w:ind w:left="964" w:right="100" w:hanging="532"/>
        <w:spacing w:after="0" w:line="289" w:lineRule="auto"/>
        <w:tabs>
          <w:tab w:leader="none" w:pos="964" w:val="left"/>
        </w:tabs>
        <w:numPr>
          <w:ilvl w:val="1"/>
          <w:numId w:val="663"/>
        </w:numPr>
        <w:rPr>
          <w:rFonts w:ascii="Arial" w:cs="Arial" w:eastAsia="Arial" w:hAnsi="Arial"/>
          <w:sz w:val="17"/>
          <w:szCs w:val="17"/>
          <w:color w:val="auto"/>
        </w:rPr>
      </w:pPr>
      <w:r>
        <w:rPr>
          <w:rFonts w:ascii="Arial" w:cs="Arial" w:eastAsia="Arial" w:hAnsi="Arial"/>
          <w:sz w:val="17"/>
          <w:szCs w:val="17"/>
          <w:b w:val="1"/>
          <w:bCs w:val="1"/>
          <w:color w:val="auto"/>
        </w:rPr>
        <w:t>Litigation and Regulatory Cooperation</w:t>
      </w:r>
      <w:r>
        <w:rPr>
          <w:rFonts w:ascii="Arial" w:cs="Arial" w:eastAsia="Arial" w:hAnsi="Arial"/>
          <w:sz w:val="17"/>
          <w:szCs w:val="17"/>
          <w:color w:val="auto"/>
        </w:rPr>
        <w:t>. You shall cooperate fully with the Company in (i) the defense or prosecution of any claims or</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now in existence or which may be brought in the future against or on behalf of the Company which relate to events or occurrences that transpired while you were engaged or employed by the Company, and (ii) the investigation,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3103245" cy="15430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8">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68" w:right="459" w:bottom="1440" w:gutter="0" w:footer="0" w:header="0"/>
        </w:sectPr>
      </w:pPr>
    </w:p>
    <w:bookmarkStart w:id="684" w:name="page685"/>
    <w:bookmarkEnd w:id="684"/>
    <w:p>
      <w:pPr>
        <w:jc w:val="both"/>
        <w:ind w:left="98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0">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w:t>
      </w:r>
    </w:p>
    <w:p>
      <w:pPr>
        <w:spacing w:after="0" w:line="2" w:lineRule="exact"/>
        <w:rPr>
          <w:sz w:val="20"/>
          <w:szCs w:val="20"/>
          <w:color w:val="auto"/>
        </w:rPr>
      </w:pPr>
    </w:p>
    <w:p>
      <w:pPr>
        <w:ind w:left="984"/>
        <w:spacing w:after="0" w:line="273" w:lineRule="auto"/>
        <w:rPr>
          <w:sz w:val="20"/>
          <w:szCs w:val="20"/>
          <w:color w:val="auto"/>
        </w:rPr>
      </w:pPr>
      <w:r>
        <w:rPr>
          <w:rFonts w:ascii="Arial" w:cs="Arial" w:eastAsia="Arial" w:hAnsi="Arial"/>
          <w:sz w:val="17"/>
          <w:szCs w:val="17"/>
          <w:color w:val="auto"/>
        </w:rPr>
        <w:t xml:space="preserve">During and after your engagement and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rFonts w:ascii="Arial" w:cs="Arial" w:eastAsia="Arial" w:hAnsi="Arial"/>
          <w:sz w:val="17"/>
          <w:szCs w:val="17"/>
          <w:u w:val="single" w:color="auto"/>
          <w:color w:val="auto"/>
        </w:rPr>
        <w:t>Section 12(c).</w:t>
      </w:r>
    </w:p>
    <w:p>
      <w:pPr>
        <w:spacing w:after="0" w:line="78" w:lineRule="exact"/>
        <w:rPr>
          <w:sz w:val="20"/>
          <w:szCs w:val="20"/>
          <w:color w:val="auto"/>
        </w:rPr>
      </w:pPr>
    </w:p>
    <w:p>
      <w:pPr>
        <w:ind w:left="964" w:right="20" w:hanging="532"/>
        <w:spacing w:after="0" w:line="258" w:lineRule="auto"/>
        <w:tabs>
          <w:tab w:leader="none" w:pos="964" w:val="left"/>
        </w:tabs>
        <w:numPr>
          <w:ilvl w:val="1"/>
          <w:numId w:val="664"/>
        </w:numPr>
        <w:rPr>
          <w:rFonts w:ascii="Arial" w:cs="Arial" w:eastAsia="Arial" w:hAnsi="Arial"/>
          <w:sz w:val="18"/>
          <w:szCs w:val="18"/>
          <w:color w:val="auto"/>
        </w:rPr>
      </w:pPr>
      <w:r>
        <w:rPr>
          <w:rFonts w:ascii="Arial" w:cs="Arial" w:eastAsia="Arial" w:hAnsi="Arial"/>
          <w:sz w:val="18"/>
          <w:szCs w:val="18"/>
          <w:b w:val="1"/>
          <w:bCs w:val="1"/>
          <w:color w:val="auto"/>
        </w:rPr>
        <w:t>Relief</w:t>
      </w:r>
      <w:r>
        <w:rPr>
          <w:rFonts w:ascii="Arial" w:cs="Arial" w:eastAsia="Arial" w:hAnsi="Arial"/>
          <w:sz w:val="18"/>
          <w:szCs w:val="18"/>
          <w:color w:val="auto"/>
        </w:rPr>
        <w:t>. You agree that it would be difficult to measure any damages caused to the Company which might result from your breach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665"/>
        </w:numPr>
        <w:rPr>
          <w:rFonts w:ascii="Arial" w:cs="Arial" w:eastAsia="Arial" w:hAnsi="Arial"/>
          <w:sz w:val="18"/>
          <w:szCs w:val="18"/>
          <w:b w:val="1"/>
          <w:bCs w:val="1"/>
          <w:color w:val="auto"/>
        </w:rPr>
      </w:pPr>
      <w:r>
        <w:rPr>
          <w:rFonts w:ascii="Arial" w:cs="Arial" w:eastAsia="Arial" w:hAnsi="Arial"/>
          <w:sz w:val="18"/>
          <w:szCs w:val="18"/>
          <w:b w:val="1"/>
          <w:bCs w:val="1"/>
          <w:color w:val="auto"/>
        </w:rPr>
        <w:t>Golden Parachute Taxes.</w:t>
      </w:r>
    </w:p>
    <w:p>
      <w:pPr>
        <w:spacing w:after="0" w:line="130" w:lineRule="exact"/>
        <w:rPr>
          <w:rFonts w:ascii="Arial" w:cs="Arial" w:eastAsia="Arial" w:hAnsi="Arial"/>
          <w:sz w:val="18"/>
          <w:szCs w:val="18"/>
          <w:b w:val="1"/>
          <w:bCs w:val="1"/>
          <w:color w:val="auto"/>
        </w:rPr>
      </w:pPr>
    </w:p>
    <w:p>
      <w:pPr>
        <w:ind w:left="964" w:hanging="532"/>
        <w:spacing w:after="0" w:line="270" w:lineRule="auto"/>
        <w:tabs>
          <w:tab w:leader="none" w:pos="964" w:val="left"/>
        </w:tabs>
        <w:numPr>
          <w:ilvl w:val="1"/>
          <w:numId w:val="665"/>
        </w:numPr>
        <w:rPr>
          <w:rFonts w:ascii="Arial" w:cs="Arial" w:eastAsia="Arial" w:hAnsi="Arial"/>
          <w:sz w:val="17"/>
          <w:szCs w:val="17"/>
          <w:color w:val="auto"/>
        </w:rPr>
      </w:pPr>
      <w:r>
        <w:rPr>
          <w:rFonts w:ascii="Arial" w:cs="Arial" w:eastAsia="Arial" w:hAnsi="Arial"/>
          <w:sz w:val="17"/>
          <w:szCs w:val="17"/>
          <w:b w:val="1"/>
          <w:bCs w:val="1"/>
          <w:color w:val="auto"/>
        </w:rPr>
        <w:t>Best After-Tax Result</w:t>
      </w:r>
      <w:r>
        <w:rPr>
          <w:rFonts w:ascii="Arial" w:cs="Arial" w:eastAsia="Arial" w:hAnsi="Arial"/>
          <w:sz w:val="17"/>
          <w:szCs w:val="17"/>
          <w:color w:val="auto"/>
        </w:rPr>
        <w:t>. In the event that any payment or benefit received or to be received by you pursuant to this Agreement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Payments</w:t>
      </w:r>
      <w:r>
        <w:rPr>
          <w:rFonts w:ascii="Arial" w:cs="Arial" w:eastAsia="Arial" w:hAnsi="Arial"/>
          <w:sz w:val="17"/>
          <w:szCs w:val="17"/>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7"/>
          <w:szCs w:val="17"/>
          <w:u w:val="single" w:color="auto"/>
          <w:color w:val="auto"/>
        </w:rPr>
        <w:t>Excise Tax</w:t>
      </w:r>
      <w:r>
        <w:rPr>
          <w:rFonts w:ascii="Arial" w:cs="Arial" w:eastAsia="Arial" w:hAnsi="Arial"/>
          <w:sz w:val="17"/>
          <w:szCs w:val="17"/>
          <w:color w:val="auto"/>
        </w:rPr>
        <w:t>”), then, subject to the provisions of Section 14,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3103245" cy="15430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1">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64"/>
          </w:cols>
          <w:pgMar w:left="436" w:top="868" w:right="499" w:bottom="1440" w:gutter="0" w:footer="0" w:header="0"/>
        </w:sectPr>
      </w:pPr>
    </w:p>
    <w:bookmarkStart w:id="685" w:name="page686"/>
    <w:bookmarkEnd w:id="685"/>
    <w:p>
      <w:pPr>
        <w:ind w:left="552"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3">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and you otherwise agree in writing, any determination required under this Section shall be made by independent tax counsel designated by the Company and reasonably acceptable to you (“</w:t>
      </w:r>
      <w:r>
        <w:rPr>
          <w:rFonts w:ascii="Arial" w:cs="Arial" w:eastAsia="Arial" w:hAnsi="Arial"/>
          <w:sz w:val="16"/>
          <w:szCs w:val="16"/>
          <w:u w:val="single" w:color="auto"/>
          <w:color w:val="auto"/>
        </w:rPr>
        <w:t>Independent Tax Counsel</w:t>
      </w:r>
      <w:r>
        <w:rPr>
          <w:rFonts w:ascii="Arial" w:cs="Arial" w:eastAsia="Arial" w:hAnsi="Arial"/>
          <w:sz w:val="16"/>
          <w:szCs w:val="16"/>
          <w:color w:val="auto"/>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rFonts w:ascii="Arial" w:cs="Arial" w:eastAsia="Arial" w:hAnsi="Arial"/>
          <w:sz w:val="16"/>
          <w:szCs w:val="16"/>
          <w:u w:val="single" w:color="auto"/>
          <w:color w:val="auto"/>
        </w:rPr>
        <w:t>Section 13(a)(ii)(B)</w:t>
      </w:r>
      <w:r>
        <w:rPr>
          <w:rFonts w:ascii="Arial" w:cs="Arial" w:eastAsia="Arial" w:hAnsi="Arial"/>
          <w:sz w:val="16"/>
          <w:szCs w:val="16"/>
          <w:color w:val="auto"/>
        </w:rPr>
        <w:t xml:space="preserve">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rFonts w:ascii="Arial" w:cs="Arial" w:eastAsia="Arial" w:hAnsi="Arial"/>
          <w:sz w:val="16"/>
          <w:szCs w:val="16"/>
          <w:u w:val="single" w:color="auto"/>
          <w:color w:val="auto"/>
        </w:rPr>
        <w:t>IRS</w:t>
      </w:r>
      <w:r>
        <w:rPr>
          <w:rFonts w:ascii="Arial" w:cs="Arial" w:eastAsia="Arial" w:hAnsi="Arial"/>
          <w:sz w:val="16"/>
          <w:szCs w:val="16"/>
          <w:color w:val="auto"/>
        </w:rPr>
        <w:t xml:space="preserve">”) determines that any Payment is subject to the Excise Tax, then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hereof shall apply, and the enforcement of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shall be the exclusive remedy to the Company.</w:t>
      </w:r>
    </w:p>
    <w:p>
      <w:pPr>
        <w:spacing w:after="0" w:line="75" w:lineRule="exact"/>
        <w:rPr>
          <w:sz w:val="20"/>
          <w:szCs w:val="20"/>
          <w:color w:val="auto"/>
        </w:rPr>
      </w:pPr>
    </w:p>
    <w:p>
      <w:pPr>
        <w:ind w:left="532" w:hanging="532"/>
        <w:spacing w:after="0" w:line="271" w:lineRule="auto"/>
        <w:tabs>
          <w:tab w:leader="none" w:pos="532" w:val="left"/>
        </w:tabs>
        <w:numPr>
          <w:ilvl w:val="0"/>
          <w:numId w:val="666"/>
        </w:numPr>
        <w:rPr>
          <w:rFonts w:ascii="Arial" w:cs="Arial" w:eastAsia="Arial" w:hAnsi="Arial"/>
          <w:sz w:val="17"/>
          <w:szCs w:val="17"/>
          <w:color w:val="auto"/>
        </w:rPr>
      </w:pPr>
      <w:r>
        <w:rPr>
          <w:rFonts w:ascii="Arial" w:cs="Arial" w:eastAsia="Arial" w:hAnsi="Arial"/>
          <w:sz w:val="17"/>
          <w:szCs w:val="17"/>
          <w:b w:val="1"/>
          <w:bCs w:val="1"/>
          <w:color w:val="auto"/>
        </w:rPr>
        <w:t>Adjustments</w:t>
      </w:r>
      <w:r>
        <w:rPr>
          <w:rFonts w:ascii="Arial" w:cs="Arial" w:eastAsia="Arial" w:hAnsi="Arial"/>
          <w:sz w:val="17"/>
          <w:szCs w:val="17"/>
          <w:color w:val="auto"/>
        </w:rPr>
        <w:t>. If, notwithstanding any reduction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13(a)</w:t>
      </w:r>
      <w:r>
        <w:rPr>
          <w:rFonts w:ascii="Arial" w:cs="Arial" w:eastAsia="Arial" w:hAnsi="Arial"/>
          <w:sz w:val="17"/>
          <w:szCs w:val="17"/>
          <w:b w:val="1"/>
          <w:bCs w:val="1"/>
          <w:color w:val="auto"/>
        </w:rPr>
        <w:t xml:space="preserve"> </w:t>
      </w:r>
      <w:r>
        <w:rPr>
          <w:rFonts w:ascii="Arial" w:cs="Arial" w:eastAsia="Arial" w:hAnsi="Arial"/>
          <w:sz w:val="17"/>
          <w:szCs w:val="17"/>
          <w:color w:val="auto"/>
        </w:rPr>
        <w:t>hereof (or in the absence of any such reduction), the IRS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determines that you are liable for the Excise Tax as a result of the receipt of one or more Payments, then you shall be obligated to surrender or pay back to the Company within one-hundred 120 days after a final IRS determination, an amount of such payments or benefits equal to the “</w:t>
      </w:r>
      <w:r>
        <w:rPr>
          <w:rFonts w:ascii="Arial" w:cs="Arial" w:eastAsia="Arial" w:hAnsi="Arial"/>
          <w:sz w:val="17"/>
          <w:szCs w:val="17"/>
          <w:u w:val="single" w:color="auto"/>
          <w:color w:val="auto"/>
        </w:rPr>
        <w:t>Repayment Amount</w:t>
      </w:r>
      <w:r>
        <w:rPr>
          <w:rFonts w:ascii="Arial" w:cs="Arial" w:eastAsia="Arial" w:hAnsi="Arial"/>
          <w:sz w:val="17"/>
          <w:szCs w:val="17"/>
          <w:color w:val="auto"/>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rFonts w:ascii="Arial" w:cs="Arial" w:eastAsia="Arial" w:hAnsi="Arial"/>
          <w:sz w:val="17"/>
          <w:szCs w:val="17"/>
          <w:u w:val="single" w:color="auto"/>
          <w:color w:val="auto"/>
        </w:rPr>
        <w:t>Section 13(b)</w:t>
      </w:r>
      <w:r>
        <w:rPr>
          <w:rFonts w:ascii="Arial" w:cs="Arial" w:eastAsia="Arial" w:hAnsi="Arial"/>
          <w:sz w:val="17"/>
          <w:szCs w:val="17"/>
          <w:color w:val="auto"/>
        </w:rPr>
        <w:t>, you shall pay the Excise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78740</wp:posOffset>
            </wp:positionV>
            <wp:extent cx="3103245" cy="154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4">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572"/>
          </w:cols>
          <w:pgMar w:left="868" w:top="868" w:right="459" w:bottom="1440" w:gutter="0" w:footer="0" w:header="0"/>
        </w:sectPr>
      </w:pPr>
    </w:p>
    <w:bookmarkStart w:id="686" w:name="page687"/>
    <w:bookmarkEnd w:id="686"/>
    <w:p>
      <w:pPr>
        <w:ind w:left="424" w:hanging="424"/>
        <w:spacing w:after="0"/>
        <w:tabs>
          <w:tab w:leader="none" w:pos="424" w:val="left"/>
        </w:tabs>
        <w:numPr>
          <w:ilvl w:val="0"/>
          <w:numId w:val="6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6">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Section 409A.</w:t>
      </w:r>
    </w:p>
    <w:p>
      <w:pPr>
        <w:spacing w:after="0" w:line="134" w:lineRule="exact"/>
        <w:rPr>
          <w:rFonts w:ascii="Arial" w:cs="Arial" w:eastAsia="Arial" w:hAnsi="Arial"/>
          <w:sz w:val="18"/>
          <w:szCs w:val="18"/>
          <w:b w:val="1"/>
          <w:bCs w:val="1"/>
          <w:color w:val="auto"/>
        </w:rPr>
      </w:pPr>
    </w:p>
    <w:p>
      <w:pPr>
        <w:ind w:left="964" w:right="80" w:hanging="532"/>
        <w:spacing w:after="0" w:line="284" w:lineRule="auto"/>
        <w:tabs>
          <w:tab w:leader="none" w:pos="964" w:val="left"/>
        </w:tabs>
        <w:numPr>
          <w:ilvl w:val="1"/>
          <w:numId w:val="667"/>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w:t>
      </w:r>
    </w:p>
    <w:p>
      <w:pPr>
        <w:spacing w:after="0" w:line="4" w:lineRule="exact"/>
        <w:rPr>
          <w:rFonts w:ascii="Arial" w:cs="Arial" w:eastAsia="Arial" w:hAnsi="Arial"/>
          <w:sz w:val="16"/>
          <w:szCs w:val="16"/>
          <w:color w:val="auto"/>
        </w:rPr>
      </w:pPr>
    </w:p>
    <w:p>
      <w:pPr>
        <w:ind w:left="964" w:right="180"/>
        <w:spacing w:after="0" w:line="277" w:lineRule="auto"/>
        <w:rPr>
          <w:rFonts w:ascii="Arial" w:cs="Arial" w:eastAsia="Arial" w:hAnsi="Arial"/>
          <w:sz w:val="16"/>
          <w:szCs w:val="16"/>
          <w:color w:val="auto"/>
        </w:rPr>
      </w:pPr>
      <w:r>
        <w:rPr>
          <w:rFonts w:ascii="Arial" w:cs="Arial" w:eastAsia="Arial" w:hAnsi="Arial"/>
          <w:sz w:val="17"/>
          <w:szCs w:val="17"/>
          <w:color w:val="auto"/>
        </w:rPr>
        <w:t>(B) your death. If any such delayed cash payment is otherwise payable on an installment basis, the first payment shall include a catch-up payment covering amounts that would otherwise have been paid during the six-month period but for the application of this provision (without interest), and the balance of the installments shall be payable in accordance with their original schedule.</w:t>
      </w:r>
    </w:p>
    <w:p>
      <w:pPr>
        <w:spacing w:after="0" w:line="78" w:lineRule="exact"/>
        <w:rPr>
          <w:rFonts w:ascii="Arial" w:cs="Arial" w:eastAsia="Arial" w:hAnsi="Arial"/>
          <w:sz w:val="16"/>
          <w:szCs w:val="16"/>
          <w:color w:val="auto"/>
        </w:rPr>
      </w:pPr>
    </w:p>
    <w:p>
      <w:pPr>
        <w:ind w:left="964" w:hanging="532"/>
        <w:spacing w:after="0" w:line="254" w:lineRule="auto"/>
        <w:tabs>
          <w:tab w:leader="none" w:pos="964"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00" w:lineRule="exact"/>
        <w:rPr>
          <w:rFonts w:ascii="Arial" w:cs="Arial" w:eastAsia="Arial" w:hAnsi="Arial"/>
          <w:sz w:val="18"/>
          <w:szCs w:val="18"/>
          <w:color w:val="auto"/>
        </w:rPr>
      </w:pPr>
    </w:p>
    <w:p>
      <w:pPr>
        <w:ind w:left="964" w:hanging="532"/>
        <w:spacing w:after="0"/>
        <w:tabs>
          <w:tab w:leader="none" w:pos="964" w:val="left"/>
        </w:tabs>
        <w:numPr>
          <w:ilvl w:val="1"/>
          <w:numId w:val="667"/>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w:t>
      </w:r>
    </w:p>
    <w:p>
      <w:pPr>
        <w:spacing w:after="0" w:line="34" w:lineRule="exact"/>
        <w:rPr>
          <w:rFonts w:ascii="Arial" w:cs="Arial" w:eastAsia="Arial" w:hAnsi="Arial"/>
          <w:sz w:val="17"/>
          <w:szCs w:val="17"/>
          <w:color w:val="auto"/>
        </w:rPr>
      </w:pPr>
    </w:p>
    <w:p>
      <w:pPr>
        <w:ind w:left="964"/>
        <w:spacing w:after="0" w:line="302" w:lineRule="auto"/>
        <w:rPr>
          <w:rFonts w:ascii="Arial" w:cs="Arial" w:eastAsia="Arial" w:hAnsi="Arial"/>
          <w:sz w:val="17"/>
          <w:szCs w:val="17"/>
          <w:color w:val="auto"/>
        </w:rPr>
      </w:pPr>
      <w:r>
        <w:rPr>
          <w:rFonts w:ascii="Arial" w:cs="Arial" w:eastAsia="Arial" w:hAnsi="Arial"/>
          <w:sz w:val="16"/>
          <w:szCs w:val="16"/>
          <w:color w:val="auto"/>
        </w:rPr>
        <w:t>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3103245" cy="15430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7">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84"/>
          </w:cols>
          <w:pgMar w:left="436" w:top="864" w:right="479" w:bottom="1440" w:gutter="0" w:footer="0" w:header="0"/>
        </w:sectPr>
      </w:pPr>
    </w:p>
    <w:bookmarkStart w:id="687" w:name="page688"/>
    <w:bookmarkEnd w:id="687"/>
    <w:p>
      <w:pPr>
        <w:ind w:left="964" w:hanging="532"/>
        <w:spacing w:after="0" w:line="293" w:lineRule="auto"/>
        <w:tabs>
          <w:tab w:leader="none" w:pos="964" w:val="left"/>
        </w:tabs>
        <w:numPr>
          <w:ilvl w:val="1"/>
          <w:numId w:val="6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9">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69" w:lineRule="exact"/>
        <w:rPr>
          <w:rFonts w:ascii="Arial" w:cs="Arial" w:eastAsia="Arial" w:hAnsi="Arial"/>
          <w:sz w:val="16"/>
          <w:szCs w:val="16"/>
          <w:color w:val="auto"/>
        </w:rPr>
      </w:pPr>
    </w:p>
    <w:p>
      <w:pPr>
        <w:ind w:left="964" w:right="40" w:hanging="532"/>
        <w:spacing w:after="0" w:line="263" w:lineRule="auto"/>
        <w:tabs>
          <w:tab w:leader="none" w:pos="964" w:val="left"/>
        </w:tabs>
        <w:numPr>
          <w:ilvl w:val="1"/>
          <w:numId w:val="668"/>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9" w:lineRule="exact"/>
        <w:rPr>
          <w:rFonts w:ascii="Arial" w:cs="Arial" w:eastAsia="Arial" w:hAnsi="Arial"/>
          <w:sz w:val="18"/>
          <w:szCs w:val="18"/>
          <w:color w:val="auto"/>
        </w:rPr>
      </w:pPr>
    </w:p>
    <w:p>
      <w:pPr>
        <w:ind w:left="4" w:hanging="4"/>
        <w:spacing w:after="0" w:line="261" w:lineRule="auto"/>
        <w:tabs>
          <w:tab w:leader="none" w:pos="274" w:val="left"/>
        </w:tabs>
        <w:numPr>
          <w:ilvl w:val="0"/>
          <w:numId w:val="66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 Effect</w:t>
      </w:r>
      <w:r>
        <w:rPr>
          <w:rFonts w:ascii="Arial" w:cs="Arial" w:eastAsia="Arial" w:hAnsi="Arial"/>
          <w:sz w:val="18"/>
          <w:szCs w:val="18"/>
          <w:color w:val="auto"/>
        </w:rPr>
        <w:t>. All forms of compensation referred to in this Agreement are subject to reduction to reflect applicable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79" w:lineRule="exact"/>
        <w:rPr>
          <w:rFonts w:ascii="Arial" w:cs="Arial" w:eastAsia="Arial" w:hAnsi="Arial"/>
          <w:sz w:val="18"/>
          <w:szCs w:val="18"/>
          <w:b w:val="1"/>
          <w:bCs w:val="1"/>
          <w:color w:val="auto"/>
        </w:rPr>
      </w:pPr>
    </w:p>
    <w:p>
      <w:pPr>
        <w:ind w:left="4" w:right="100" w:hanging="4"/>
        <w:spacing w:after="0" w:line="261" w:lineRule="auto"/>
        <w:tabs>
          <w:tab w:leader="none" w:pos="274" w:val="left"/>
        </w:tabs>
        <w:numPr>
          <w:ilvl w:val="0"/>
          <w:numId w:val="669"/>
        </w:numPr>
        <w:rPr>
          <w:rFonts w:ascii="Arial" w:cs="Arial" w:eastAsia="Arial" w:hAnsi="Arial"/>
          <w:sz w:val="18"/>
          <w:szCs w:val="18"/>
          <w:b w:val="1"/>
          <w:bCs w:val="1"/>
          <w:color w:val="auto"/>
        </w:rPr>
      </w:pPr>
      <w:r>
        <w:rPr>
          <w:rFonts w:ascii="Arial" w:cs="Arial" w:eastAsia="Arial" w:hAnsi="Arial"/>
          <w:sz w:val="18"/>
          <w:szCs w:val="18"/>
          <w:b w:val="1"/>
          <w:bCs w:val="1"/>
          <w:color w:val="auto"/>
        </w:rPr>
        <w:t>Recoupment</w:t>
      </w:r>
      <w:r>
        <w:rPr>
          <w:rFonts w:ascii="Arial" w:cs="Arial" w:eastAsia="Arial" w:hAnsi="Arial"/>
          <w:sz w:val="18"/>
          <w:szCs w:val="18"/>
          <w:color w:val="auto"/>
        </w:rPr>
        <w:t>. Amounts paid or payable under this Agreement shall be subject to the provisions of any applicable clawback or recoupment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or procedures adopted by the Company, which clawback or recoupment policies may provide for forfeiture and/or recoupment of amounts paid or payable under this Agreement. No forfeiture or recoupment under such policies or procedures will give rise to a right to resign for Good Reason or under any agreement between you and the Company.</w:t>
      </w:r>
    </w:p>
    <w:p>
      <w:pPr>
        <w:spacing w:after="0" w:line="179" w:lineRule="exact"/>
        <w:rPr>
          <w:rFonts w:ascii="Arial" w:cs="Arial" w:eastAsia="Arial" w:hAnsi="Arial"/>
          <w:sz w:val="18"/>
          <w:szCs w:val="18"/>
          <w:b w:val="1"/>
          <w:bCs w:val="1"/>
          <w:color w:val="auto"/>
        </w:rPr>
      </w:pPr>
    </w:p>
    <w:p>
      <w:pPr>
        <w:ind w:left="4" w:right="40" w:hanging="4"/>
        <w:spacing w:after="0" w:line="272" w:lineRule="auto"/>
        <w:tabs>
          <w:tab w:leader="none" w:pos="274" w:val="left"/>
        </w:tabs>
        <w:numPr>
          <w:ilvl w:val="0"/>
          <w:numId w:val="669"/>
        </w:numPr>
        <w:rPr>
          <w:rFonts w:ascii="Arial" w:cs="Arial" w:eastAsia="Arial" w:hAnsi="Arial"/>
          <w:sz w:val="17"/>
          <w:szCs w:val="17"/>
          <w:b w:val="1"/>
          <w:bCs w:val="1"/>
          <w:color w:val="auto"/>
        </w:rPr>
      </w:pPr>
      <w:r>
        <w:rPr>
          <w:rFonts w:ascii="Arial" w:cs="Arial" w:eastAsia="Arial" w:hAnsi="Arial"/>
          <w:sz w:val="17"/>
          <w:szCs w:val="17"/>
          <w:b w:val="1"/>
          <w:bCs w:val="1"/>
          <w:color w:val="auto"/>
        </w:rPr>
        <w:t>Interpretation and Enforcement</w:t>
      </w:r>
      <w:r>
        <w:rPr>
          <w:rFonts w:ascii="Arial" w:cs="Arial" w:eastAsia="Arial" w:hAnsi="Arial"/>
          <w:sz w:val="17"/>
          <w:szCs w:val="17"/>
          <w:color w:val="auto"/>
        </w:rPr>
        <w:t>. This Agreement, together with Appendix A and the EIACN Agreement, constitute the complete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you and the Company, contains all of the terms of your employment with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Arial" w:cs="Arial" w:eastAsia="Arial" w:hAnsi="Arial"/>
          <w:sz w:val="17"/>
          <w:szCs w:val="17"/>
          <w:u w:val="single" w:color="auto"/>
          <w:color w:val="auto"/>
        </w:rPr>
        <w:t>Disputes</w:t>
      </w:r>
      <w:r>
        <w:rPr>
          <w:rFonts w:ascii="Arial" w:cs="Arial" w:eastAsia="Arial" w:hAnsi="Arial"/>
          <w:sz w:val="17"/>
          <w:szCs w:val="17"/>
          <w:color w:val="auto"/>
        </w:rPr>
        <w:t>”) will be governed by federal law to the extent applicable and otherwise by California law, excluding laws relating to conflicts or choice of law and excluding Disputes arising in connection with any equity incentive plan, which shall be governed by the terms of the applicable equity incentive plan. You and the Company submit to the exclusive personal jurisdiction of the federal and state courts located in the Central District of California or in Los Angeles County, California in connection with any Dispute or any claim related to any Dispute, except for Disputes arising under any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3103245" cy="15430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0">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44"/>
          </w:cols>
          <w:pgMar w:left="436" w:top="868" w:right="519" w:bottom="1440" w:gutter="0" w:footer="0" w:header="0"/>
        </w:sectPr>
      </w:pPr>
    </w:p>
    <w:bookmarkStart w:id="688" w:name="page689"/>
    <w:bookmarkEnd w:id="688"/>
    <w:p>
      <w:pPr>
        <w:ind w:left="4" w:hanging="4"/>
        <w:spacing w:after="0" w:line="254" w:lineRule="auto"/>
        <w:tabs>
          <w:tab w:leader="none" w:pos="274"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2">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Assignment</w:t>
      </w:r>
      <w:r>
        <w:rPr>
          <w:rFonts w:ascii="Arial" w:cs="Arial" w:eastAsia="Arial" w:hAnsi="Arial"/>
          <w:sz w:val="18"/>
          <w:szCs w:val="18"/>
          <w:color w:val="auto"/>
        </w:rPr>
        <w:t>. Neither you nor the Company may make any assignment of this Agreement or any interest in it, by operation of law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the prior written consent of the other; provided, however,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Agreement solely as a result of such transaction. This Agreement shall inure to the benefit of and be binding upon you and the Company, and each of your and its respective successors, executors, administrators, heirs and permitted assigns.</w:t>
      </w:r>
    </w:p>
    <w:p>
      <w:pPr>
        <w:spacing w:after="0" w:line="191" w:lineRule="exact"/>
        <w:rPr>
          <w:rFonts w:ascii="Arial" w:cs="Arial" w:eastAsia="Arial" w:hAnsi="Arial"/>
          <w:sz w:val="18"/>
          <w:szCs w:val="18"/>
          <w:b w:val="1"/>
          <w:bCs w:val="1"/>
          <w:color w:val="auto"/>
        </w:rPr>
      </w:pPr>
    </w:p>
    <w:p>
      <w:pPr>
        <w:jc w:val="both"/>
        <w:ind w:left="4" w:right="120" w:hanging="4"/>
        <w:spacing w:after="0" w:line="281" w:lineRule="auto"/>
        <w:tabs>
          <w:tab w:leader="none" w:pos="274" w:val="left"/>
        </w:tabs>
        <w:numPr>
          <w:ilvl w:val="0"/>
          <w:numId w:val="670"/>
        </w:numPr>
        <w:rPr>
          <w:rFonts w:ascii="Arial" w:cs="Arial" w:eastAsia="Arial" w:hAnsi="Arial"/>
          <w:sz w:val="17"/>
          <w:szCs w:val="17"/>
          <w:b w:val="1"/>
          <w:bCs w:val="1"/>
          <w:color w:val="auto"/>
        </w:rPr>
      </w:pPr>
      <w:r>
        <w:rPr>
          <w:rFonts w:ascii="Arial" w:cs="Arial" w:eastAsia="Arial" w:hAnsi="Arial"/>
          <w:sz w:val="17"/>
          <w:szCs w:val="17"/>
          <w:b w:val="1"/>
          <w:bCs w:val="1"/>
          <w:color w:val="auto"/>
        </w:rPr>
        <w:t>Waiver; Amendment</w:t>
      </w:r>
      <w:r>
        <w:rPr>
          <w:rFonts w:ascii="Arial" w:cs="Arial" w:eastAsia="Arial" w:hAnsi="Arial"/>
          <w:sz w:val="17"/>
          <w:szCs w:val="17"/>
          <w:color w:val="auto"/>
        </w:rPr>
        <w:t>. No waiver of any provision hereof shall be effective unless made in writing and signed by the waiving party. The failure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w:t>
      </w:r>
    </w:p>
    <w:p>
      <w:pPr>
        <w:spacing w:after="0" w:line="164" w:lineRule="exact"/>
        <w:rPr>
          <w:rFonts w:ascii="Arial" w:cs="Arial" w:eastAsia="Arial" w:hAnsi="Arial"/>
          <w:sz w:val="17"/>
          <w:szCs w:val="17"/>
          <w:b w:val="1"/>
          <w:bCs w:val="1"/>
          <w:color w:val="auto"/>
        </w:rPr>
      </w:pPr>
    </w:p>
    <w:p>
      <w:pPr>
        <w:ind w:left="4" w:right="260" w:hanging="4"/>
        <w:spacing w:after="0" w:line="281" w:lineRule="auto"/>
        <w:tabs>
          <w:tab w:leader="none" w:pos="274" w:val="left"/>
        </w:tabs>
        <w:numPr>
          <w:ilvl w:val="0"/>
          <w:numId w:val="670"/>
        </w:numPr>
        <w:rPr>
          <w:rFonts w:ascii="Arial" w:cs="Arial" w:eastAsia="Arial" w:hAnsi="Arial"/>
          <w:sz w:val="17"/>
          <w:szCs w:val="17"/>
          <w:b w:val="1"/>
          <w:bCs w:val="1"/>
          <w:color w:val="auto"/>
        </w:rPr>
      </w:pPr>
      <w:r>
        <w:rPr>
          <w:rFonts w:ascii="Arial" w:cs="Arial" w:eastAsia="Arial" w:hAnsi="Arial"/>
          <w:sz w:val="17"/>
          <w:szCs w:val="17"/>
          <w:b w:val="1"/>
          <w:bCs w:val="1"/>
          <w:color w:val="auto"/>
        </w:rPr>
        <w:t>Enforceability</w:t>
      </w:r>
      <w:r>
        <w:rPr>
          <w:rFonts w:ascii="Arial" w:cs="Arial" w:eastAsia="Arial" w:hAnsi="Arial"/>
          <w:sz w:val="17"/>
          <w:szCs w:val="17"/>
          <w:color w:val="auto"/>
        </w:rPr>
        <w:t>. If any portion or provision of this Agreement (including, without limitation, any portion or provision of any section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4" w:lineRule="exact"/>
        <w:rPr>
          <w:rFonts w:ascii="Arial" w:cs="Arial" w:eastAsia="Arial" w:hAnsi="Arial"/>
          <w:sz w:val="17"/>
          <w:szCs w:val="17"/>
          <w:b w:val="1"/>
          <w:bCs w:val="1"/>
          <w:color w:val="auto"/>
        </w:rPr>
      </w:pPr>
    </w:p>
    <w:p>
      <w:pPr>
        <w:ind w:left="4" w:right="220" w:hanging="4"/>
        <w:spacing w:after="0" w:line="266" w:lineRule="auto"/>
        <w:tabs>
          <w:tab w:leader="none" w:pos="274"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You must submit satisfactory proof of your identity, successfully complete a criminal background check, which you hereby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 by your execution of this Agreement, and provide documentation of your legal authorization to work in the United States on or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3103245" cy="15430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3">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64" w:right="459" w:bottom="1440" w:gutter="0" w:footer="0" w:header="0"/>
        </w:sectPr>
      </w:pPr>
    </w:p>
    <w:bookmarkStart w:id="689" w:name="page690"/>
    <w:bookmarkEnd w:id="689"/>
    <w:p>
      <w:pPr>
        <w:jc w:val="both"/>
        <w:ind w:left="4" w:hanging="4"/>
        <w:spacing w:after="0" w:line="303" w:lineRule="auto"/>
        <w:tabs>
          <w:tab w:leader="none" w:pos="274" w:val="left"/>
        </w:tabs>
        <w:numPr>
          <w:ilvl w:val="0"/>
          <w:numId w:val="67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5">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 xml:space="preserve">Employee Representations. </w:t>
      </w:r>
      <w:r>
        <w:rPr>
          <w:rFonts w:ascii="Arial" w:cs="Arial" w:eastAsia="Arial" w:hAnsi="Arial"/>
          <w:sz w:val="16"/>
          <w:szCs w:val="16"/>
          <w:color w:val="auto"/>
        </w:rPr>
        <w:t>It is the policy of the Company not to solicit or accept proprietary information and / or trade secrets of other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or 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w:t>
      </w:r>
    </w:p>
    <w:p>
      <w:pPr>
        <w:spacing w:after="0" w:line="155" w:lineRule="exact"/>
        <w:rPr>
          <w:sz w:val="20"/>
          <w:szCs w:val="20"/>
          <w:color w:val="auto"/>
        </w:rPr>
      </w:pPr>
    </w:p>
    <w:p>
      <w:pPr>
        <w:ind w:left="4" w:right="100"/>
        <w:spacing w:after="0" w:line="272" w:lineRule="auto"/>
        <w:rPr>
          <w:sz w:val="20"/>
          <w:szCs w:val="20"/>
          <w:color w:val="auto"/>
        </w:rPr>
      </w:pPr>
      <w:r>
        <w:rPr>
          <w:rFonts w:ascii="Arial" w:cs="Arial" w:eastAsia="Arial" w:hAnsi="Arial"/>
          <w:sz w:val="17"/>
          <w:szCs w:val="17"/>
          <w:color w:val="auto"/>
        </w:rPr>
        <w:t>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w:t>
      </w:r>
    </w:p>
    <w:p>
      <w:pPr>
        <w:spacing w:after="0" w:line="173" w:lineRule="exact"/>
        <w:rPr>
          <w:sz w:val="20"/>
          <w:szCs w:val="20"/>
          <w:color w:val="auto"/>
        </w:rPr>
      </w:pPr>
    </w:p>
    <w:p>
      <w:pPr>
        <w:ind w:left="4" w:right="20" w:hanging="4"/>
        <w:spacing w:after="0" w:line="258" w:lineRule="auto"/>
        <w:tabs>
          <w:tab w:leader="none" w:pos="274" w:val="left"/>
        </w:tabs>
        <w:numPr>
          <w:ilvl w:val="0"/>
          <w:numId w:val="672"/>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w:t>
      </w:r>
      <w:r>
        <w:rPr>
          <w:rFonts w:ascii="Arial" w:cs="Arial" w:eastAsia="Arial" w:hAnsi="Arial"/>
          <w:sz w:val="18"/>
          <w:szCs w:val="18"/>
          <w:color w:val="auto"/>
        </w:rPr>
        <w:t>. The provisions of this Agreement shall survive the termination of this Agreement and/or the termination of your employment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I look forward to working with you to make the Company a great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3103245" cy="15430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6">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84"/>
          </w:cols>
          <w:pgMar w:left="436" w:top="864" w:right="479" w:bottom="1440" w:gutter="0" w:footer="0" w:header="0"/>
        </w:sectPr>
      </w:pPr>
    </w:p>
    <w:bookmarkStart w:id="690" w:name="page691"/>
    <w:bookmarkEnd w:id="6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8">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Cameron Turtle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Cameron Turtle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Title: Chief Operating Officer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Accepted and acknowledged: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Scott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Burrows</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3103245" cy="15430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1">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019"/>
          </w:cols>
          <w:pgMar w:left="440" w:top="868" w:right="1440" w:bottom="1440" w:gutter="0" w:footer="0" w:header="0"/>
        </w:sectPr>
      </w:pPr>
    </w:p>
    <w:bookmarkStart w:id="691" w:name="page692"/>
    <w:bookmarkEnd w:id="691"/>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3">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Appendix A</w:t>
      </w:r>
    </w:p>
    <w:p>
      <w:pPr>
        <w:spacing w:after="0" w:line="121" w:lineRule="exact"/>
        <w:rPr>
          <w:sz w:val="20"/>
          <w:szCs w:val="20"/>
          <w:color w:val="auto"/>
        </w:rPr>
      </w:pPr>
    </w:p>
    <w:p>
      <w:pPr>
        <w:ind w:left="4" w:hanging="4"/>
        <w:spacing w:after="0" w:line="290" w:lineRule="auto"/>
        <w:tabs>
          <w:tab w:leader="none" w:pos="184" w:val="left"/>
        </w:tabs>
        <w:numPr>
          <w:ilvl w:val="0"/>
          <w:numId w:val="6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lawful assigned duties and responsibilities to the reasonable satisfaction of the Board, which failure continues, in the reasonable judgment of the Board, for 30 days after written notice given to you describing such failure; (iv) your gross negligence, willful misconduct that results in or is reasonably anticipated to result in material harm to the Company; or (v) your violation of any material provision of any agreement(s) between you and the Company or any written Company policies including, without limitation, agreements relating to non-solicitation, non-disclosure and/or assignment of inventions or policies related to ethics or workplace conduct.</w:t>
      </w:r>
    </w:p>
    <w:p>
      <w:pPr>
        <w:spacing w:after="0" w:line="165" w:lineRule="exact"/>
        <w:rPr>
          <w:rFonts w:ascii="Arial" w:cs="Arial" w:eastAsia="Arial" w:hAnsi="Arial"/>
          <w:sz w:val="16"/>
          <w:szCs w:val="16"/>
          <w:color w:val="auto"/>
        </w:rPr>
      </w:pPr>
    </w:p>
    <w:p>
      <w:pPr>
        <w:ind w:left="4" w:right="140" w:hanging="4"/>
        <w:spacing w:after="0" w:line="277" w:lineRule="auto"/>
        <w:tabs>
          <w:tab w:leader="none" w:pos="18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provided for the term “Corporate Transaction” under the Company’s 2016 Equity Incentive Plan (or the meaning provided to any word of similar import under any successor plan).</w:t>
      </w:r>
    </w:p>
    <w:p>
      <w:pPr>
        <w:spacing w:after="0" w:line="170" w:lineRule="exact"/>
        <w:rPr>
          <w:rFonts w:ascii="Arial" w:cs="Arial" w:eastAsia="Arial" w:hAnsi="Arial"/>
          <w:sz w:val="18"/>
          <w:szCs w:val="18"/>
          <w:color w:val="auto"/>
        </w:rPr>
      </w:pPr>
    </w:p>
    <w:p>
      <w:pPr>
        <w:ind w:left="4" w:right="200" w:hanging="4"/>
        <w:spacing w:after="0" w:line="277" w:lineRule="auto"/>
        <w:tabs>
          <w:tab w:leader="none" w:pos="18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shall mean the period commencing three months prior to the first event constituting a Change in Control and ending 12 months following the first event constituting a Change in Control.</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permanent and total disability as defined in Section 22(e) (3) of the Code.</w:t>
      </w:r>
    </w:p>
    <w:p>
      <w:pPr>
        <w:spacing w:after="0" w:line="225" w:lineRule="exact"/>
        <w:rPr>
          <w:rFonts w:ascii="Arial" w:cs="Arial" w:eastAsia="Arial" w:hAnsi="Arial"/>
          <w:sz w:val="18"/>
          <w:szCs w:val="18"/>
          <w:color w:val="auto"/>
        </w:rPr>
      </w:pPr>
    </w:p>
    <w:p>
      <w:pPr>
        <w:ind w:left="4" w:right="40" w:hanging="4"/>
        <w:spacing w:after="0" w:line="254" w:lineRule="auto"/>
        <w:tabs>
          <w:tab w:leader="none" w:pos="184" w:val="left"/>
        </w:tabs>
        <w:numPr>
          <w:ilvl w:val="0"/>
          <w:numId w:val="6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from your then-current residence; (iii) a material reduction in your duties, authority or responsibilities; (iv) the failure of the Company to obtain the assumption of this Agreement by a successor; or (v) the material breach of this Agreement (or any other agreements with you)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3103245" cy="15430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4">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1004"/>
          </w:cols>
          <w:pgMar w:left="436" w:top="864" w:right="459" w:bottom="1440" w:gutter="0" w:footer="0" w:header="0"/>
        </w:sectPr>
      </w:pPr>
    </w:p>
    <w:bookmarkStart w:id="692" w:name="page693"/>
    <w:bookmarkEnd w:id="692"/>
    <w:p>
      <w:pPr>
        <w:ind w:left="4" w:hanging="4"/>
        <w:spacing w:after="0" w:line="287" w:lineRule="auto"/>
        <w:tabs>
          <w:tab w:leader="none" w:pos="184" w:val="left"/>
        </w:tabs>
        <w:numPr>
          <w:ilvl w:val="0"/>
          <w:numId w:val="6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28257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6">
                      <a:clrChange>
                        <a:clrFrom>
                          <a:srgbClr val="FFFFFF"/>
                        </a:clrFrom>
                        <a:clrTo>
                          <a:srgbClr val="FFFFFF">
                            <a:alpha val="0"/>
                          </a:srgbClr>
                        </a:clrTo>
                      </a:clrChange>
                      <a:extLst>
                        <a:ext uri="{28A0092B-C50C-407E-A947-70E740481C1C}"/>
                      </a:extLst>
                    </a:blip>
                    <a:srcRect/>
                    <a:stretch>
                      <a:fillRect/>
                    </a:stretch>
                  </pic:blipFill>
                  <pic:spPr bwMode="auto">
                    <a:xfrm>
                      <a:off x="0" y="0"/>
                      <a:ext cx="848360" cy="282575"/>
                    </a:xfrm>
                    <a:prstGeom prst="rect">
                      <a:avLst/>
                    </a:prstGeom>
                    <a:noFill/>
                  </pic:spPr>
                </pic:pic>
              </a:graphicData>
            </a:graphic>
          </wp:anchor>
        </w:drawing>
        <w:t>“</w:t>
      </w:r>
      <w:r>
        <w:rPr>
          <w:rFonts w:ascii="Arial" w:cs="Arial" w:eastAsia="Arial" w:hAnsi="Arial"/>
          <w:sz w:val="16"/>
          <w:szCs w:val="16"/>
          <w:u w:val="single" w:color="auto"/>
          <w:color w:val="auto"/>
        </w:rPr>
        <w:t>Good Reason Process</w:t>
      </w:r>
      <w:r>
        <w:rPr>
          <w:rFonts w:ascii="Arial" w:cs="Arial" w:eastAsia="Arial" w:hAnsi="Arial"/>
          <w:sz w:val="16"/>
          <w:szCs w:val="16"/>
          <w:color w:val="auto"/>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rFonts w:ascii="Arial" w:cs="Arial" w:eastAsia="Arial" w:hAnsi="Arial"/>
          <w:sz w:val="16"/>
          <w:szCs w:val="16"/>
          <w:u w:val="single" w:color="auto"/>
          <w:color w:val="auto"/>
        </w:rPr>
        <w:t>Cure Period</w:t>
      </w:r>
      <w:r>
        <w:rPr>
          <w:rFonts w:ascii="Arial" w:cs="Arial" w:eastAsia="Arial" w:hAnsi="Arial"/>
          <w:sz w:val="16"/>
          <w:szCs w:val="16"/>
          <w:color w:val="auto"/>
        </w:rPr>
        <w:t>”), to remedy the condition;</w:t>
      </w:r>
    </w:p>
    <w:p>
      <w:pPr>
        <w:spacing w:after="0" w:line="2" w:lineRule="exact"/>
        <w:rPr>
          <w:rFonts w:ascii="Arial" w:cs="Arial" w:eastAsia="Arial" w:hAnsi="Arial"/>
          <w:sz w:val="16"/>
          <w:szCs w:val="16"/>
          <w:color w:val="auto"/>
        </w:rPr>
      </w:pPr>
    </w:p>
    <w:p>
      <w:pPr>
        <w:ind w:left="4"/>
        <w:spacing w:after="0" w:line="323" w:lineRule="auto"/>
        <w:rPr>
          <w:rFonts w:ascii="Arial" w:cs="Arial" w:eastAsia="Arial" w:hAnsi="Arial"/>
          <w:sz w:val="16"/>
          <w:szCs w:val="16"/>
          <w:color w:val="auto"/>
        </w:rPr>
      </w:pPr>
      <w:r>
        <w:rPr>
          <w:rFonts w:ascii="Arial" w:cs="Arial" w:eastAsia="Arial" w:hAnsi="Arial"/>
          <w:sz w:val="16"/>
          <w:szCs w:val="16"/>
          <w:color w:val="auto"/>
        </w:rPr>
        <w:t>(iv) notwithstanding such efforts, the Good Reason condition continues to exist; and (v) you terminate your employment within 30 days after the end of the Cure Period. If the Company cures the Good Reason condition during the Cure Period, Good Reason shall be deemed not to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3103245" cy="15430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7">
                      <a:extLst>
                        <a:ext uri="{28A0092B-C50C-407E-A947-70E740481C1C}"/>
                      </a:extLst>
                    </a:blip>
                    <a:srcRect/>
                    <a:stretch>
                      <a:fillRect/>
                    </a:stretch>
                  </pic:blipFill>
                  <pic:spPr bwMode="auto">
                    <a:xfrm>
                      <a:off x="0" y="0"/>
                      <a:ext cx="3103245" cy="154305"/>
                    </a:xfrm>
                    <a:prstGeom prst="rect">
                      <a:avLst/>
                    </a:prstGeom>
                    <a:noFill/>
                  </pic:spPr>
                </pic:pic>
              </a:graphicData>
            </a:graphic>
          </wp:anchor>
        </w:drawing>
      </w:r>
    </w:p>
    <w:p>
      <w:pPr>
        <w:sectPr>
          <w:pgSz w:w="11900" w:h="16838" w:orient="portrait"/>
          <w:cols w:equalWidth="0" w:num="1">
            <w:col w:w="10924"/>
          </w:cols>
          <w:pgMar w:left="436" w:top="868" w:right="539" w:bottom="1440" w:gutter="0" w:footer="0" w:header="0"/>
        </w:sectPr>
      </w:pPr>
    </w:p>
    <w:bookmarkStart w:id="693" w:name="page694"/>
    <w:bookmarkEnd w:id="693"/>
    <w:p>
      <w:pPr>
        <w:jc w:val="right"/>
        <w:spacing w:after="0"/>
        <w:rPr>
          <w:sz w:val="20"/>
          <w:szCs w:val="20"/>
          <w:color w:val="auto"/>
        </w:rPr>
      </w:pPr>
      <w:r>
        <w:rPr>
          <w:rFonts w:ascii="Arial" w:cs="Arial" w:eastAsia="Arial" w:hAnsi="Arial"/>
          <w:sz w:val="18"/>
          <w:szCs w:val="18"/>
          <w:b w:val="1"/>
          <w:bCs w:val="1"/>
          <w:color w:val="auto"/>
        </w:rPr>
        <w:t>Exhibit 10.21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July 27, 2023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AEGLEA BIOTHERAPEUTICS,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IMMEDICA PHARMA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694" w:name="page695"/>
    <w:bookmarkEnd w:id="694"/>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60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ARTICLE I PURCHASE PRICE</w:t>
            </w:r>
          </w:p>
        </w:tc>
        <w:tc>
          <w:tcPr>
            <w:tcW w:w="2440" w:type="dxa"/>
            <w:vAlign w:val="bottom"/>
            <w:gridSpan w:val="3"/>
          </w:tcPr>
          <w:p>
            <w:pPr>
              <w:ind w:left="208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224"/>
        </w:trPr>
        <w:tc>
          <w:tcPr>
            <w:tcW w:w="854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940" w:type="dxa"/>
            <w:vAlign w:val="bottom"/>
          </w:tcPr>
          <w:p>
            <w:pPr>
              <w:spacing w:after="0"/>
              <w:rPr>
                <w:sz w:val="20"/>
                <w:szCs w:val="20"/>
                <w:color w:val="auto"/>
              </w:rPr>
            </w:pPr>
            <w:r>
              <w:rPr>
                <w:rFonts w:ascii="Arial" w:cs="Arial" w:eastAsia="Arial" w:hAnsi="Arial"/>
                <w:sz w:val="18"/>
                <w:szCs w:val="18"/>
                <w:color w:val="auto"/>
              </w:rPr>
              <w:t>Section 1.1</w:t>
            </w:r>
          </w:p>
        </w:tc>
        <w:tc>
          <w:tcPr>
            <w:tcW w:w="7600" w:type="dxa"/>
            <w:vAlign w:val="bottom"/>
          </w:tcPr>
          <w:p>
            <w:pPr>
              <w:ind w:left="140"/>
              <w:spacing w:after="0"/>
              <w:rPr>
                <w:sz w:val="20"/>
                <w:szCs w:val="20"/>
                <w:color w:val="auto"/>
              </w:rPr>
            </w:pPr>
            <w:r>
              <w:rPr>
                <w:rFonts w:ascii="Arial" w:cs="Arial" w:eastAsia="Arial" w:hAnsi="Arial"/>
                <w:sz w:val="18"/>
                <w:szCs w:val="18"/>
                <w:color w:val="auto"/>
              </w:rPr>
              <w:t>Purchase Price</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Section 1.2</w:t>
            </w:r>
          </w:p>
        </w:tc>
        <w:tc>
          <w:tcPr>
            <w:tcW w:w="7600" w:type="dxa"/>
            <w:vAlign w:val="bottom"/>
          </w:tcPr>
          <w:p>
            <w:pPr>
              <w:ind w:left="140"/>
              <w:spacing w:after="0"/>
              <w:rPr>
                <w:sz w:val="20"/>
                <w:szCs w:val="20"/>
                <w:color w:val="auto"/>
              </w:rPr>
            </w:pPr>
            <w:r>
              <w:rPr>
                <w:rFonts w:ascii="Arial" w:cs="Arial" w:eastAsia="Arial" w:hAnsi="Arial"/>
                <w:sz w:val="18"/>
                <w:szCs w:val="18"/>
                <w:color w:val="auto"/>
              </w:rPr>
              <w:t>Milestone Payments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II PURCHASE AND SALE</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Section 2.1</w:t>
            </w:r>
          </w:p>
        </w:tc>
        <w:tc>
          <w:tcPr>
            <w:tcW w:w="7600" w:type="dxa"/>
            <w:vAlign w:val="bottom"/>
          </w:tcPr>
          <w:p>
            <w:pPr>
              <w:ind w:left="140"/>
              <w:spacing w:after="0"/>
              <w:rPr>
                <w:sz w:val="20"/>
                <w:szCs w:val="20"/>
                <w:color w:val="auto"/>
              </w:rPr>
            </w:pPr>
            <w:r>
              <w:rPr>
                <w:rFonts w:ascii="Arial" w:cs="Arial" w:eastAsia="Arial" w:hAnsi="Arial"/>
                <w:sz w:val="18"/>
                <w:szCs w:val="18"/>
                <w:color w:val="auto"/>
              </w:rPr>
              <w:t>Acquired Assets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2.2</w:t>
            </w:r>
          </w:p>
        </w:tc>
        <w:tc>
          <w:tcPr>
            <w:tcW w:w="7600" w:type="dxa"/>
            <w:vAlign w:val="bottom"/>
          </w:tcPr>
          <w:p>
            <w:pPr>
              <w:ind w:left="140"/>
              <w:spacing w:after="0"/>
              <w:rPr>
                <w:sz w:val="20"/>
                <w:szCs w:val="20"/>
                <w:color w:val="auto"/>
              </w:rPr>
            </w:pPr>
            <w:r>
              <w:rPr>
                <w:rFonts w:ascii="Arial" w:cs="Arial" w:eastAsia="Arial" w:hAnsi="Arial"/>
                <w:sz w:val="18"/>
                <w:szCs w:val="18"/>
                <w:color w:val="auto"/>
              </w:rPr>
              <w:t>Excluded Assets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Section 2.3   Assumption of Assumed Liabilities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2.4</w:t>
            </w:r>
          </w:p>
        </w:tc>
        <w:tc>
          <w:tcPr>
            <w:tcW w:w="7600" w:type="dxa"/>
            <w:vAlign w:val="bottom"/>
          </w:tcPr>
          <w:p>
            <w:pPr>
              <w:ind w:left="140"/>
              <w:spacing w:after="0"/>
              <w:rPr>
                <w:sz w:val="20"/>
                <w:szCs w:val="20"/>
                <w:color w:val="auto"/>
              </w:rPr>
            </w:pPr>
            <w:r>
              <w:rPr>
                <w:rFonts w:ascii="Arial" w:cs="Arial" w:eastAsia="Arial" w:hAnsi="Arial"/>
                <w:sz w:val="18"/>
                <w:szCs w:val="18"/>
                <w:color w:val="auto"/>
              </w:rPr>
              <w:t>Excluded Liabilities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2.5</w:t>
            </w:r>
          </w:p>
        </w:tc>
        <w:tc>
          <w:tcPr>
            <w:tcW w:w="7600" w:type="dxa"/>
            <w:vAlign w:val="bottom"/>
          </w:tcPr>
          <w:p>
            <w:pPr>
              <w:ind w:left="140"/>
              <w:spacing w:after="0"/>
              <w:rPr>
                <w:sz w:val="20"/>
                <w:szCs w:val="20"/>
                <w:color w:val="auto"/>
              </w:rPr>
            </w:pPr>
            <w:r>
              <w:rPr>
                <w:rFonts w:ascii="Arial" w:cs="Arial" w:eastAsia="Arial" w:hAnsi="Arial"/>
                <w:sz w:val="18"/>
                <w:szCs w:val="18"/>
                <w:color w:val="auto"/>
              </w:rPr>
              <w:t>Undisclosed Contracts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2.6</w:t>
            </w:r>
          </w:p>
        </w:tc>
        <w:tc>
          <w:tcPr>
            <w:tcW w:w="7600" w:type="dxa"/>
            <w:vAlign w:val="bottom"/>
          </w:tcPr>
          <w:p>
            <w:pPr>
              <w:ind w:left="140"/>
              <w:spacing w:after="0"/>
              <w:rPr>
                <w:sz w:val="20"/>
                <w:szCs w:val="20"/>
                <w:color w:val="auto"/>
              </w:rPr>
            </w:pPr>
            <w:r>
              <w:rPr>
                <w:rFonts w:ascii="Arial" w:cs="Arial" w:eastAsia="Arial" w:hAnsi="Arial"/>
                <w:sz w:val="18"/>
                <w:szCs w:val="18"/>
                <w:color w:val="auto"/>
              </w:rPr>
              <w:t>Non-Assignable Assets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2.7</w:t>
            </w:r>
          </w:p>
        </w:tc>
        <w:tc>
          <w:tcPr>
            <w:tcW w:w="7600" w:type="dxa"/>
            <w:vAlign w:val="bottom"/>
          </w:tcPr>
          <w:p>
            <w:pPr>
              <w:ind w:left="140"/>
              <w:spacing w:after="0"/>
              <w:rPr>
                <w:sz w:val="20"/>
                <w:szCs w:val="20"/>
                <w:color w:val="auto"/>
              </w:rPr>
            </w:pPr>
            <w:r>
              <w:rPr>
                <w:rFonts w:ascii="Arial" w:cs="Arial" w:eastAsia="Arial" w:hAnsi="Arial"/>
                <w:sz w:val="18"/>
                <w:szCs w:val="18"/>
                <w:color w:val="auto"/>
              </w:rPr>
              <w:t>Designated Buyer</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2.8   ADA Assay License</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III CLOSING</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Section 3.1</w:t>
            </w:r>
          </w:p>
        </w:tc>
        <w:tc>
          <w:tcPr>
            <w:tcW w:w="7600" w:type="dxa"/>
            <w:vAlign w:val="bottom"/>
          </w:tcPr>
          <w:p>
            <w:pPr>
              <w:ind w:left="140"/>
              <w:spacing w:after="0"/>
              <w:rPr>
                <w:sz w:val="20"/>
                <w:szCs w:val="20"/>
                <w:color w:val="auto"/>
              </w:rPr>
            </w:pPr>
            <w:r>
              <w:rPr>
                <w:rFonts w:ascii="Arial" w:cs="Arial" w:eastAsia="Arial" w:hAnsi="Arial"/>
                <w:sz w:val="18"/>
                <w:szCs w:val="18"/>
                <w:color w:val="auto"/>
              </w:rPr>
              <w:t>Closing</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Section 3.2   Deliveries by Aeglea</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Section 3.3   Deliveries by Immedica at the Closing</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Section 3.4   Additional Closing Deliveries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Section 3.5</w:t>
            </w:r>
          </w:p>
        </w:tc>
        <w:tc>
          <w:tcPr>
            <w:tcW w:w="7600" w:type="dxa"/>
            <w:vAlign w:val="bottom"/>
          </w:tcPr>
          <w:p>
            <w:pPr>
              <w:ind w:left="140"/>
              <w:spacing w:after="0"/>
              <w:rPr>
                <w:sz w:val="20"/>
                <w:szCs w:val="20"/>
                <w:color w:val="auto"/>
              </w:rPr>
            </w:pPr>
            <w:r>
              <w:rPr>
                <w:rFonts w:ascii="Arial" w:cs="Arial" w:eastAsia="Arial" w:hAnsi="Arial"/>
                <w:sz w:val="18"/>
                <w:szCs w:val="18"/>
                <w:color w:val="auto"/>
              </w:rPr>
              <w:t>Appointment</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AEGLEA</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8540" w:type="dxa"/>
            <w:vAlign w:val="bottom"/>
            <w:gridSpan w:val="2"/>
          </w:tcPr>
          <w:p>
            <w:pPr>
              <w:spacing w:after="0"/>
              <w:rPr>
                <w:sz w:val="20"/>
                <w:szCs w:val="20"/>
                <w:color w:val="auto"/>
              </w:rPr>
            </w:pPr>
            <w:r>
              <w:rPr>
                <w:rFonts w:ascii="Arial" w:cs="Arial" w:eastAsia="Arial" w:hAnsi="Arial"/>
                <w:sz w:val="18"/>
                <w:szCs w:val="18"/>
                <w:color w:val="auto"/>
              </w:rPr>
              <w:t>Section 4.1   Organization and Good Standing</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Section 4.2   Authorization of Agreement</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4.3</w:t>
            </w:r>
          </w:p>
        </w:tc>
        <w:tc>
          <w:tcPr>
            <w:tcW w:w="760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Section 4.4   Conflicts; Consents of Third Parties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4.5</w:t>
            </w:r>
          </w:p>
        </w:tc>
        <w:tc>
          <w:tcPr>
            <w:tcW w:w="7600" w:type="dxa"/>
            <w:vAlign w:val="bottom"/>
          </w:tcPr>
          <w:p>
            <w:pPr>
              <w:ind w:left="140"/>
              <w:spacing w:after="0"/>
              <w:rPr>
                <w:sz w:val="20"/>
                <w:szCs w:val="20"/>
                <w:color w:val="auto"/>
              </w:rPr>
            </w:pPr>
            <w:r>
              <w:rPr>
                <w:rFonts w:ascii="Arial" w:cs="Arial" w:eastAsia="Arial" w:hAnsi="Arial"/>
                <w:sz w:val="18"/>
                <w:szCs w:val="18"/>
                <w:color w:val="auto"/>
              </w:rPr>
              <w:t>Acquired Assets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Section 4.6   Transferred Product Registrations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Section 4.7</w:t>
            </w:r>
          </w:p>
        </w:tc>
        <w:tc>
          <w:tcPr>
            <w:tcW w:w="7600" w:type="dxa"/>
            <w:vAlign w:val="bottom"/>
          </w:tcPr>
          <w:p>
            <w:pPr>
              <w:ind w:left="140"/>
              <w:spacing w:after="0"/>
              <w:rPr>
                <w:sz w:val="20"/>
                <w:szCs w:val="20"/>
                <w:color w:val="auto"/>
              </w:rPr>
            </w:pPr>
            <w:r>
              <w:rPr>
                <w:rFonts w:ascii="Arial" w:cs="Arial" w:eastAsia="Arial" w:hAnsi="Arial"/>
                <w:sz w:val="18"/>
                <w:szCs w:val="18"/>
                <w:color w:val="auto"/>
              </w:rPr>
              <w:t>Assigned Contracts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4.8   Sufficiency of the Assets; Title to Acquired Assets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95" w:name="page696"/>
    <w:bookmarkEnd w:id="695"/>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4.9</w:t>
            </w:r>
          </w:p>
        </w:tc>
        <w:tc>
          <w:tcPr>
            <w:tcW w:w="8340" w:type="dxa"/>
            <w:vAlign w:val="bottom"/>
          </w:tcPr>
          <w:p>
            <w:pPr>
              <w:ind w:left="100"/>
              <w:spacing w:after="0"/>
              <w:rPr>
                <w:sz w:val="20"/>
                <w:szCs w:val="20"/>
                <w:color w:val="auto"/>
              </w:rPr>
            </w:pPr>
            <w:r>
              <w:rPr>
                <w:rFonts w:ascii="Arial" w:cs="Arial" w:eastAsia="Arial" w:hAnsi="Arial"/>
                <w:sz w:val="18"/>
                <w:szCs w:val="18"/>
                <w:color w:val="auto"/>
              </w:rPr>
              <w:t>Compliance with Laws; Litigation</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8340" w:type="dxa"/>
            <w:vAlign w:val="bottom"/>
          </w:tcPr>
          <w:p>
            <w:pPr>
              <w:ind w:left="100"/>
              <w:spacing w:after="0"/>
              <w:rPr>
                <w:sz w:val="20"/>
                <w:szCs w:val="20"/>
                <w:color w:val="auto"/>
              </w:rPr>
            </w:pPr>
            <w:r>
              <w:rPr>
                <w:rFonts w:ascii="Arial" w:cs="Arial" w:eastAsia="Arial" w:hAnsi="Arial"/>
                <w:sz w:val="18"/>
                <w:szCs w:val="18"/>
                <w:color w:val="auto"/>
              </w:rPr>
              <w:t>Regulatory Compliance</w:t>
            </w: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8340" w:type="dxa"/>
            <w:vAlign w:val="bottom"/>
          </w:tcPr>
          <w:p>
            <w:pPr>
              <w:ind w:left="100"/>
              <w:spacing w:after="0"/>
              <w:rPr>
                <w:sz w:val="20"/>
                <w:szCs w:val="20"/>
                <w:color w:val="auto"/>
              </w:rPr>
            </w:pPr>
            <w:r>
              <w:rPr>
                <w:rFonts w:ascii="Arial" w:cs="Arial" w:eastAsia="Arial" w:hAnsi="Arial"/>
                <w:sz w:val="18"/>
                <w:szCs w:val="18"/>
                <w:color w:val="auto"/>
              </w:rPr>
              <w:t>Intellectual Property; Data Privacy and Security</w:t>
            </w: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4.12</w:t>
            </w:r>
          </w:p>
        </w:tc>
        <w:tc>
          <w:tcPr>
            <w:tcW w:w="8340" w:type="dxa"/>
            <w:vAlign w:val="bottom"/>
          </w:tcPr>
          <w:p>
            <w:pPr>
              <w:ind w:left="100"/>
              <w:spacing w:after="0"/>
              <w:rPr>
                <w:sz w:val="20"/>
                <w:szCs w:val="20"/>
                <w:color w:val="auto"/>
              </w:rPr>
            </w:pPr>
            <w:r>
              <w:rPr>
                <w:rFonts w:ascii="Arial" w:cs="Arial" w:eastAsia="Arial" w:hAnsi="Arial"/>
                <w:sz w:val="18"/>
                <w:szCs w:val="18"/>
                <w:color w:val="auto"/>
              </w:rPr>
              <w:t>Taxes</w:t>
            </w: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8340" w:type="dxa"/>
            <w:vAlign w:val="bottom"/>
          </w:tcPr>
          <w:p>
            <w:pPr>
              <w:ind w:left="100"/>
              <w:spacing w:after="0"/>
              <w:rPr>
                <w:sz w:val="20"/>
                <w:szCs w:val="20"/>
                <w:color w:val="auto"/>
              </w:rPr>
            </w:pPr>
            <w:r>
              <w:rPr>
                <w:rFonts w:ascii="Arial" w:cs="Arial" w:eastAsia="Arial" w:hAnsi="Arial"/>
                <w:sz w:val="18"/>
                <w:szCs w:val="18"/>
                <w:color w:val="auto"/>
              </w:rPr>
              <w:t>Employee Matters</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4.14</w:t>
            </w:r>
          </w:p>
        </w:tc>
        <w:tc>
          <w:tcPr>
            <w:tcW w:w="8340" w:type="dxa"/>
            <w:vAlign w:val="bottom"/>
          </w:tcPr>
          <w:p>
            <w:pPr>
              <w:ind w:left="100"/>
              <w:spacing w:after="0"/>
              <w:rPr>
                <w:sz w:val="20"/>
                <w:szCs w:val="20"/>
                <w:color w:val="auto"/>
              </w:rPr>
            </w:pPr>
            <w:r>
              <w:rPr>
                <w:rFonts w:ascii="Arial" w:cs="Arial" w:eastAsia="Arial" w:hAnsi="Arial"/>
                <w:sz w:val="18"/>
                <w:szCs w:val="18"/>
                <w:color w:val="auto"/>
              </w:rPr>
              <w:t>Environmental Compliance</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4.15</w:t>
            </w:r>
          </w:p>
        </w:tc>
        <w:tc>
          <w:tcPr>
            <w:tcW w:w="8340" w:type="dxa"/>
            <w:vAlign w:val="bottom"/>
          </w:tcPr>
          <w:p>
            <w:pPr>
              <w:ind w:left="100"/>
              <w:spacing w:after="0"/>
              <w:rPr>
                <w:sz w:val="20"/>
                <w:szCs w:val="20"/>
                <w:color w:val="auto"/>
              </w:rPr>
            </w:pPr>
            <w:r>
              <w:rPr>
                <w:rFonts w:ascii="Arial" w:cs="Arial" w:eastAsia="Arial" w:hAnsi="Arial"/>
                <w:sz w:val="18"/>
                <w:szCs w:val="18"/>
                <w:color w:val="auto"/>
              </w:rPr>
              <w:t>Finders Fees</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4.16</w:t>
            </w:r>
          </w:p>
        </w:tc>
        <w:tc>
          <w:tcPr>
            <w:tcW w:w="8340" w:type="dxa"/>
            <w:vAlign w:val="bottom"/>
          </w:tcPr>
          <w:p>
            <w:pPr>
              <w:ind w:left="100"/>
              <w:spacing w:after="0"/>
              <w:rPr>
                <w:sz w:val="20"/>
                <w:szCs w:val="20"/>
                <w:color w:val="auto"/>
              </w:rPr>
            </w:pPr>
            <w:r>
              <w:rPr>
                <w:rFonts w:ascii="Arial" w:cs="Arial" w:eastAsia="Arial" w:hAnsi="Arial"/>
                <w:sz w:val="18"/>
                <w:szCs w:val="18"/>
                <w:color w:val="auto"/>
              </w:rPr>
              <w:t>No Other Representations or Warranties</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3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IMMEDICA</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5.1</w:t>
            </w:r>
          </w:p>
        </w:tc>
        <w:tc>
          <w:tcPr>
            <w:tcW w:w="8340" w:type="dxa"/>
            <w:vAlign w:val="bottom"/>
          </w:tcPr>
          <w:p>
            <w:pPr>
              <w:ind w:left="100"/>
              <w:spacing w:after="0"/>
              <w:rPr>
                <w:sz w:val="20"/>
                <w:szCs w:val="20"/>
                <w:color w:val="auto"/>
              </w:rPr>
            </w:pPr>
            <w:r>
              <w:rPr>
                <w:rFonts w:ascii="Arial" w:cs="Arial" w:eastAsia="Arial" w:hAnsi="Arial"/>
                <w:sz w:val="18"/>
                <w:szCs w:val="18"/>
                <w:color w:val="auto"/>
              </w:rPr>
              <w:t>Organization and Good 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5.2</w:t>
            </w:r>
          </w:p>
        </w:tc>
        <w:tc>
          <w:tcPr>
            <w:tcW w:w="8340" w:type="dxa"/>
            <w:vAlign w:val="bottom"/>
          </w:tcPr>
          <w:p>
            <w:pPr>
              <w:ind w:left="100"/>
              <w:spacing w:after="0"/>
              <w:rPr>
                <w:sz w:val="20"/>
                <w:szCs w:val="20"/>
                <w:color w:val="auto"/>
              </w:rPr>
            </w:pPr>
            <w:r>
              <w:rPr>
                <w:rFonts w:ascii="Arial" w:cs="Arial" w:eastAsia="Arial" w:hAnsi="Arial"/>
                <w:sz w:val="18"/>
                <w:szCs w:val="18"/>
                <w:color w:val="auto"/>
              </w:rPr>
              <w:t>Authorization of Agreement</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5.3</w:t>
            </w:r>
          </w:p>
        </w:tc>
        <w:tc>
          <w:tcPr>
            <w:tcW w:w="8340" w:type="dxa"/>
            <w:vAlign w:val="bottom"/>
          </w:tcPr>
          <w:p>
            <w:pPr>
              <w:ind w:left="100"/>
              <w:spacing w:after="0"/>
              <w:rPr>
                <w:sz w:val="20"/>
                <w:szCs w:val="20"/>
                <w:color w:val="auto"/>
              </w:rPr>
            </w:pPr>
            <w:r>
              <w:rPr>
                <w:rFonts w:ascii="Arial" w:cs="Arial" w:eastAsia="Arial" w:hAnsi="Arial"/>
                <w:sz w:val="18"/>
                <w:szCs w:val="18"/>
                <w:color w:val="auto"/>
              </w:rPr>
              <w:t>Conflicts; Consents of Third Parties</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32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6.1</w:t>
            </w:r>
          </w:p>
        </w:tc>
        <w:tc>
          <w:tcPr>
            <w:tcW w:w="8340" w:type="dxa"/>
            <w:vAlign w:val="bottom"/>
          </w:tcPr>
          <w:p>
            <w:pPr>
              <w:ind w:left="100"/>
              <w:spacing w:after="0"/>
              <w:rPr>
                <w:sz w:val="20"/>
                <w:szCs w:val="20"/>
                <w:color w:val="auto"/>
              </w:rPr>
            </w:pPr>
            <w:r>
              <w:rPr>
                <w:rFonts w:ascii="Arial" w:cs="Arial" w:eastAsia="Arial" w:hAnsi="Arial"/>
                <w:sz w:val="18"/>
                <w:szCs w:val="18"/>
                <w:color w:val="auto"/>
              </w:rPr>
              <w:t>Cooperation</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6.2</w:t>
            </w:r>
          </w:p>
        </w:tc>
        <w:tc>
          <w:tcPr>
            <w:tcW w:w="83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6.3</w:t>
            </w:r>
          </w:p>
        </w:tc>
        <w:tc>
          <w:tcPr>
            <w:tcW w:w="8340" w:type="dxa"/>
            <w:vAlign w:val="bottom"/>
          </w:tcPr>
          <w:p>
            <w:pPr>
              <w:ind w:left="100"/>
              <w:spacing w:after="0"/>
              <w:rPr>
                <w:sz w:val="20"/>
                <w:szCs w:val="20"/>
                <w:color w:val="auto"/>
              </w:rPr>
            </w:pPr>
            <w:r>
              <w:rPr>
                <w:rFonts w:ascii="Arial" w:cs="Arial" w:eastAsia="Arial" w:hAnsi="Arial"/>
                <w:sz w:val="18"/>
                <w:szCs w:val="18"/>
                <w:color w:val="auto"/>
              </w:rPr>
              <w:t>Publicity</w:t>
            </w: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6.4</w:t>
            </w:r>
          </w:p>
        </w:tc>
        <w:tc>
          <w:tcPr>
            <w:tcW w:w="8340" w:type="dxa"/>
            <w:vAlign w:val="bottom"/>
          </w:tcPr>
          <w:p>
            <w:pPr>
              <w:ind w:left="100"/>
              <w:spacing w:after="0"/>
              <w:rPr>
                <w:sz w:val="20"/>
                <w:szCs w:val="20"/>
                <w:color w:val="auto"/>
              </w:rPr>
            </w:pPr>
            <w:r>
              <w:rPr>
                <w:rFonts w:ascii="Arial" w:cs="Arial" w:eastAsia="Arial" w:hAnsi="Arial"/>
                <w:sz w:val="18"/>
                <w:szCs w:val="18"/>
                <w:color w:val="auto"/>
              </w:rPr>
              <w:t>Transfer of Acquired Assets; Transfer and Maintenance of Product Registrations; Cooperation</w:t>
            </w:r>
          </w:p>
        </w:tc>
        <w:tc>
          <w:tcPr>
            <w:tcW w:w="1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6.5</w:t>
            </w:r>
          </w:p>
        </w:tc>
        <w:tc>
          <w:tcPr>
            <w:tcW w:w="8340" w:type="dxa"/>
            <w:vAlign w:val="bottom"/>
          </w:tcPr>
          <w:p>
            <w:pPr>
              <w:ind w:left="100"/>
              <w:spacing w:after="0"/>
              <w:rPr>
                <w:sz w:val="20"/>
                <w:szCs w:val="20"/>
                <w:color w:val="auto"/>
              </w:rPr>
            </w:pPr>
            <w:r>
              <w:rPr>
                <w:rFonts w:ascii="Arial" w:cs="Arial" w:eastAsia="Arial" w:hAnsi="Arial"/>
                <w:sz w:val="18"/>
                <w:szCs w:val="18"/>
                <w:color w:val="auto"/>
              </w:rPr>
              <w:t>Batch Disposition</w:t>
            </w: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6.6</w:t>
            </w:r>
          </w:p>
        </w:tc>
        <w:tc>
          <w:tcPr>
            <w:tcW w:w="8340" w:type="dxa"/>
            <w:vAlign w:val="bottom"/>
          </w:tcPr>
          <w:p>
            <w:pPr>
              <w:ind w:left="100"/>
              <w:spacing w:after="0"/>
              <w:rPr>
                <w:sz w:val="20"/>
                <w:szCs w:val="20"/>
                <w:color w:val="auto"/>
              </w:rPr>
            </w:pPr>
            <w:r>
              <w:rPr>
                <w:rFonts w:ascii="Arial" w:cs="Arial" w:eastAsia="Arial" w:hAnsi="Arial"/>
                <w:sz w:val="18"/>
                <w:szCs w:val="18"/>
                <w:color w:val="auto"/>
              </w:rPr>
              <w:t>Specified Patents</w:t>
            </w: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6.7</w:t>
            </w:r>
          </w:p>
        </w:tc>
        <w:tc>
          <w:tcPr>
            <w:tcW w:w="8340" w:type="dxa"/>
            <w:vAlign w:val="bottom"/>
          </w:tcPr>
          <w:p>
            <w:pPr>
              <w:ind w:left="100"/>
              <w:spacing w:after="0"/>
              <w:rPr>
                <w:sz w:val="20"/>
                <w:szCs w:val="20"/>
                <w:color w:val="auto"/>
              </w:rPr>
            </w:pPr>
            <w:r>
              <w:rPr>
                <w:rFonts w:ascii="Arial" w:cs="Arial" w:eastAsia="Arial" w:hAnsi="Arial"/>
                <w:sz w:val="18"/>
                <w:szCs w:val="18"/>
                <w:color w:val="auto"/>
              </w:rPr>
              <w:t>Misallocated Assets</w:t>
            </w: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6.8</w:t>
            </w:r>
          </w:p>
        </w:tc>
        <w:tc>
          <w:tcPr>
            <w:tcW w:w="8340" w:type="dxa"/>
            <w:vAlign w:val="bottom"/>
          </w:tcPr>
          <w:p>
            <w:pPr>
              <w:ind w:left="100"/>
              <w:spacing w:after="0"/>
              <w:rPr>
                <w:sz w:val="20"/>
                <w:szCs w:val="20"/>
                <w:color w:val="auto"/>
              </w:rPr>
            </w:pPr>
            <w:r>
              <w:rPr>
                <w:rFonts w:ascii="Arial" w:cs="Arial" w:eastAsia="Arial" w:hAnsi="Arial"/>
                <w:sz w:val="18"/>
                <w:szCs w:val="18"/>
                <w:color w:val="auto"/>
              </w:rPr>
              <w:t>Lien Releases</w:t>
            </w: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6.9</w:t>
            </w:r>
          </w:p>
        </w:tc>
        <w:tc>
          <w:tcPr>
            <w:tcW w:w="8340" w:type="dxa"/>
            <w:vAlign w:val="bottom"/>
          </w:tcPr>
          <w:p>
            <w:pPr>
              <w:ind w:left="100"/>
              <w:spacing w:after="0"/>
              <w:rPr>
                <w:sz w:val="20"/>
                <w:szCs w:val="20"/>
                <w:color w:val="auto"/>
              </w:rPr>
            </w:pPr>
            <w:r>
              <w:rPr>
                <w:rFonts w:ascii="Arial" w:cs="Arial" w:eastAsia="Arial" w:hAnsi="Arial"/>
                <w:sz w:val="18"/>
                <w:szCs w:val="18"/>
                <w:color w:val="auto"/>
              </w:rPr>
              <w:t>Certain Matters</w:t>
            </w: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6.10</w:t>
            </w:r>
          </w:p>
        </w:tc>
        <w:tc>
          <w:tcPr>
            <w:tcW w:w="8340" w:type="dxa"/>
            <w:vAlign w:val="bottom"/>
          </w:tcPr>
          <w:p>
            <w:pPr>
              <w:ind w:left="100"/>
              <w:spacing w:after="0"/>
              <w:rPr>
                <w:sz w:val="20"/>
                <w:szCs w:val="20"/>
                <w:color w:val="auto"/>
              </w:rPr>
            </w:pPr>
            <w:r>
              <w:rPr>
                <w:rFonts w:ascii="Arial" w:cs="Arial" w:eastAsia="Arial" w:hAnsi="Arial"/>
                <w:sz w:val="18"/>
                <w:szCs w:val="18"/>
                <w:color w:val="auto"/>
              </w:rPr>
              <w:t>Reimbursement</w:t>
            </w: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6.11</w:t>
            </w:r>
          </w:p>
        </w:tc>
        <w:tc>
          <w:tcPr>
            <w:tcW w:w="8340" w:type="dxa"/>
            <w:vAlign w:val="bottom"/>
          </w:tcPr>
          <w:p>
            <w:pPr>
              <w:ind w:left="100"/>
              <w:spacing w:after="0"/>
              <w:rPr>
                <w:sz w:val="20"/>
                <w:szCs w:val="20"/>
                <w:color w:val="auto"/>
              </w:rPr>
            </w:pPr>
            <w:r>
              <w:rPr>
                <w:rFonts w:ascii="Arial" w:cs="Arial" w:eastAsia="Arial" w:hAnsi="Arial"/>
                <w:sz w:val="18"/>
                <w:szCs w:val="18"/>
                <w:color w:val="auto"/>
              </w:rPr>
              <w:t>Delivery of Post-Closing Correspondence</w:t>
            </w: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32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7.1</w:t>
            </w:r>
          </w:p>
        </w:tc>
        <w:tc>
          <w:tcPr>
            <w:tcW w:w="8340" w:type="dxa"/>
            <w:vAlign w:val="bottom"/>
          </w:tcPr>
          <w:p>
            <w:pPr>
              <w:ind w:left="100"/>
              <w:spacing w:after="0"/>
              <w:rPr>
                <w:sz w:val="20"/>
                <w:szCs w:val="20"/>
                <w:color w:val="auto"/>
              </w:rPr>
            </w:pPr>
            <w:r>
              <w:rPr>
                <w:rFonts w:ascii="Arial" w:cs="Arial" w:eastAsia="Arial" w:hAnsi="Arial"/>
                <w:sz w:val="18"/>
                <w:szCs w:val="18"/>
                <w:color w:val="auto"/>
              </w:rPr>
              <w:t>Survival</w:t>
            </w: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7.2</w:t>
            </w:r>
          </w:p>
        </w:tc>
        <w:tc>
          <w:tcPr>
            <w:tcW w:w="8340" w:type="dxa"/>
            <w:vAlign w:val="bottom"/>
          </w:tcPr>
          <w:p>
            <w:pPr>
              <w:ind w:left="100"/>
              <w:spacing w:after="0"/>
              <w:rPr>
                <w:sz w:val="20"/>
                <w:szCs w:val="20"/>
                <w:color w:val="auto"/>
              </w:rPr>
            </w:pPr>
            <w:r>
              <w:rPr>
                <w:rFonts w:ascii="Arial" w:cs="Arial" w:eastAsia="Arial" w:hAnsi="Arial"/>
                <w:sz w:val="18"/>
                <w:szCs w:val="18"/>
                <w:color w:val="auto"/>
              </w:rPr>
              <w:t>Indemnification by Aeglea</w:t>
            </w: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7.3</w:t>
            </w:r>
          </w:p>
        </w:tc>
        <w:tc>
          <w:tcPr>
            <w:tcW w:w="8340" w:type="dxa"/>
            <w:vAlign w:val="bottom"/>
          </w:tcPr>
          <w:p>
            <w:pPr>
              <w:ind w:left="100"/>
              <w:spacing w:after="0"/>
              <w:rPr>
                <w:sz w:val="20"/>
                <w:szCs w:val="20"/>
                <w:color w:val="auto"/>
              </w:rPr>
            </w:pPr>
            <w:r>
              <w:rPr>
                <w:rFonts w:ascii="Arial" w:cs="Arial" w:eastAsia="Arial" w:hAnsi="Arial"/>
                <w:sz w:val="18"/>
                <w:szCs w:val="18"/>
                <w:color w:val="auto"/>
              </w:rPr>
              <w:t>Indemnification by Immedica</w:t>
            </w:r>
          </w:p>
        </w:tc>
        <w:tc>
          <w:tcPr>
            <w:tcW w:w="1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7.4</w:t>
            </w:r>
          </w:p>
        </w:tc>
        <w:tc>
          <w:tcPr>
            <w:tcW w:w="8340" w:type="dxa"/>
            <w:vAlign w:val="bottom"/>
          </w:tcPr>
          <w:p>
            <w:pPr>
              <w:ind w:left="100"/>
              <w:spacing w:after="0"/>
              <w:rPr>
                <w:sz w:val="20"/>
                <w:szCs w:val="20"/>
                <w:color w:val="auto"/>
              </w:rPr>
            </w:pPr>
            <w:r>
              <w:rPr>
                <w:rFonts w:ascii="Arial" w:cs="Arial" w:eastAsia="Arial" w:hAnsi="Arial"/>
                <w:sz w:val="18"/>
                <w:szCs w:val="18"/>
                <w:color w:val="auto"/>
              </w:rPr>
              <w:t>Indemnification Procedures</w:t>
            </w:r>
          </w:p>
        </w:tc>
        <w:tc>
          <w:tcPr>
            <w:tcW w:w="1640" w:type="dxa"/>
            <w:vAlign w:val="bottom"/>
          </w:tcPr>
          <w:p>
            <w:pPr>
              <w:jc w:val="right"/>
              <w:spacing w:after="0"/>
              <w:rPr>
                <w:sz w:val="20"/>
                <w:szCs w:val="20"/>
                <w:color w:val="auto"/>
              </w:rPr>
            </w:pPr>
            <w:r>
              <w:rPr>
                <w:rFonts w:ascii="Arial" w:cs="Arial" w:eastAsia="Arial" w:hAnsi="Arial"/>
                <w:sz w:val="18"/>
                <w:szCs w:val="18"/>
                <w:color w:val="auto"/>
              </w:rPr>
              <w:t>27</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96" w:name="page697"/>
    <w:bookmarkEnd w:id="696"/>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7.5</w:t>
            </w:r>
          </w:p>
        </w:tc>
        <w:tc>
          <w:tcPr>
            <w:tcW w:w="7240" w:type="dxa"/>
            <w:vAlign w:val="bottom"/>
          </w:tcPr>
          <w:p>
            <w:pPr>
              <w:ind w:left="100"/>
              <w:spacing w:after="0"/>
              <w:rPr>
                <w:sz w:val="20"/>
                <w:szCs w:val="20"/>
                <w:color w:val="auto"/>
              </w:rPr>
            </w:pPr>
            <w:r>
              <w:rPr>
                <w:rFonts w:ascii="Arial" w:cs="Arial" w:eastAsia="Arial" w:hAnsi="Arial"/>
                <w:sz w:val="18"/>
                <w:szCs w:val="18"/>
                <w:color w:val="auto"/>
              </w:rPr>
              <w:t>Limitations on Indemnified Costs</w:t>
            </w:r>
          </w:p>
        </w:tc>
        <w:tc>
          <w:tcPr>
            <w:tcW w:w="2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7.6</w:t>
            </w:r>
          </w:p>
        </w:tc>
        <w:tc>
          <w:tcPr>
            <w:tcW w:w="7240" w:type="dxa"/>
            <w:vAlign w:val="bottom"/>
          </w:tcPr>
          <w:p>
            <w:pPr>
              <w:ind w:left="100"/>
              <w:spacing w:after="0"/>
              <w:rPr>
                <w:sz w:val="20"/>
                <w:szCs w:val="20"/>
                <w:color w:val="auto"/>
              </w:rPr>
            </w:pPr>
            <w:r>
              <w:rPr>
                <w:rFonts w:ascii="Arial" w:cs="Arial" w:eastAsia="Arial" w:hAnsi="Arial"/>
                <w:sz w:val="18"/>
                <w:szCs w:val="18"/>
                <w:color w:val="auto"/>
              </w:rPr>
              <w:t>Sources of Recovery</w:t>
            </w:r>
          </w:p>
        </w:tc>
        <w:tc>
          <w:tcPr>
            <w:tcW w:w="27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7.7</w:t>
            </w:r>
          </w:p>
        </w:tc>
        <w:tc>
          <w:tcPr>
            <w:tcW w:w="7240" w:type="dxa"/>
            <w:vAlign w:val="bottom"/>
          </w:tcPr>
          <w:p>
            <w:pPr>
              <w:ind w:left="100"/>
              <w:spacing w:after="0"/>
              <w:rPr>
                <w:sz w:val="20"/>
                <w:szCs w:val="20"/>
                <w:color w:val="auto"/>
              </w:rPr>
            </w:pPr>
            <w:r>
              <w:rPr>
                <w:rFonts w:ascii="Arial" w:cs="Arial" w:eastAsia="Arial" w:hAnsi="Arial"/>
                <w:sz w:val="18"/>
                <w:szCs w:val="18"/>
                <w:color w:val="auto"/>
              </w:rPr>
              <w:t>Exclusive Remedy</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VIII TAX MATTERS</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8.1</w:t>
            </w:r>
          </w:p>
        </w:tc>
        <w:tc>
          <w:tcPr>
            <w:tcW w:w="7240" w:type="dxa"/>
            <w:vAlign w:val="bottom"/>
          </w:tcPr>
          <w:p>
            <w:pPr>
              <w:ind w:left="100"/>
              <w:spacing w:after="0"/>
              <w:rPr>
                <w:sz w:val="20"/>
                <w:szCs w:val="20"/>
                <w:color w:val="auto"/>
              </w:rPr>
            </w:pPr>
            <w:r>
              <w:rPr>
                <w:rFonts w:ascii="Arial" w:cs="Arial" w:eastAsia="Arial" w:hAnsi="Arial"/>
                <w:sz w:val="18"/>
                <w:szCs w:val="18"/>
                <w:color w:val="auto"/>
              </w:rPr>
              <w:t>Tax Matters; Cooperation</w:t>
            </w:r>
          </w:p>
        </w:tc>
        <w:tc>
          <w:tcPr>
            <w:tcW w:w="2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8.2</w:t>
            </w:r>
          </w:p>
        </w:tc>
        <w:tc>
          <w:tcPr>
            <w:tcW w:w="7240" w:type="dxa"/>
            <w:vAlign w:val="bottom"/>
          </w:tcPr>
          <w:p>
            <w:pPr>
              <w:ind w:left="100"/>
              <w:spacing w:after="0"/>
              <w:rPr>
                <w:sz w:val="20"/>
                <w:szCs w:val="20"/>
                <w:color w:val="auto"/>
              </w:rPr>
            </w:pPr>
            <w:r>
              <w:rPr>
                <w:rFonts w:ascii="Arial" w:cs="Arial" w:eastAsia="Arial" w:hAnsi="Arial"/>
                <w:sz w:val="18"/>
                <w:szCs w:val="18"/>
                <w:color w:val="auto"/>
              </w:rPr>
              <w:t>Allocation of Purchase Price; Treatment of Milestone Payments</w:t>
            </w:r>
          </w:p>
        </w:tc>
        <w:tc>
          <w:tcPr>
            <w:tcW w:w="2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8.3</w:t>
            </w:r>
          </w:p>
        </w:tc>
        <w:tc>
          <w:tcPr>
            <w:tcW w:w="7240" w:type="dxa"/>
            <w:vAlign w:val="bottom"/>
          </w:tcPr>
          <w:p>
            <w:pPr>
              <w:ind w:left="100"/>
              <w:spacing w:after="0"/>
              <w:rPr>
                <w:sz w:val="20"/>
                <w:szCs w:val="20"/>
                <w:color w:val="auto"/>
              </w:rPr>
            </w:pPr>
            <w:r>
              <w:rPr>
                <w:rFonts w:ascii="Arial" w:cs="Arial" w:eastAsia="Arial" w:hAnsi="Arial"/>
                <w:sz w:val="18"/>
                <w:szCs w:val="18"/>
                <w:color w:val="auto"/>
              </w:rPr>
              <w:t>Transfer Taxes</w:t>
            </w:r>
          </w:p>
        </w:tc>
        <w:tc>
          <w:tcPr>
            <w:tcW w:w="2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8.4</w:t>
            </w:r>
          </w:p>
        </w:tc>
        <w:tc>
          <w:tcPr>
            <w:tcW w:w="7240" w:type="dxa"/>
            <w:vAlign w:val="bottom"/>
          </w:tcPr>
          <w:p>
            <w:pPr>
              <w:ind w:left="100"/>
              <w:spacing w:after="0"/>
              <w:rPr>
                <w:sz w:val="20"/>
                <w:szCs w:val="20"/>
                <w:color w:val="auto"/>
              </w:rPr>
            </w:pPr>
            <w:r>
              <w:rPr>
                <w:rFonts w:ascii="Arial" w:cs="Arial" w:eastAsia="Arial" w:hAnsi="Arial"/>
                <w:sz w:val="18"/>
                <w:szCs w:val="18"/>
                <w:color w:val="auto"/>
              </w:rPr>
              <w:t>Apportioned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8.5</w:t>
            </w:r>
          </w:p>
        </w:tc>
        <w:tc>
          <w:tcPr>
            <w:tcW w:w="7240" w:type="dxa"/>
            <w:vAlign w:val="bottom"/>
          </w:tcPr>
          <w:p>
            <w:pPr>
              <w:ind w:left="100"/>
              <w:spacing w:after="0"/>
              <w:rPr>
                <w:sz w:val="20"/>
                <w:szCs w:val="20"/>
                <w:color w:val="auto"/>
              </w:rPr>
            </w:pPr>
            <w:r>
              <w:rPr>
                <w:rFonts w:ascii="Arial" w:cs="Arial" w:eastAsia="Arial" w:hAnsi="Arial"/>
                <w:sz w:val="18"/>
                <w:szCs w:val="18"/>
                <w:color w:val="auto"/>
              </w:rPr>
              <w:t>Withholding</w:t>
            </w:r>
          </w:p>
        </w:tc>
        <w:tc>
          <w:tcPr>
            <w:tcW w:w="2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Section 9.1</w:t>
            </w:r>
          </w:p>
        </w:tc>
        <w:tc>
          <w:tcPr>
            <w:tcW w:w="7240" w:type="dxa"/>
            <w:vAlign w:val="bottom"/>
          </w:tcPr>
          <w:p>
            <w:pPr>
              <w:ind w:left="100"/>
              <w:spacing w:after="0"/>
              <w:rPr>
                <w:sz w:val="20"/>
                <w:szCs w:val="20"/>
                <w:color w:val="auto"/>
              </w:rPr>
            </w:pPr>
            <w:r>
              <w:rPr>
                <w:rFonts w:ascii="Arial" w:cs="Arial" w:eastAsia="Arial" w:hAnsi="Arial"/>
                <w:sz w:val="18"/>
                <w:szCs w:val="18"/>
                <w:color w:val="auto"/>
              </w:rPr>
              <w:t>Expenses</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9.2</w:t>
            </w:r>
          </w:p>
        </w:tc>
        <w:tc>
          <w:tcPr>
            <w:tcW w:w="72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9.3</w:t>
            </w:r>
          </w:p>
        </w:tc>
        <w:tc>
          <w:tcPr>
            <w:tcW w:w="724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9.4</w:t>
            </w:r>
          </w:p>
        </w:tc>
        <w:tc>
          <w:tcPr>
            <w:tcW w:w="724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9.5</w:t>
            </w:r>
          </w:p>
        </w:tc>
        <w:tc>
          <w:tcPr>
            <w:tcW w:w="724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9.6</w:t>
            </w:r>
          </w:p>
        </w:tc>
        <w:tc>
          <w:tcPr>
            <w:tcW w:w="724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9.7</w:t>
            </w:r>
          </w:p>
        </w:tc>
        <w:tc>
          <w:tcPr>
            <w:tcW w:w="7240" w:type="dxa"/>
            <w:vAlign w:val="bottom"/>
          </w:tcPr>
          <w:p>
            <w:pPr>
              <w:ind w:left="100"/>
              <w:spacing w:after="0"/>
              <w:rPr>
                <w:sz w:val="20"/>
                <w:szCs w:val="20"/>
                <w:color w:val="auto"/>
              </w:rPr>
            </w:pPr>
            <w:r>
              <w:rPr>
                <w:rFonts w:ascii="Arial" w:cs="Arial" w:eastAsia="Arial" w:hAnsi="Arial"/>
                <w:sz w:val="18"/>
                <w:szCs w:val="18"/>
                <w:color w:val="auto"/>
              </w:rPr>
              <w:t>License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9.8</w:t>
            </w:r>
          </w:p>
        </w:tc>
        <w:tc>
          <w:tcPr>
            <w:tcW w:w="724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9.9</w:t>
            </w:r>
          </w:p>
        </w:tc>
        <w:tc>
          <w:tcPr>
            <w:tcW w:w="7240" w:type="dxa"/>
            <w:vAlign w:val="bottom"/>
          </w:tcPr>
          <w:p>
            <w:pPr>
              <w:ind w:left="100"/>
              <w:spacing w:after="0"/>
              <w:rPr>
                <w:sz w:val="20"/>
                <w:szCs w:val="20"/>
                <w:color w:val="auto"/>
              </w:rPr>
            </w:pPr>
            <w:r>
              <w:rPr>
                <w:rFonts w:ascii="Arial" w:cs="Arial" w:eastAsia="Arial" w:hAnsi="Arial"/>
                <w:sz w:val="18"/>
                <w:szCs w:val="18"/>
                <w:color w:val="auto"/>
              </w:rPr>
              <w:t>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9.10</w:t>
            </w:r>
          </w:p>
        </w:tc>
        <w:tc>
          <w:tcPr>
            <w:tcW w:w="72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9.11</w:t>
            </w:r>
          </w:p>
        </w:tc>
        <w:tc>
          <w:tcPr>
            <w:tcW w:w="7240" w:type="dxa"/>
            <w:vAlign w:val="bottom"/>
          </w:tcPr>
          <w:p>
            <w:pPr>
              <w:ind w:left="100"/>
              <w:spacing w:after="0"/>
              <w:rPr>
                <w:sz w:val="20"/>
                <w:szCs w:val="20"/>
                <w:color w:val="auto"/>
              </w:rPr>
            </w:pPr>
            <w:r>
              <w:rPr>
                <w:rFonts w:ascii="Arial" w:cs="Arial" w:eastAsia="Arial" w:hAnsi="Arial"/>
                <w:sz w:val="18"/>
                <w:szCs w:val="18"/>
                <w:color w:val="auto"/>
              </w:rPr>
              <w:t>No Third-Party Beneficiaries</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9.12</w:t>
            </w:r>
          </w:p>
        </w:tc>
        <w:tc>
          <w:tcPr>
            <w:tcW w:w="7240" w:type="dxa"/>
            <w:vAlign w:val="bottom"/>
          </w:tcPr>
          <w:p>
            <w:pPr>
              <w:ind w:left="100"/>
              <w:spacing w:after="0"/>
              <w:rPr>
                <w:sz w:val="20"/>
                <w:szCs w:val="20"/>
                <w:color w:val="auto"/>
              </w:rPr>
            </w:pPr>
            <w:r>
              <w:rPr>
                <w:rFonts w:ascii="Arial" w:cs="Arial" w:eastAsia="Arial" w:hAnsi="Arial"/>
                <w:sz w:val="18"/>
                <w:szCs w:val="18"/>
                <w:color w:val="auto"/>
              </w:rPr>
              <w:t>Bulk Sales Laws</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9.13</w:t>
            </w:r>
          </w:p>
        </w:tc>
        <w:tc>
          <w:tcPr>
            <w:tcW w:w="724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9.14</w:t>
            </w:r>
          </w:p>
        </w:tc>
        <w:tc>
          <w:tcPr>
            <w:tcW w:w="7240" w:type="dxa"/>
            <w:vAlign w:val="bottom"/>
          </w:tcPr>
          <w:p>
            <w:pPr>
              <w:ind w:left="100"/>
              <w:spacing w:after="0"/>
              <w:rPr>
                <w:sz w:val="20"/>
                <w:szCs w:val="20"/>
                <w:color w:val="auto"/>
              </w:rPr>
            </w:pPr>
            <w:r>
              <w:rPr>
                <w:rFonts w:ascii="Arial" w:cs="Arial" w:eastAsia="Arial" w:hAnsi="Arial"/>
                <w:sz w:val="18"/>
                <w:szCs w:val="18"/>
                <w:color w:val="auto"/>
              </w:rPr>
              <w:t>Neutral Construction</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9.15</w:t>
            </w:r>
          </w:p>
        </w:tc>
        <w:tc>
          <w:tcPr>
            <w:tcW w:w="7240" w:type="dxa"/>
            <w:vAlign w:val="bottom"/>
          </w:tcPr>
          <w:p>
            <w:pPr>
              <w:ind w:left="100"/>
              <w:spacing w:after="0"/>
              <w:rPr>
                <w:sz w:val="20"/>
                <w:szCs w:val="20"/>
                <w:color w:val="auto"/>
              </w:rPr>
            </w:pPr>
            <w:r>
              <w:rPr>
                <w:rFonts w:ascii="Arial" w:cs="Arial" w:eastAsia="Arial" w:hAnsi="Arial"/>
                <w:sz w:val="18"/>
                <w:szCs w:val="18"/>
                <w:color w:val="auto"/>
              </w:rPr>
              <w:t>Counterparts; Effectiveness</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97" w:name="page698"/>
    <w:bookmarkEnd w:id="6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 PURCHASE AGREEMENT</w:t>
      </w:r>
    </w:p>
    <w:p>
      <w:pPr>
        <w:spacing w:after="0" w:line="225" w:lineRule="exact"/>
        <w:rPr>
          <w:sz w:val="20"/>
          <w:szCs w:val="20"/>
          <w:color w:val="auto"/>
        </w:rPr>
      </w:pPr>
    </w:p>
    <w:p>
      <w:pPr>
        <w:ind w:right="140" w:firstLine="991"/>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ASSET PURCHASE AGREEMENT</w:t>
      </w:r>
      <w:r>
        <w:rPr>
          <w:rFonts w:ascii="Arial" w:cs="Arial" w:eastAsia="Arial" w:hAnsi="Arial"/>
          <w:sz w:val="18"/>
          <w:szCs w:val="18"/>
          <w:color w:val="auto"/>
        </w:rPr>
        <w:t xml:space="preserve"> is entered into as of July 27, 2023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Aeglea BioTherapeutics, Inc., a corporation organized and existing under the laws of Delaware (“</w:t>
      </w:r>
      <w:r>
        <w:rPr>
          <w:rFonts w:ascii="Arial" w:cs="Arial" w:eastAsia="Arial" w:hAnsi="Arial"/>
          <w:sz w:val="18"/>
          <w:szCs w:val="18"/>
          <w:u w:val="single" w:color="auto"/>
          <w:color w:val="auto"/>
        </w:rPr>
        <w:t>Aeglea</w:t>
      </w:r>
      <w:r>
        <w:rPr>
          <w:rFonts w:ascii="Arial" w:cs="Arial" w:eastAsia="Arial" w:hAnsi="Arial"/>
          <w:sz w:val="18"/>
          <w:szCs w:val="18"/>
          <w:color w:val="auto"/>
        </w:rPr>
        <w:t>”), and Immedica Pharma AB, a limited company (</w:t>
      </w:r>
      <w:r>
        <w:rPr>
          <w:rFonts w:ascii="Arial" w:cs="Arial" w:eastAsia="Arial" w:hAnsi="Arial"/>
          <w:sz w:val="18"/>
          <w:szCs w:val="18"/>
          <w:i w:val="1"/>
          <w:iCs w:val="1"/>
          <w:color w:val="auto"/>
        </w:rPr>
        <w:t>Aktiebolag</w:t>
      </w:r>
      <w:r>
        <w:rPr>
          <w:rFonts w:ascii="Arial" w:cs="Arial" w:eastAsia="Arial" w:hAnsi="Arial"/>
          <w:sz w:val="18"/>
          <w:szCs w:val="18"/>
          <w:color w:val="auto"/>
        </w:rPr>
        <w:t>) organized and existing under the laws of Sweden (“</w:t>
      </w:r>
      <w:r>
        <w:rPr>
          <w:rFonts w:ascii="Arial" w:cs="Arial" w:eastAsia="Arial" w:hAnsi="Arial"/>
          <w:sz w:val="18"/>
          <w:szCs w:val="18"/>
          <w:u w:val="single" w:color="auto"/>
          <w:color w:val="auto"/>
        </w:rPr>
        <w:t>Immedica</w:t>
      </w:r>
      <w:r>
        <w:rPr>
          <w:rFonts w:ascii="Arial" w:cs="Arial" w:eastAsia="Arial" w:hAnsi="Arial"/>
          <w:sz w:val="18"/>
          <w:szCs w:val="18"/>
          <w:color w:val="auto"/>
        </w:rPr>
        <w:t>”). Each of Aeglea and Immedica are sometimes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herein and not otherwise defined shall have the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720" w:firstLine="99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Aeglea has established a research, development and manufacturing program for pegzilarginase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Arginase-1 Deficiency as well as other therapeutic, prophylactic, palliative and diagnostic uses (the “</w:t>
      </w:r>
      <w:r>
        <w:rPr>
          <w:rFonts w:ascii="Arial" w:cs="Arial" w:eastAsia="Arial" w:hAnsi="Arial"/>
          <w:sz w:val="18"/>
          <w:szCs w:val="18"/>
          <w:u w:val="single" w:color="auto"/>
          <w:color w:val="auto"/>
        </w:rPr>
        <w:t>Program</w:t>
      </w:r>
      <w:r>
        <w:rPr>
          <w:rFonts w:ascii="Arial" w:cs="Arial" w:eastAsia="Arial" w:hAnsi="Arial"/>
          <w:sz w:val="18"/>
          <w:szCs w:val="18"/>
          <w:color w:val="auto"/>
        </w:rPr>
        <w:t>”);</w:t>
      </w:r>
    </w:p>
    <w:p>
      <w:pPr>
        <w:spacing w:after="0" w:line="162"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Immedica and Aeglea are parties to that certain License and Supply Agreement dated as of March 21, 2021, as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Memorandum of Understanding dated July 1, 2021, that certain Memorandum of Understanding dated June 22, 2022, and that certain Amendment No. 2 to the Agreement dated March 28, 2023 (the “</w:t>
      </w:r>
      <w:r>
        <w:rPr>
          <w:rFonts w:ascii="Arial" w:cs="Arial" w:eastAsia="Arial" w:hAnsi="Arial"/>
          <w:sz w:val="18"/>
          <w:szCs w:val="18"/>
          <w:u w:val="single" w:color="auto"/>
          <w:color w:val="auto"/>
        </w:rPr>
        <w:t>License Agreement</w:t>
      </w:r>
      <w:r>
        <w:rPr>
          <w:rFonts w:ascii="Arial" w:cs="Arial" w:eastAsia="Arial" w:hAnsi="Arial"/>
          <w:sz w:val="18"/>
          <w:szCs w:val="18"/>
          <w:color w:val="auto"/>
        </w:rPr>
        <w:t>”), pursuant to which Aeglea licenses to Immedica certain rights in and to the Product and Aeglea’s Intellectual Property rights therein; and</w:t>
      </w:r>
    </w:p>
    <w:p>
      <w:pPr>
        <w:spacing w:after="0" w:line="180"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Aeglea agrees to sell to Immedica, and Immedica agrees to purchase from Aeglea, assets owned by Aeglea and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on the terms and subject to the conditions set forth herein.</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representations, warranties, covenants and agreements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for other good and valuable consideration, the receipt and sufficiency of which are hereby acknowledged, and intending to be legally bound hereby, the Parties hereby agree as follows: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PRICE</w:t>
      </w:r>
    </w:p>
    <w:p>
      <w:pPr>
        <w:spacing w:after="0" w:line="229" w:lineRule="exact"/>
        <w:rPr>
          <w:sz w:val="20"/>
          <w:szCs w:val="20"/>
          <w:color w:val="auto"/>
        </w:rPr>
      </w:pPr>
    </w:p>
    <w:p>
      <w:pPr>
        <w:ind w:right="320" w:firstLine="991"/>
        <w:spacing w:after="0" w:line="34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Purchase Price</w:t>
      </w:r>
      <w:r>
        <w:rPr>
          <w:rFonts w:ascii="Arial" w:cs="Arial" w:eastAsia="Arial" w:hAnsi="Arial"/>
          <w:sz w:val="16"/>
          <w:szCs w:val="16"/>
          <w:color w:val="auto"/>
        </w:rPr>
        <w:t>. In consideration of the conveyance to Immedica of all right, title and interest in, under and to the Acquired Assets and the other rights granted to Immedica hereunder, and subject to the terms and conditions hereof, Immedica shall pay to Aeglea:</w:t>
      </w:r>
    </w:p>
    <w:p>
      <w:pPr>
        <w:spacing w:after="0" w:line="16" w:lineRule="exact"/>
        <w:rPr>
          <w:sz w:val="20"/>
          <w:szCs w:val="20"/>
          <w:color w:val="auto"/>
        </w:rPr>
      </w:pPr>
    </w:p>
    <w:p>
      <w:pPr>
        <w:ind w:right="120" w:firstLine="987"/>
        <w:spacing w:after="0" w:line="277" w:lineRule="auto"/>
        <w:tabs>
          <w:tab w:leader="none" w:pos="1236" w:val="left"/>
        </w:tabs>
        <w:numPr>
          <w:ilvl w:val="0"/>
          <w:numId w:val="675"/>
        </w:numPr>
        <w:rPr>
          <w:rFonts w:ascii="Arial" w:cs="Arial" w:eastAsia="Arial" w:hAnsi="Arial"/>
          <w:sz w:val="18"/>
          <w:szCs w:val="18"/>
          <w:color w:val="auto"/>
        </w:rPr>
      </w:pPr>
      <w:r>
        <w:rPr>
          <w:rFonts w:ascii="Arial" w:cs="Arial" w:eastAsia="Arial" w:hAnsi="Arial"/>
          <w:sz w:val="18"/>
          <w:szCs w:val="18"/>
          <w:color w:val="auto"/>
        </w:rPr>
        <w:t>An initial payment in cash of $15,000,000 in the aggregate (the “</w:t>
      </w:r>
      <w:r>
        <w:rPr>
          <w:rFonts w:ascii="Arial" w:cs="Arial" w:eastAsia="Arial" w:hAnsi="Arial"/>
          <w:sz w:val="18"/>
          <w:szCs w:val="18"/>
          <w:u w:val="single" w:color="auto"/>
          <w:color w:val="auto"/>
        </w:rPr>
        <w:t>Initial Payment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by wire transfer of immediately available funds in accordance with written instructions furnished to Immedica by Aeglea, payable at Closing;</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Milestone Payments, if any, subject to the terms and conditions of, and payable as set forth in, Section 1.2;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The Fuji Credit, subject to the terms and conditions of, and payable as set forth in, Section 6.10.</w:t>
      </w:r>
    </w:p>
    <w:p>
      <w:pPr>
        <w:sectPr>
          <w:pgSz w:w="11900" w:h="16838" w:orient="portrait"/>
          <w:cols w:equalWidth="0" w:num="1">
            <w:col w:w="10980"/>
          </w:cols>
          <w:pgMar w:left="440" w:top="270" w:right="479" w:bottom="1440" w:gutter="0" w:footer="0" w:header="0"/>
        </w:sectPr>
      </w:pPr>
    </w:p>
    <w:bookmarkStart w:id="698" w:name="page699"/>
    <w:bookmarkEnd w:id="69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Milestone Payments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77" w:lineRule="auto"/>
        <w:tabs>
          <w:tab w:leader="none" w:pos="1236" w:val="left"/>
        </w:tabs>
        <w:numPr>
          <w:ilvl w:val="0"/>
          <w:numId w:val="676"/>
        </w:numPr>
        <w:rPr>
          <w:rFonts w:ascii="Arial" w:cs="Arial" w:eastAsia="Arial" w:hAnsi="Arial"/>
          <w:sz w:val="18"/>
          <w:szCs w:val="18"/>
          <w:color w:val="auto"/>
        </w:rPr>
      </w:pPr>
      <w:r>
        <w:rPr>
          <w:rFonts w:ascii="Arial" w:cs="Arial" w:eastAsia="Arial" w:hAnsi="Arial"/>
          <w:sz w:val="18"/>
          <w:szCs w:val="18"/>
          <w:color w:val="auto"/>
        </w:rPr>
        <w:t>Subject to the remainder of this Section 1.2, upon the first occurrence of the applicable milestone event described in the table set forth below by Immedica (each such event, a “</w:t>
      </w:r>
      <w:r>
        <w:rPr>
          <w:rFonts w:ascii="Arial" w:cs="Arial" w:eastAsia="Arial" w:hAnsi="Arial"/>
          <w:sz w:val="18"/>
          <w:szCs w:val="18"/>
          <w:u w:val="single" w:color="auto"/>
          <w:color w:val="auto"/>
        </w:rPr>
        <w:t>Milestone Event</w:t>
      </w:r>
      <w:r>
        <w:rPr>
          <w:rFonts w:ascii="Arial" w:cs="Arial" w:eastAsia="Arial" w:hAnsi="Arial"/>
          <w:sz w:val="18"/>
          <w:szCs w:val="18"/>
          <w:color w:val="auto"/>
        </w:rPr>
        <w: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Immedica shall pay an amount in cash equal to the applicable milestone payment listed next to such Milestone Event in the table below (each such payment, a “</w:t>
      </w:r>
      <w:r>
        <w:rPr>
          <w:rFonts w:ascii="Arial" w:cs="Arial" w:eastAsia="Arial" w:hAnsi="Arial"/>
          <w:sz w:val="18"/>
          <w:szCs w:val="18"/>
          <w:u w:val="single" w:color="auto"/>
          <w:color w:val="auto"/>
        </w:rPr>
        <w:t>Milestone Payment</w:t>
      </w:r>
      <w:r>
        <w:rPr>
          <w:rFonts w:ascii="Arial" w:cs="Arial" w:eastAsia="Arial" w:hAnsi="Arial"/>
          <w:sz w:val="18"/>
          <w:szCs w:val="18"/>
          <w:color w:val="auto"/>
        </w:rPr>
        <w:t>”), less any Milestone Set-Offs, in accordance with Section 1.2(b). The Milestone Events and corresponding Milestone Payments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880" w:type="dxa"/>
            <w:vAlign w:val="bottom"/>
            <w:gridSpan w:val="2"/>
          </w:tcPr>
          <w:p>
            <w:pPr>
              <w:spacing w:after="0"/>
              <w:rPr>
                <w:sz w:val="20"/>
                <w:szCs w:val="20"/>
                <w:color w:val="auto"/>
              </w:rPr>
            </w:pPr>
            <w:r>
              <w:rPr>
                <w:rFonts w:ascii="Arial" w:cs="Arial" w:eastAsia="Arial" w:hAnsi="Arial"/>
                <w:sz w:val="14"/>
                <w:szCs w:val="14"/>
                <w:color w:val="auto"/>
              </w:rPr>
              <w:t>Milestone Event</w:t>
            </w:r>
          </w:p>
        </w:tc>
        <w:tc>
          <w:tcPr>
            <w:tcW w:w="2300" w:type="dxa"/>
            <w:vAlign w:val="bottom"/>
            <w:gridSpan w:val="3"/>
          </w:tcPr>
          <w:p>
            <w:pPr>
              <w:jc w:val="center"/>
              <w:ind w:left="32"/>
              <w:spacing w:after="0"/>
              <w:rPr>
                <w:sz w:val="20"/>
                <w:szCs w:val="20"/>
                <w:color w:val="auto"/>
              </w:rPr>
            </w:pPr>
            <w:r>
              <w:rPr>
                <w:rFonts w:ascii="Arial" w:cs="Arial" w:eastAsia="Arial" w:hAnsi="Arial"/>
                <w:sz w:val="14"/>
                <w:szCs w:val="14"/>
                <w:color w:val="auto"/>
                <w:w w:val="92"/>
              </w:rPr>
              <w:t>Milestone Payment</w:t>
            </w:r>
          </w:p>
        </w:tc>
      </w:tr>
      <w:tr>
        <w:trPr>
          <w:trHeight w:val="20"/>
        </w:trPr>
        <w:tc>
          <w:tcPr>
            <w:tcW w:w="3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3"/>
        </w:trPr>
        <w:tc>
          <w:tcPr>
            <w:tcW w:w="8700" w:type="dxa"/>
            <w:vAlign w:val="bottom"/>
            <w:gridSpan w:val="3"/>
          </w:tcPr>
          <w:p>
            <w:pPr>
              <w:spacing w:after="0"/>
              <w:rPr>
                <w:sz w:val="20"/>
                <w:szCs w:val="20"/>
                <w:color w:val="auto"/>
              </w:rPr>
            </w:pPr>
            <w:r>
              <w:rPr>
                <w:rFonts w:ascii="Arial" w:cs="Arial" w:eastAsia="Arial" w:hAnsi="Arial"/>
                <w:sz w:val="18"/>
                <w:szCs w:val="18"/>
                <w:color w:val="auto"/>
                <w:w w:val="93"/>
              </w:rPr>
              <w:t>Pricing and Reimbursement Approval in France of the Product that is indicated for treatment of Arginase-1 Deficiency</w:t>
            </w: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Reimbursement Earnout</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w w:val="92"/>
              </w:rPr>
              <w:t>by the applicable Governmental Authority in France, where such Product has previously received Regulatory Approval</w:t>
            </w: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93"/>
              </w:rPr>
              <w:t>Amount for such Product in</w:t>
            </w:r>
          </w:p>
        </w:tc>
      </w:tr>
      <w:tr>
        <w:trPr>
          <w:trHeight w:val="230"/>
        </w:trPr>
        <w:tc>
          <w:tcPr>
            <w:tcW w:w="8700" w:type="dxa"/>
            <w:vAlign w:val="bottom"/>
            <w:gridSpan w:val="3"/>
          </w:tcPr>
          <w:p>
            <w:pPr>
              <w:spacing w:after="0"/>
              <w:rPr>
                <w:sz w:val="20"/>
                <w:szCs w:val="20"/>
                <w:color w:val="auto"/>
              </w:rPr>
            </w:pPr>
            <w:r>
              <w:rPr>
                <w:rFonts w:ascii="Arial" w:cs="Arial" w:eastAsia="Arial" w:hAnsi="Arial"/>
                <w:sz w:val="18"/>
                <w:szCs w:val="18"/>
                <w:color w:val="auto"/>
              </w:rPr>
              <w:t>in France for the treatment of Arginase-1 Deficiency</w:t>
            </w:r>
          </w:p>
        </w:tc>
        <w:tc>
          <w:tcPr>
            <w:tcW w:w="660" w:type="dxa"/>
            <w:vAlign w:val="bottom"/>
          </w:tcPr>
          <w:p>
            <w:pPr>
              <w:spacing w:after="0"/>
              <w:rPr>
                <w:sz w:val="20"/>
                <w:szCs w:val="20"/>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France</w:t>
            </w:r>
          </w:p>
        </w:tc>
      </w:tr>
      <w:tr>
        <w:trPr>
          <w:trHeight w:val="310"/>
        </w:trPr>
        <w:tc>
          <w:tcPr>
            <w:tcW w:w="8700" w:type="dxa"/>
            <w:vAlign w:val="bottom"/>
            <w:gridSpan w:val="3"/>
          </w:tcPr>
          <w:p>
            <w:pPr>
              <w:spacing w:after="0"/>
              <w:rPr>
                <w:sz w:val="20"/>
                <w:szCs w:val="20"/>
                <w:color w:val="auto"/>
              </w:rPr>
            </w:pPr>
            <w:r>
              <w:rPr>
                <w:rFonts w:ascii="Arial" w:cs="Arial" w:eastAsia="Arial" w:hAnsi="Arial"/>
                <w:sz w:val="18"/>
                <w:szCs w:val="18"/>
                <w:color w:val="auto"/>
              </w:rPr>
              <w:t>Pricing and Reimbursement Approval in Germany of the Product that is indicated for treatment of Arginase-1</w:t>
            </w: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Reimbursement Earnout</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w w:val="98"/>
              </w:rPr>
              <w:t>Deficiency by the applicable Governmental Authority in Germany, where such Product has previously received</w:t>
            </w: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93"/>
              </w:rPr>
              <w:t>Amount for such Product in</w:t>
            </w:r>
          </w:p>
        </w:tc>
      </w:tr>
      <w:tr>
        <w:trPr>
          <w:trHeight w:val="230"/>
        </w:trPr>
        <w:tc>
          <w:tcPr>
            <w:tcW w:w="8700" w:type="dxa"/>
            <w:vAlign w:val="bottom"/>
            <w:gridSpan w:val="3"/>
          </w:tcPr>
          <w:p>
            <w:pPr>
              <w:spacing w:after="0"/>
              <w:rPr>
                <w:sz w:val="20"/>
                <w:szCs w:val="20"/>
                <w:color w:val="auto"/>
              </w:rPr>
            </w:pPr>
            <w:r>
              <w:rPr>
                <w:rFonts w:ascii="Arial" w:cs="Arial" w:eastAsia="Arial" w:hAnsi="Arial"/>
                <w:sz w:val="18"/>
                <w:szCs w:val="18"/>
                <w:color w:val="auto"/>
              </w:rPr>
              <w:t>Regulatory Approval in Germany for the treatment of Arginase-1 Deficiency</w:t>
            </w:r>
          </w:p>
        </w:tc>
        <w:tc>
          <w:tcPr>
            <w:tcW w:w="660" w:type="dxa"/>
            <w:vAlign w:val="bottom"/>
          </w:tcPr>
          <w:p>
            <w:pPr>
              <w:spacing w:after="0"/>
              <w:rPr>
                <w:sz w:val="20"/>
                <w:szCs w:val="20"/>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Germany</w:t>
            </w:r>
          </w:p>
        </w:tc>
      </w:tr>
      <w:tr>
        <w:trPr>
          <w:trHeight w:val="310"/>
        </w:trPr>
        <w:tc>
          <w:tcPr>
            <w:tcW w:w="8700" w:type="dxa"/>
            <w:vAlign w:val="bottom"/>
            <w:gridSpan w:val="3"/>
          </w:tcPr>
          <w:p>
            <w:pPr>
              <w:spacing w:after="0"/>
              <w:rPr>
                <w:sz w:val="20"/>
                <w:szCs w:val="20"/>
                <w:color w:val="auto"/>
              </w:rPr>
            </w:pPr>
            <w:r>
              <w:rPr>
                <w:rFonts w:ascii="Arial" w:cs="Arial" w:eastAsia="Arial" w:hAnsi="Arial"/>
                <w:sz w:val="18"/>
                <w:szCs w:val="18"/>
                <w:color w:val="auto"/>
              </w:rPr>
              <w:t>Pricing and Reimbursement Approval in the United Kingdom of the Product that is indicated for treatment of</w:t>
            </w: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Reimbursement Earnout</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w w:val="97"/>
              </w:rPr>
              <w:t>Arginase-1 Deficiency by the applicable Governmental Authority in the United Kingdom, where such Product has</w:t>
            </w: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93"/>
              </w:rPr>
              <w:t>Amount for such Product in</w:t>
            </w:r>
          </w:p>
        </w:tc>
      </w:tr>
      <w:tr>
        <w:trPr>
          <w:trHeight w:val="230"/>
        </w:trPr>
        <w:tc>
          <w:tcPr>
            <w:tcW w:w="8700" w:type="dxa"/>
            <w:vAlign w:val="bottom"/>
            <w:gridSpan w:val="3"/>
          </w:tcPr>
          <w:p>
            <w:pPr>
              <w:spacing w:after="0"/>
              <w:rPr>
                <w:sz w:val="20"/>
                <w:szCs w:val="20"/>
                <w:color w:val="auto"/>
              </w:rPr>
            </w:pPr>
            <w:r>
              <w:rPr>
                <w:rFonts w:ascii="Arial" w:cs="Arial" w:eastAsia="Arial" w:hAnsi="Arial"/>
                <w:sz w:val="18"/>
                <w:szCs w:val="18"/>
                <w:color w:val="auto"/>
              </w:rPr>
              <w:t>previously received Regulatory Approval in the United Kingdom for the treatment of Arginase-1 Deficiency</w:t>
            </w:r>
          </w:p>
        </w:tc>
        <w:tc>
          <w:tcPr>
            <w:tcW w:w="2300" w:type="dxa"/>
            <w:vAlign w:val="bottom"/>
            <w:gridSpan w:val="3"/>
          </w:tcPr>
          <w:p>
            <w:pPr>
              <w:jc w:val="center"/>
              <w:ind w:left="52"/>
              <w:spacing w:after="0"/>
              <w:rPr>
                <w:sz w:val="20"/>
                <w:szCs w:val="20"/>
                <w:color w:val="auto"/>
              </w:rPr>
            </w:pPr>
            <w:r>
              <w:rPr>
                <w:rFonts w:ascii="Arial" w:cs="Arial" w:eastAsia="Arial" w:hAnsi="Arial"/>
                <w:sz w:val="18"/>
                <w:szCs w:val="18"/>
                <w:color w:val="auto"/>
                <w:w w:val="93"/>
              </w:rPr>
              <w:t>the United Kingdom</w:t>
            </w:r>
          </w:p>
        </w:tc>
      </w:tr>
      <w:tr>
        <w:trPr>
          <w:trHeight w:val="324"/>
        </w:trPr>
        <w:tc>
          <w:tcPr>
            <w:tcW w:w="8700" w:type="dxa"/>
            <w:vAlign w:val="bottom"/>
            <w:gridSpan w:val="3"/>
          </w:tcPr>
          <w:p>
            <w:pPr>
              <w:spacing w:after="0"/>
              <w:rPr>
                <w:sz w:val="20"/>
                <w:szCs w:val="20"/>
                <w:color w:val="auto"/>
              </w:rPr>
            </w:pPr>
            <w:r>
              <w:rPr>
                <w:rFonts w:ascii="Arial" w:cs="Arial" w:eastAsia="Arial" w:hAnsi="Arial"/>
                <w:sz w:val="18"/>
                <w:szCs w:val="18"/>
                <w:color w:val="auto"/>
                <w:w w:val="99"/>
              </w:rPr>
              <w:t>Regulatory Approval of the BLA of the Product for the treatment of Arginase-1 Deficiency in the United States</w:t>
            </w:r>
          </w:p>
        </w:tc>
        <w:tc>
          <w:tcPr>
            <w:tcW w:w="1760" w:type="dxa"/>
            <w:vAlign w:val="bottom"/>
            <w:gridSpan w:val="2"/>
          </w:tcPr>
          <w:p>
            <w:pPr>
              <w:jc w:val="center"/>
              <w:ind w:left="572"/>
              <w:spacing w:after="0"/>
              <w:rPr>
                <w:sz w:val="20"/>
                <w:szCs w:val="20"/>
                <w:color w:val="auto"/>
              </w:rPr>
            </w:pPr>
            <w:r>
              <w:rPr>
                <w:rFonts w:ascii="Arial" w:cs="Arial" w:eastAsia="Arial" w:hAnsi="Arial"/>
                <w:sz w:val="18"/>
                <w:szCs w:val="18"/>
                <w:color w:val="auto"/>
                <w:w w:val="89"/>
              </w:rPr>
              <w:t>$30,000,000</w:t>
            </w:r>
          </w:p>
        </w:tc>
        <w:tc>
          <w:tcPr>
            <w:tcW w:w="540" w:type="dxa"/>
            <w:vAlign w:val="bottom"/>
          </w:tcPr>
          <w:p>
            <w:pPr>
              <w:spacing w:after="0"/>
              <w:rPr>
                <w:sz w:val="24"/>
                <w:szCs w:val="24"/>
                <w:color w:val="auto"/>
              </w:rPr>
            </w:pPr>
          </w:p>
        </w:tc>
      </w:tr>
      <w:tr>
        <w:trPr>
          <w:trHeight w:val="310"/>
        </w:trPr>
        <w:tc>
          <w:tcPr>
            <w:tcW w:w="8700" w:type="dxa"/>
            <w:vAlign w:val="bottom"/>
            <w:gridSpan w:val="3"/>
          </w:tcPr>
          <w:p>
            <w:pPr>
              <w:spacing w:after="0"/>
              <w:rPr>
                <w:sz w:val="20"/>
                <w:szCs w:val="20"/>
                <w:color w:val="auto"/>
              </w:rPr>
            </w:pPr>
            <w:r>
              <w:rPr>
                <w:rFonts w:ascii="Arial" w:cs="Arial" w:eastAsia="Arial" w:hAnsi="Arial"/>
                <w:sz w:val="18"/>
                <w:szCs w:val="18"/>
                <w:color w:val="auto"/>
              </w:rPr>
              <w:t>Additional Milestone Event (as such term is defined in Schedule 1.2(a)).</w:t>
            </w: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95"/>
              </w:rPr>
              <w:t>Additional Milestone Amount</w:t>
            </w:r>
          </w:p>
        </w:tc>
      </w:tr>
      <w:tr>
        <w:trPr>
          <w:trHeight w:val="216"/>
        </w:trPr>
        <w:tc>
          <w:tcPr>
            <w:tcW w:w="3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(as such term is defined in</w:t>
            </w:r>
          </w:p>
        </w:tc>
      </w:tr>
      <w:tr>
        <w:trPr>
          <w:trHeight w:val="230"/>
        </w:trPr>
        <w:tc>
          <w:tcPr>
            <w:tcW w:w="3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300" w:type="dxa"/>
            <w:vAlign w:val="bottom"/>
            <w:gridSpan w:val="3"/>
          </w:tcPr>
          <w:p>
            <w:pPr>
              <w:jc w:val="center"/>
              <w:ind w:left="32"/>
              <w:spacing w:after="0"/>
              <w:rPr>
                <w:sz w:val="20"/>
                <w:szCs w:val="20"/>
                <w:color w:val="auto"/>
              </w:rPr>
            </w:pPr>
            <w:r>
              <w:rPr>
                <w:rFonts w:ascii="Arial" w:cs="Arial" w:eastAsia="Arial" w:hAnsi="Arial"/>
                <w:sz w:val="18"/>
                <w:szCs w:val="18"/>
                <w:color w:val="auto"/>
                <w:w w:val="88"/>
              </w:rPr>
              <w:t>Schedule 1.2(a)).</w:t>
            </w:r>
          </w:p>
        </w:tc>
      </w:tr>
    </w:tbl>
    <w:p>
      <w:pPr>
        <w:spacing w:after="0" w:line="202" w:lineRule="exact"/>
        <w:rPr>
          <w:sz w:val="20"/>
          <w:szCs w:val="20"/>
          <w:color w:val="auto"/>
        </w:rPr>
      </w:pPr>
    </w:p>
    <w:p>
      <w:pPr>
        <w:ind w:right="500" w:firstLine="987"/>
        <w:spacing w:after="0" w:line="308" w:lineRule="auto"/>
        <w:tabs>
          <w:tab w:leader="none" w:pos="1246" w:val="left"/>
        </w:tabs>
        <w:numPr>
          <w:ilvl w:val="0"/>
          <w:numId w:val="677"/>
        </w:numPr>
        <w:rPr>
          <w:rFonts w:ascii="Arial" w:cs="Arial" w:eastAsia="Arial" w:hAnsi="Arial"/>
          <w:sz w:val="17"/>
          <w:szCs w:val="17"/>
          <w:color w:val="auto"/>
        </w:rPr>
      </w:pPr>
      <w:r>
        <w:rPr>
          <w:rFonts w:ascii="Arial" w:cs="Arial" w:eastAsia="Arial" w:hAnsi="Arial"/>
          <w:sz w:val="17"/>
          <w:szCs w:val="17"/>
          <w:color w:val="auto"/>
        </w:rPr>
        <w:t>No later than thirty (30) days after the achievement of a Milestone Event, Immedica shall provide written notice to Aeglea of the achievement of such Milestone Event and shall pay to Aeglea the corresponding Milestone Payment, less any Milestone Set-Offs.</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Each Milestone Payment to be paid by or on behalf of Immedica shall be paid in U.S. Dollars.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99" w:name="page700"/>
    <w:bookmarkEnd w:id="699"/>
    <w:p>
      <w:pPr>
        <w:ind w:left="4" w:right="80" w:firstLine="987"/>
        <w:spacing w:after="0" w:line="255" w:lineRule="auto"/>
        <w:tabs>
          <w:tab w:leader="none" w:pos="1250" w:val="left"/>
        </w:tabs>
        <w:numPr>
          <w:ilvl w:val="1"/>
          <w:numId w:val="6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(i) the maximum aggregate amount of Milestone Payments Immedica shall be obligated to pay to Aeglea pursuant to the table set forth in this Section 1.2 shall be $100,000,000, (ii) each unique row in the table set forth in this Section 1.2 represents a separate Milestone Event, and accordingly, there are five (5) distinct Milestone Events, (iii) each Milestone Event may be achieved no more than one time, (iv) each Milestone Payment shall be payable only once, if at all, upon the first achievement of the applicable Milestone Event (regardless of (A) any subsequent or repeated achievement of a Milestone Event and (B) the number of subsequent Products achieving such Milestone Events).</w:t>
      </w:r>
    </w:p>
    <w:p>
      <w:pPr>
        <w:spacing w:after="0" w:line="192" w:lineRule="exact"/>
        <w:rPr>
          <w:rFonts w:ascii="Arial" w:cs="Arial" w:eastAsia="Arial" w:hAnsi="Arial"/>
          <w:sz w:val="18"/>
          <w:szCs w:val="18"/>
          <w:color w:val="auto"/>
        </w:rPr>
      </w:pPr>
    </w:p>
    <w:p>
      <w:pPr>
        <w:ind w:left="4" w:right="60" w:firstLine="987"/>
        <w:spacing w:after="0" w:line="285" w:lineRule="auto"/>
        <w:tabs>
          <w:tab w:leader="none" w:pos="1240" w:val="left"/>
        </w:tabs>
        <w:numPr>
          <w:ilvl w:val="1"/>
          <w:numId w:val="67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the Parties acknowledge and agree that, in addition to any other right or remedy under this Agreement, Immedica shall have the right, but not the obligation, from time to time to set off against (x) any Milestone Payment that is owed and has not yet been paid and (y) if applicable, the Specified Patents Holdback Amount if any portion of such amount continues to be held back in accordance with Section 1.2(f) (clauses (x) and (y), the “</w:t>
      </w:r>
      <w:r>
        <w:rPr>
          <w:rFonts w:ascii="Arial" w:cs="Arial" w:eastAsia="Arial" w:hAnsi="Arial"/>
          <w:sz w:val="16"/>
          <w:szCs w:val="16"/>
          <w:u w:val="single" w:color="auto"/>
          <w:color w:val="auto"/>
        </w:rPr>
        <w:t>Available Remedy Amounts</w:t>
      </w:r>
      <w:r>
        <w:rPr>
          <w:rFonts w:ascii="Arial" w:cs="Arial" w:eastAsia="Arial" w:hAnsi="Arial"/>
          <w:sz w:val="16"/>
          <w:szCs w:val="16"/>
          <w:color w:val="auto"/>
        </w:rPr>
        <w:t>”) (each of the following clauses (i), (ii) and (iii), a “</w:t>
      </w:r>
      <w:r>
        <w:rPr>
          <w:rFonts w:ascii="Arial" w:cs="Arial" w:eastAsia="Arial" w:hAnsi="Arial"/>
          <w:sz w:val="16"/>
          <w:szCs w:val="16"/>
          <w:u w:val="single" w:color="auto"/>
          <w:color w:val="auto"/>
        </w:rPr>
        <w:t>Milestone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Set-Off</w:t>
      </w:r>
      <w:r>
        <w:rPr>
          <w:rFonts w:ascii="Arial" w:cs="Arial" w:eastAsia="Arial" w:hAnsi="Arial"/>
          <w:sz w:val="16"/>
          <w:szCs w:val="16"/>
          <w:color w:val="auto"/>
        </w:rPr>
        <w:t>”): (i) any Losses for which any Immedica Indemnified Party is entitled to indemnification pursuant to, and in accordance with, Article VII,</w:t>
      </w:r>
    </w:p>
    <w:p>
      <w:pPr>
        <w:spacing w:after="0" w:line="1" w:lineRule="exact"/>
        <w:rPr>
          <w:rFonts w:ascii="Arial" w:cs="Arial" w:eastAsia="Arial" w:hAnsi="Arial"/>
          <w:sz w:val="16"/>
          <w:szCs w:val="16"/>
          <w:color w:val="auto"/>
        </w:rPr>
      </w:pPr>
    </w:p>
    <w:p>
      <w:pPr>
        <w:ind w:left="4" w:right="20" w:hanging="4"/>
        <w:spacing w:after="0" w:line="285" w:lineRule="auto"/>
        <w:tabs>
          <w:tab w:leader="none" w:pos="269" w:val="left"/>
        </w:tabs>
        <w:numPr>
          <w:ilvl w:val="0"/>
          <w:numId w:val="679"/>
        </w:numPr>
        <w:rPr>
          <w:rFonts w:ascii="Arial" w:cs="Arial" w:eastAsia="Arial" w:hAnsi="Arial"/>
          <w:sz w:val="16"/>
          <w:szCs w:val="16"/>
          <w:color w:val="auto"/>
        </w:rPr>
      </w:pPr>
      <w:r>
        <w:rPr>
          <w:rFonts w:ascii="Arial" w:cs="Arial" w:eastAsia="Arial" w:hAnsi="Arial"/>
          <w:sz w:val="16"/>
          <w:szCs w:val="16"/>
          <w:color w:val="auto"/>
        </w:rPr>
        <w:t xml:space="preserve">any Losses in respect of claims for intentional fraud or willful misconduct, and (iii) any Necessary IP Payments already paid or accrued or then payable by any Immedica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Immedica shall not be entitled to set off any Necessary IP Payment to the extent that any Immedica Indemnified Party receives an indemnification payment for such Necessary IP Payment pursuant to Article VII. Notwithstanding anything in this Agreement to the contrary, to the extent that Immedica is unable to set off any amount of any Necessary IP Payment (such amount, the “</w:t>
      </w:r>
      <w:r>
        <w:rPr>
          <w:rFonts w:ascii="Arial" w:cs="Arial" w:eastAsia="Arial" w:hAnsi="Arial"/>
          <w:sz w:val="16"/>
          <w:szCs w:val="16"/>
          <w:u w:val="single" w:color="auto"/>
          <w:color w:val="auto"/>
        </w:rPr>
        <w:t>Necessary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IP Payment Carryover</w:t>
      </w:r>
      <w:r>
        <w:rPr>
          <w:rFonts w:ascii="Arial" w:cs="Arial" w:eastAsia="Arial" w:hAnsi="Arial"/>
          <w:sz w:val="16"/>
          <w:szCs w:val="16"/>
          <w:color w:val="auto"/>
        </w:rPr>
        <w:t>”) against any Available Remedy Amount, such Necessary IP Payment Carryover may be set off against any subsequent Available Remedy Amount. Immedica shall keep, and shall instruct any Immedica Indemnified Party to keep, reasonably complete and accurate records of any Milestone Set-Off. Any Milestone Set-Off taken by Immedica will be accompanied by a written notice including an accounting of such Milestone Set-Off (“</w:t>
      </w:r>
      <w:r>
        <w:rPr>
          <w:rFonts w:ascii="Arial" w:cs="Arial" w:eastAsia="Arial" w:hAnsi="Arial"/>
          <w:sz w:val="16"/>
          <w:szCs w:val="16"/>
          <w:u w:val="single" w:color="auto"/>
          <w:color w:val="auto"/>
        </w:rPr>
        <w:t>Set-Off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by Immedica to provide any such Set-Off Notice to Aeglea shall not impact Immedica’s rights under this Section 1.2(e). Upon reasonable written request by Aeglea, Immedica will provide reasonable documentation in support of any Milestone Set-Off, such request to be made no more than six (6) months after the date of the applicable Set-Off Notice. The Parties shall negotiate in good faith to seek to resolve any dispute regarding any Set-Off Notice before making any claim to resolve such dispute.</w:t>
      </w:r>
    </w:p>
    <w:p>
      <w:pPr>
        <w:spacing w:after="0" w:line="174" w:lineRule="exact"/>
        <w:rPr>
          <w:rFonts w:ascii="Arial" w:cs="Arial" w:eastAsia="Arial" w:hAnsi="Arial"/>
          <w:sz w:val="16"/>
          <w:szCs w:val="16"/>
          <w:color w:val="auto"/>
        </w:rPr>
      </w:pPr>
    </w:p>
    <w:p>
      <w:pPr>
        <w:ind w:left="1224" w:hanging="233"/>
        <w:spacing w:after="0"/>
        <w:tabs>
          <w:tab w:leader="none" w:pos="1224" w:val="left"/>
        </w:tabs>
        <w:numPr>
          <w:ilvl w:val="1"/>
          <w:numId w:val="679"/>
        </w:numPr>
        <w:rPr>
          <w:rFonts w:ascii="Arial" w:cs="Arial" w:eastAsia="Arial" w:hAnsi="Arial"/>
          <w:sz w:val="16"/>
          <w:szCs w:val="16"/>
          <w:color w:val="auto"/>
        </w:rPr>
      </w:pPr>
      <w:r>
        <w:rPr>
          <w:rFonts w:ascii="Arial" w:cs="Arial" w:eastAsia="Arial" w:hAnsi="Arial"/>
          <w:sz w:val="16"/>
          <w:szCs w:val="16"/>
          <w:color w:val="auto"/>
        </w:rPr>
        <w:t>Aeglea and Immedica agree to be bound by and comply with the terms and conditions set forth on Schedule 1.2(f) as though set forth in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full herein.</w:t>
      </w:r>
    </w:p>
    <w:p>
      <w:pPr>
        <w:spacing w:after="0" w:line="210" w:lineRule="exact"/>
        <w:rPr>
          <w:rFonts w:ascii="Arial" w:cs="Arial" w:eastAsia="Arial" w:hAnsi="Arial"/>
          <w:sz w:val="16"/>
          <w:szCs w:val="16"/>
          <w:color w:val="auto"/>
        </w:rPr>
      </w:pPr>
    </w:p>
    <w:p>
      <w:pPr>
        <w:ind w:left="1244" w:hanging="253"/>
        <w:spacing w:after="0"/>
        <w:tabs>
          <w:tab w:leader="none" w:pos="1244" w:val="left"/>
        </w:tabs>
        <w:numPr>
          <w:ilvl w:val="1"/>
          <w:numId w:val="679"/>
        </w:numPr>
        <w:rPr>
          <w:rFonts w:ascii="Arial" w:cs="Arial" w:eastAsia="Arial" w:hAnsi="Arial"/>
          <w:sz w:val="18"/>
          <w:szCs w:val="18"/>
          <w:color w:val="auto"/>
        </w:rPr>
      </w:pPr>
      <w:r>
        <w:rPr>
          <w:rFonts w:ascii="Arial" w:cs="Arial" w:eastAsia="Arial" w:hAnsi="Arial"/>
          <w:sz w:val="18"/>
          <w:szCs w:val="18"/>
          <w:color w:val="auto"/>
        </w:rPr>
        <w:t>For purposes of this Section 1.2:</w:t>
      </w:r>
    </w:p>
    <w:p>
      <w:pPr>
        <w:spacing w:after="0" w:line="225" w:lineRule="exact"/>
        <w:rPr>
          <w:sz w:val="20"/>
          <w:szCs w:val="20"/>
          <w:color w:val="auto"/>
        </w:rPr>
      </w:pPr>
    </w:p>
    <w:p>
      <w:pPr>
        <w:ind w:left="4" w:right="100" w:firstLine="987"/>
        <w:spacing w:after="0" w:line="253" w:lineRule="auto"/>
        <w:tabs>
          <w:tab w:leader="none" w:pos="1210"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definitions of Reimbursement Earnout Amount, Actual Reimbursement Percentage, Actual Reimbursement Price, Expected Reimbursement Price and Pricing Reimbursement Approval are stated with respect to a 2 mg vial of the Product. In the event that any of the Milestone Events set forth in the first three rows of the table set forth in this Section 1.2 occurs with respect to a vial with a different amount of Product, the amounts in Euros and British Pounds Sterling will be proportionally adjusted, on a linear basis based on mg of Product, for purposes of calculating the Reimbursement Earnout Amount. By way of example, in the event that any of the Milestone Events set forth in the first three rows of the table set forth in this Section 1.2 occurs with respect to a 4 mg vial of Product, then the Expected Reimbursement Price of such 4 mg vial of Product (A) with respect to France would be [*]/4 mg vial of such Product; (B) with respect to Germany would be [*]/4 mg vial of such Product; and (C) with respect to the United Kingdom would be [*]/4 mg vial of such Product, and the Reimbursement Earnout Amount for such 4 mg vial of such Product would be determined using such amounts.</w:t>
      </w:r>
    </w:p>
    <w:p>
      <w:pPr>
        <w:spacing w:after="0" w:line="1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700" w:name="page701"/>
    <w:bookmarkEnd w:id="700"/>
    <w:p>
      <w:pPr>
        <w:ind w:left="-40" w:right="160" w:firstLine="987"/>
        <w:spacing w:after="0" w:line="255" w:lineRule="auto"/>
        <w:tabs>
          <w:tab w:leader="none" w:pos="1216" w:val="left"/>
        </w:tabs>
        <w:numPr>
          <w:ilvl w:val="0"/>
          <w:numId w:val="6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Actual Reimbursement Percentage</w:t>
      </w:r>
      <w:r>
        <w:rPr>
          <w:rFonts w:ascii="Arial" w:cs="Arial" w:eastAsia="Arial" w:hAnsi="Arial"/>
          <w:sz w:val="18"/>
          <w:szCs w:val="18"/>
          <w:color w:val="auto"/>
        </w:rPr>
        <w:t xml:space="preserve">” means, with respect to a 2 mg vial of the Product in a given country, a number equal to the quotient of (A) the Actual Reimbursement Price for such 2 mg vial of the Product received by Immedica in such country,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Expected Reimbursement Price for such 2 mg vial of the Product in such country. By way of examples, if the Actual Reimbursement Price for a 2 mg vial of the Product received by Immedica in France is [*], then the Actual Reimbursement Percentage for such 2 mg vial of the Product in France is [*] or 93%; and if the Actual Reimbursement Price for a 2 mg vial of the Product received by Immedica in Germany is [*], then the Actual Reimbursement Percentage for such 2 mg vial of the Product is [*] or 87%.</w:t>
      </w:r>
    </w:p>
    <w:p>
      <w:pPr>
        <w:spacing w:after="0" w:line="192" w:lineRule="exact"/>
        <w:rPr>
          <w:rFonts w:ascii="Arial" w:cs="Arial" w:eastAsia="Arial" w:hAnsi="Arial"/>
          <w:sz w:val="18"/>
          <w:szCs w:val="18"/>
          <w:color w:val="auto"/>
        </w:rPr>
      </w:pPr>
    </w:p>
    <w:p>
      <w:pPr>
        <w:ind w:left="-40" w:right="60" w:firstLine="987"/>
        <w:spacing w:after="0" w:line="279" w:lineRule="auto"/>
        <w:tabs>
          <w:tab w:leader="none" w:pos="1266" w:val="left"/>
        </w:tabs>
        <w:numPr>
          <w:ilvl w:val="0"/>
          <w:numId w:val="6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Actual Reimbursement Price</w:t>
      </w:r>
      <w:r>
        <w:rPr>
          <w:rFonts w:ascii="Arial" w:cs="Arial" w:eastAsia="Arial" w:hAnsi="Arial"/>
          <w:sz w:val="17"/>
          <w:szCs w:val="17"/>
          <w:color w:val="auto"/>
        </w:rPr>
        <w:t>” means, with respect to a given country, the price reimbursed by the applicable Governmental Authority, net of any mandatory rebates, for a 2 mg vial of the Product in such country pursuant to the Pricing and Reimbursement Approval for such 2 mg vial of the Product in such country, where such reimbursed price may be the listed price or a discounted price, net of any mandatory rebates, of such 2 mg vial of the Product that is agreed and approved between Immedica and such applicable Governmental Authority.</w:t>
      </w:r>
    </w:p>
    <w:p>
      <w:pPr>
        <w:spacing w:after="0" w:line="171" w:lineRule="exact"/>
        <w:rPr>
          <w:rFonts w:ascii="Arial" w:cs="Arial" w:eastAsia="Arial" w:hAnsi="Arial"/>
          <w:sz w:val="17"/>
          <w:szCs w:val="17"/>
          <w:color w:val="auto"/>
        </w:rPr>
      </w:pPr>
    </w:p>
    <w:p>
      <w:pPr>
        <w:ind w:left="-40" w:right="100" w:firstLine="987"/>
        <w:spacing w:after="0" w:line="277" w:lineRule="auto"/>
        <w:tabs>
          <w:tab w:leader="none" w:pos="1256" w:val="left"/>
        </w:tabs>
        <w:numPr>
          <w:ilvl w:val="0"/>
          <w:numId w:val="6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Expected Reimbursement Price</w:t>
      </w:r>
      <w:r>
        <w:rPr>
          <w:rFonts w:ascii="Arial" w:cs="Arial" w:eastAsia="Arial" w:hAnsi="Arial"/>
          <w:sz w:val="18"/>
          <w:szCs w:val="18"/>
          <w:color w:val="auto"/>
        </w:rPr>
        <w:t>” means, (A) with respect to France, [*]/2 mg vial of the Product; (B) with respect to Germany, [*]/2 mg vial of the Product; and (C) with respect to the United Kingdom, [*]/2 mg vial of the Product.</w:t>
      </w:r>
    </w:p>
    <w:p>
      <w:pPr>
        <w:spacing w:after="0" w:line="62" w:lineRule="exact"/>
        <w:rPr>
          <w:rFonts w:ascii="Arial" w:cs="Arial" w:eastAsia="Arial" w:hAnsi="Arial"/>
          <w:sz w:val="18"/>
          <w:szCs w:val="18"/>
          <w:color w:val="auto"/>
        </w:rPr>
      </w:pPr>
    </w:p>
    <w:p>
      <w:pPr>
        <w:ind w:left="1200" w:hanging="253"/>
        <w:spacing w:after="0"/>
        <w:tabs>
          <w:tab w:leader="none" w:pos="1200" w:val="left"/>
        </w:tabs>
        <w:numPr>
          <w:ilvl w:val="0"/>
          <w:numId w:val="6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0" w:firstLine="987"/>
        <w:spacing w:after="0" w:line="269" w:lineRule="auto"/>
        <w:tabs>
          <w:tab w:leader="none" w:pos="1256" w:val="left"/>
        </w:tabs>
        <w:numPr>
          <w:ilvl w:val="0"/>
          <w:numId w:val="6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Pricing and Reimbursement Approval</w:t>
      </w:r>
      <w:r>
        <w:rPr>
          <w:rFonts w:ascii="Arial" w:cs="Arial" w:eastAsia="Arial" w:hAnsi="Arial"/>
          <w:sz w:val="17"/>
          <w:szCs w:val="17"/>
          <w:color w:val="auto"/>
        </w:rPr>
        <w:t>” means, with respect to a 2 mg vial of the Product in a given country, following Regulatory Approval of such 2 mg vial of the Product for the treatment of Arginase-1 Deficiency in such country by the applicable Regulatory Authority in such country, the later of (A) the approval, agreement, determination or decision by (1) the Ministries of Health and Social Security in France as published in the Journal Officiel, (2) the National Institute for Health and Care Excellence in the United Kingdom as set forth in the applicable commercial access agreement and (3) Spitzenverband der Gesetzlichen Krankenkassen (GKV-Spitzenverband) in Germany as published in the Lauer Taxe establishing a price for such 2 mg vial of the Product that can be legally charged to consumers, if required or desirable, in such country in connection with the broad commercialization of such 2 mg vial of the Product for the treatment of Arginase-1 Deficiency in such country; and (B) the approval, agreement, determination or decision by the foregoing applicable Governmental Authority establishing the level of reimbursement for such 2 mg vial of the Product that will be reimbursed by such Governmental Authority, if required or desirable, in such country in connection with the broad commercialization of such 2 mg vial of the Product for the treatment of Arginase-1 Deficiency in such country.</w:t>
      </w:r>
    </w:p>
    <w:p>
      <w:pPr>
        <w:spacing w:after="0" w:line="185" w:lineRule="exact"/>
        <w:rPr>
          <w:rFonts w:ascii="Arial" w:cs="Arial" w:eastAsia="Arial" w:hAnsi="Arial"/>
          <w:sz w:val="17"/>
          <w:szCs w:val="17"/>
          <w:color w:val="auto"/>
        </w:rPr>
      </w:pPr>
    </w:p>
    <w:p>
      <w:pPr>
        <w:ind w:left="1300" w:hanging="353"/>
        <w:spacing w:after="0"/>
        <w:tabs>
          <w:tab w:leader="none" w:pos="1300" w:val="left"/>
        </w:tabs>
        <w:numPr>
          <w:ilvl w:val="0"/>
          <w:numId w:val="6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60" w:hanging="413"/>
        <w:spacing w:after="0"/>
        <w:tabs>
          <w:tab w:leader="none" w:pos="1360" w:val="left"/>
        </w:tabs>
        <w:numPr>
          <w:ilvl w:val="0"/>
          <w:numId w:val="6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60" w:hanging="313"/>
        <w:spacing w:after="0"/>
        <w:tabs>
          <w:tab w:leader="none" w:pos="1260" w:val="left"/>
        </w:tabs>
        <w:numPr>
          <w:ilvl w:val="0"/>
          <w:numId w:val="6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0" w:right="200" w:firstLine="987"/>
        <w:spacing w:after="0" w:line="311" w:lineRule="auto"/>
        <w:tabs>
          <w:tab w:leader="none" w:pos="1206" w:val="left"/>
        </w:tabs>
        <w:numPr>
          <w:ilvl w:val="0"/>
          <w:numId w:val="6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Reimbursement Earnout Amount</w:t>
      </w:r>
      <w:r>
        <w:rPr>
          <w:rFonts w:ascii="Arial" w:cs="Arial" w:eastAsia="Arial" w:hAnsi="Arial"/>
          <w:sz w:val="16"/>
          <w:szCs w:val="16"/>
          <w:color w:val="auto"/>
        </w:rPr>
        <w:t>” means, with respect to a 2 mg vial of the Product in a given country: (A) if the Actual Reimbursement Percentage of such 2 mg vial of the Product in such country is equal to 100% or more, $10,000,000, (B) if the Actual Reimbursement Percentage of such 2 mg vial of the Product in such country is less than 80%, zero, and (C) if the Actual Reimbursement Percentage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80" w:top="274" w:right="479" w:bottom="1440" w:gutter="0" w:footer="0" w:header="0"/>
        </w:sectPr>
      </w:pPr>
    </w:p>
    <w:bookmarkStart w:id="701" w:name="page702"/>
    <w:bookmarkEnd w:id="70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such 2 mg vial of the Product in such country is 80% or more but less than 100%, an amount equal to the sum of (i) $3,333,333 and (ii) the product of (A)(x) the Actual Reimbursement Percentage for such 2 mg vial of the Product in such country </w:t>
      </w:r>
      <w:r>
        <w:rPr>
          <w:rFonts w:ascii="Arial" w:cs="Arial" w:eastAsia="Arial" w:hAnsi="Arial"/>
          <w:sz w:val="18"/>
          <w:szCs w:val="18"/>
          <w:i w:val="1"/>
          <w:iCs w:val="1"/>
          <w:color w:val="auto"/>
        </w:rPr>
        <w:t>minus</w:t>
      </w:r>
      <w:r>
        <w:rPr>
          <w:rFonts w:ascii="Arial" w:cs="Arial" w:eastAsia="Arial" w:hAnsi="Arial"/>
          <w:sz w:val="18"/>
          <w:szCs w:val="18"/>
          <w:color w:val="auto"/>
        </w:rPr>
        <w:t xml:space="preserve"> 80%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20%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$6,666,666; or, in the case of the foregoing clause (C), the formula expressed as follows:</w:t>
      </w:r>
    </w:p>
    <w:p>
      <w:pPr>
        <w:spacing w:after="0" w:line="211" w:lineRule="exact"/>
        <w:rPr>
          <w:sz w:val="20"/>
          <w:szCs w:val="20"/>
          <w:color w:val="auto"/>
        </w:rPr>
      </w:pPr>
    </w:p>
    <w:p>
      <w:pPr>
        <w:spacing w:after="0"/>
        <w:tabs>
          <w:tab w:leader="none" w:pos="1000" w:val="left"/>
          <w:tab w:leader="none" w:pos="3800" w:val="left"/>
          <w:tab w:leader="none" w:pos="9860" w:val="left"/>
          <w:tab w:leader="none" w:pos="10180" w:val="left"/>
        </w:tabs>
        <w:rPr>
          <w:sz w:val="20"/>
          <w:szCs w:val="20"/>
          <w:color w:val="auto"/>
        </w:rPr>
      </w:pPr>
      <w:r>
        <w:rPr>
          <w:rFonts w:ascii="Arial" w:cs="Arial" w:eastAsia="Arial" w:hAnsi="Arial"/>
          <w:sz w:val="18"/>
          <w:szCs w:val="18"/>
          <w:color w:val="auto"/>
        </w:rPr>
        <w:t>$3,333,333</w:t>
        <w:tab/>
        <w:t>+</w:t>
      </w:r>
      <w:r>
        <w:rPr>
          <w:sz w:val="20"/>
          <w:szCs w:val="20"/>
          <w:color w:val="auto"/>
        </w:rPr>
        <w:tab/>
      </w:r>
      <w:r>
        <w:rPr>
          <w:rFonts w:ascii="Arial" w:cs="Arial" w:eastAsia="Arial" w:hAnsi="Arial"/>
          <w:sz w:val="18"/>
          <w:szCs w:val="18"/>
          <w:color w:val="auto"/>
        </w:rPr>
        <w:t>Actual Reimbursement Percentage minus 80%</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$6,666,666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14605</wp:posOffset>
            </wp:positionV>
            <wp:extent cx="534924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11" w:lineRule="exact"/>
        <w:rPr>
          <w:sz w:val="20"/>
          <w:szCs w:val="20"/>
          <w:color w:val="auto"/>
        </w:rPr>
      </w:pPr>
    </w:p>
    <w:p>
      <w:pPr>
        <w:ind w:left="1300" w:hanging="313"/>
        <w:spacing w:after="0"/>
        <w:tabs>
          <w:tab w:leader="none" w:pos="130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6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Acquired Assets.</w:t>
      </w:r>
    </w:p>
    <w:p>
      <w:pPr>
        <w:spacing w:after="0" w:line="225" w:lineRule="exact"/>
        <w:rPr>
          <w:sz w:val="20"/>
          <w:szCs w:val="20"/>
          <w:color w:val="auto"/>
        </w:rPr>
      </w:pPr>
    </w:p>
    <w:p>
      <w:pPr>
        <w:ind w:right="160" w:firstLine="987"/>
        <w:spacing w:after="0" w:line="311" w:lineRule="auto"/>
        <w:tabs>
          <w:tab w:leader="none" w:pos="1236" w:val="left"/>
        </w:tabs>
        <w:numPr>
          <w:ilvl w:val="0"/>
          <w:numId w:val="683"/>
        </w:numPr>
        <w:rPr>
          <w:rFonts w:ascii="Arial" w:cs="Arial" w:eastAsia="Arial" w:hAnsi="Arial"/>
          <w:sz w:val="16"/>
          <w:szCs w:val="16"/>
          <w:color w:val="auto"/>
        </w:rPr>
      </w:pPr>
      <w:r>
        <w:rPr>
          <w:rFonts w:ascii="Arial" w:cs="Arial" w:eastAsia="Arial" w:hAnsi="Arial"/>
          <w:sz w:val="16"/>
          <w:szCs w:val="16"/>
          <w:color w:val="auto"/>
        </w:rPr>
        <w:t>On the terms and subject to the conditions set forth in this Agreement, at the Closing, Aeglea shall, and shall cause its Subsidiaries to, sell, assign, transfer, convey and deliver to Immedica, and Immedica shall receive, acquire and accept, all right, title and interest of Aeglea and its Subsidiaries in, to and under the Acquired Assets (including the Assigned Intellectual Property), free and clear of all Liens except for Permitted Liens.</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6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Assets</w:t>
      </w:r>
      <w:r>
        <w:rPr>
          <w:rFonts w:ascii="Arial" w:cs="Arial" w:eastAsia="Arial" w:hAnsi="Arial"/>
          <w:sz w:val="18"/>
          <w:szCs w:val="18"/>
          <w:color w:val="auto"/>
        </w:rPr>
        <w:t>” means the following assets at the Closing:</w:t>
      </w:r>
    </w:p>
    <w:p>
      <w:pPr>
        <w:spacing w:after="0" w:line="117" w:lineRule="exact"/>
        <w:rPr>
          <w:sz w:val="20"/>
          <w:szCs w:val="20"/>
          <w:color w:val="auto"/>
        </w:rPr>
      </w:pPr>
    </w:p>
    <w:p>
      <w:pPr>
        <w:ind w:left="1200" w:hanging="213"/>
        <w:spacing w:after="0"/>
        <w:tabs>
          <w:tab w:leader="none" w:pos="12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the assets listed on Schedule 2.1(b)(i)(D);</w:t>
      </w:r>
    </w:p>
    <w:p>
      <w:pPr>
        <w:spacing w:after="0" w:line="225" w:lineRule="exact"/>
        <w:rPr>
          <w:rFonts w:ascii="Arial" w:cs="Arial" w:eastAsia="Arial" w:hAnsi="Arial"/>
          <w:sz w:val="18"/>
          <w:szCs w:val="18"/>
          <w:color w:val="auto"/>
        </w:rPr>
      </w:pPr>
    </w:p>
    <w:p>
      <w:pPr>
        <w:ind w:left="1260" w:hanging="273"/>
        <w:spacing w:after="0"/>
        <w:tabs>
          <w:tab w:leader="none" w:pos="126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the Assigned Contracts;</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all Biological Materials;</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right="60" w:firstLine="987"/>
        <w:spacing w:after="0" w:line="259" w:lineRule="auto"/>
        <w:tabs>
          <w:tab w:leader="none" w:pos="1246" w:val="left"/>
        </w:tabs>
        <w:numPr>
          <w:ilvl w:val="0"/>
          <w:numId w:val="684"/>
        </w:numPr>
        <w:rPr>
          <w:rFonts w:ascii="Arial" w:cs="Arial" w:eastAsia="Arial" w:hAnsi="Arial"/>
          <w:sz w:val="18"/>
          <w:szCs w:val="18"/>
          <w:color w:val="auto"/>
        </w:rPr>
      </w:pPr>
      <w:r>
        <w:rPr>
          <w:rFonts w:ascii="Arial" w:cs="Arial" w:eastAsia="Arial" w:hAnsi="Arial"/>
          <w:sz w:val="18"/>
          <w:szCs w:val="18"/>
          <w:color w:val="auto"/>
        </w:rPr>
        <w:t>all Product Registrations that are (A) used in or held for use in the Program or in connection with the Product or (B) listed on Schedule 2.1(b)(v) (collectively, the “</w:t>
      </w:r>
      <w:r>
        <w:rPr>
          <w:rFonts w:ascii="Arial" w:cs="Arial" w:eastAsia="Arial" w:hAnsi="Arial"/>
          <w:sz w:val="18"/>
          <w:szCs w:val="18"/>
          <w:u w:val="single" w:color="auto"/>
          <w:color w:val="auto"/>
        </w:rPr>
        <w:t>Transferred Product Registrations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Aeglea shall be entitled to retain copies of the Transferred Product Registrations solely to the extent necessary to comply with applicable Law and its internal document retention policies, subject to Aeglea’s nonuse and confidentiality obligations set forth in Section 6.2;</w:t>
      </w:r>
    </w:p>
    <w:p>
      <w:pPr>
        <w:spacing w:after="0" w:line="186" w:lineRule="exact"/>
        <w:rPr>
          <w:rFonts w:ascii="Arial" w:cs="Arial" w:eastAsia="Arial" w:hAnsi="Arial"/>
          <w:sz w:val="18"/>
          <w:szCs w:val="18"/>
          <w:color w:val="auto"/>
        </w:rPr>
      </w:pPr>
    </w:p>
    <w:p>
      <w:pPr>
        <w:ind w:right="180" w:firstLine="987"/>
        <w:spacing w:after="0" w:line="296" w:lineRule="auto"/>
        <w:tabs>
          <w:tab w:leader="none" w:pos="1296" w:val="left"/>
        </w:tabs>
        <w:numPr>
          <w:ilvl w:val="0"/>
          <w:numId w:val="684"/>
        </w:numPr>
        <w:rPr>
          <w:rFonts w:ascii="Arial" w:cs="Arial" w:eastAsia="Arial" w:hAnsi="Arial"/>
          <w:sz w:val="16"/>
          <w:szCs w:val="16"/>
          <w:color w:val="auto"/>
        </w:rPr>
      </w:pPr>
      <w:r>
        <w:rPr>
          <w:rFonts w:ascii="Arial" w:cs="Arial" w:eastAsia="Arial" w:hAnsi="Arial"/>
          <w:sz w:val="16"/>
          <w:szCs w:val="16"/>
          <w:color w:val="auto"/>
        </w:rPr>
        <w:t>all Documents primarily related to the Program or Product or that are otherwise related to the Product or Program and reasonably necessary and useful to the Product or the Program (collectively, the “</w:t>
      </w:r>
      <w:r>
        <w:rPr>
          <w:rFonts w:ascii="Arial" w:cs="Arial" w:eastAsia="Arial" w:hAnsi="Arial"/>
          <w:sz w:val="16"/>
          <w:szCs w:val="16"/>
          <w:u w:val="single" w:color="auto"/>
          <w:color w:val="auto"/>
        </w:rPr>
        <w:t>Transferred Documents</w:t>
      </w:r>
      <w:r>
        <w:rPr>
          <w:rFonts w:ascii="Arial" w:cs="Arial" w:eastAsia="Arial" w:hAnsi="Arial"/>
          <w:sz w:val="16"/>
          <w:szCs w:val="16"/>
          <w:color w:val="auto"/>
        </w:rPr>
        <w:t xml:space="preserve">”), including all attorney-client privilege and attorney work-product protection and all Documents subject to the attorney-client privilege or work-product protection in each case that relate to the Product or the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Transferred Documents shall exclude all (w) personnel files for any current or former directors, officers, employees, independent contractors or consultants (collectively, “</w:t>
      </w:r>
      <w:r>
        <w:rPr>
          <w:rFonts w:ascii="Arial" w:cs="Arial" w:eastAsia="Arial" w:hAnsi="Arial"/>
          <w:sz w:val="16"/>
          <w:szCs w:val="16"/>
          <w:u w:val="single" w:color="auto"/>
          <w:color w:val="auto"/>
        </w:rPr>
        <w:t>Aeglea Service Providers</w:t>
      </w:r>
      <w:r>
        <w:rPr>
          <w:rFonts w:ascii="Arial" w:cs="Arial" w:eastAsia="Arial" w:hAnsi="Arial"/>
          <w:sz w:val="16"/>
          <w:szCs w:val="16"/>
          <w:color w:val="auto"/>
        </w:rPr>
        <w:t>”), (x) Documents relating to Spyre Therapeutics,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702" w:name="page703"/>
    <w:bookmarkEnd w:id="702"/>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its businesses or assets, as well as the transactions (the “</w:t>
      </w:r>
      <w:r>
        <w:rPr>
          <w:rFonts w:ascii="Arial" w:cs="Arial" w:eastAsia="Arial" w:hAnsi="Arial"/>
          <w:sz w:val="17"/>
          <w:szCs w:val="17"/>
          <w:u w:val="single" w:color="auto"/>
          <w:color w:val="auto"/>
        </w:rPr>
        <w:t>Spyre Transactions</w:t>
      </w:r>
      <w:r>
        <w:rPr>
          <w:rFonts w:ascii="Arial" w:cs="Arial" w:eastAsia="Arial" w:hAnsi="Arial"/>
          <w:sz w:val="17"/>
          <w:szCs w:val="17"/>
          <w:color w:val="auto"/>
        </w:rPr>
        <w:t>”) contemplated by that certain Agreement and Plan of Merger, dated June 22, 2023, by and between Aeglea, Spyre Therapeutics, Inc., Aspen Merger Sub I, Inc. and Sequoia Merger Sub II, LLC (collectively, the “</w:t>
      </w:r>
      <w:r>
        <w:rPr>
          <w:rFonts w:ascii="Arial" w:cs="Arial" w:eastAsia="Arial" w:hAnsi="Arial"/>
          <w:sz w:val="17"/>
          <w:szCs w:val="17"/>
          <w:u w:val="single" w:color="auto"/>
          <w:color w:val="auto"/>
        </w:rPr>
        <w:t>Spyre</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xml:space="preserve">”), (y) Documents subject to the attorney-client privilege or work-product protection relating solely to the License Agreement (and not the Product or the Program), and (z) Documents relating to the determination by Aeglea or any of its Subsidiaries with respect to the wind-down or discontinuation of all or a portion of the Program or any study related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Aeglea shall be entitled to (1) redact information from any Transferred Document that if in a separate document would fall within the foregoing exceptions or that relates exclusively to something other than the Product or the Program, and (2) retain copies of the foregoing (A) to the extent necessary to comply with applicable Law and its internal document retention policies and (B) to the extent any Transferred Document relates to Excluded Assets or Excluded Liabilities, in each case, subject to Aeglea’s nonuse and confidentiality obligations set forth in Section 6.2;</w:t>
      </w:r>
    </w:p>
    <w:p>
      <w:pPr>
        <w:spacing w:after="0" w:line="181" w:lineRule="exact"/>
        <w:rPr>
          <w:sz w:val="20"/>
          <w:szCs w:val="20"/>
          <w:color w:val="auto"/>
        </w:rPr>
      </w:pPr>
    </w:p>
    <w:p>
      <w:pPr>
        <w:ind w:right="140" w:firstLine="987"/>
        <w:spacing w:after="0" w:line="259" w:lineRule="auto"/>
        <w:tabs>
          <w:tab w:leader="none" w:pos="1346"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all claims, causes of action (including the right to sue for past infringement or misappropriation), defenses, rights of recovery and rights of set-off against third parties and all credits (including all guarantees, warranties, indemnities and similar rights) in favor of Aeglea or any of its Subsidiaries, in each case to the extent relating to, arising out of or in connection with the Product, the Program, the Acquired Assets or the Assumed Liabilities; and</w:t>
      </w:r>
    </w:p>
    <w:p>
      <w:pPr>
        <w:spacing w:after="0" w:line="186" w:lineRule="exact"/>
        <w:rPr>
          <w:rFonts w:ascii="Arial" w:cs="Arial" w:eastAsia="Arial" w:hAnsi="Arial"/>
          <w:sz w:val="18"/>
          <w:szCs w:val="18"/>
          <w:color w:val="auto"/>
        </w:rPr>
      </w:pPr>
    </w:p>
    <w:p>
      <w:pPr>
        <w:ind w:right="60" w:firstLine="987"/>
        <w:spacing w:after="0" w:line="277" w:lineRule="auto"/>
        <w:tabs>
          <w:tab w:leader="none" w:pos="1396" w:val="left"/>
        </w:tabs>
        <w:numPr>
          <w:ilvl w:val="0"/>
          <w:numId w:val="685"/>
        </w:numPr>
        <w:rPr>
          <w:rFonts w:ascii="Arial" w:cs="Arial" w:eastAsia="Arial" w:hAnsi="Arial"/>
          <w:sz w:val="18"/>
          <w:szCs w:val="18"/>
          <w:color w:val="auto"/>
        </w:rPr>
      </w:pPr>
      <w:r>
        <w:rPr>
          <w:rFonts w:ascii="Arial" w:cs="Arial" w:eastAsia="Arial" w:hAnsi="Arial"/>
          <w:sz w:val="18"/>
          <w:szCs w:val="18"/>
          <w:color w:val="auto"/>
        </w:rPr>
        <w:t>all other assets, properties and rights of a type not expressly covered in this Section 2.1(b) that are exclusively related to, exclusively used in or exclusively held for use in Program or in connection with the Product.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3" w:lineRule="auto"/>
        <w:tabs>
          <w:tab w:leader="none" w:pos="1236" w:val="left"/>
        </w:tabs>
        <w:numPr>
          <w:ilvl w:val="0"/>
          <w:numId w:val="68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nothing herein contained shall be deemed to sell, transfer, assign or convey to Immedica the Excluded Assets, and Aeglea and its Subsidiaries shall retain all right, title and interest to, in and under the Excluded Assets and Immedica shall not acquire any of the Excluded Assets.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6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each of the following assets at the Closing:</w:t>
      </w:r>
    </w:p>
    <w:p>
      <w:pPr>
        <w:spacing w:after="0" w:line="117" w:lineRule="exact"/>
        <w:rPr>
          <w:sz w:val="20"/>
          <w:szCs w:val="20"/>
          <w:color w:val="auto"/>
        </w:rPr>
      </w:pPr>
    </w:p>
    <w:p>
      <w:pPr>
        <w:ind w:left="1200" w:hanging="213"/>
        <w:spacing w:after="0"/>
        <w:tabs>
          <w:tab w:leader="none" w:pos="1200" w:val="left"/>
        </w:tabs>
        <w:numPr>
          <w:ilvl w:val="0"/>
          <w:numId w:val="687"/>
        </w:numPr>
        <w:rPr>
          <w:rFonts w:ascii="Arial" w:cs="Arial" w:eastAsia="Arial" w:hAnsi="Arial"/>
          <w:sz w:val="16"/>
          <w:szCs w:val="16"/>
          <w:color w:val="auto"/>
        </w:rPr>
      </w:pPr>
      <w:r>
        <w:rPr>
          <w:rFonts w:ascii="Arial" w:cs="Arial" w:eastAsia="Arial" w:hAnsi="Arial"/>
          <w:sz w:val="16"/>
          <w:szCs w:val="16"/>
          <w:color w:val="auto"/>
        </w:rPr>
        <w:t>all cash and cash equivalents, securities, negotiable instruments, accounts receivable, notes and other amounts receivable of Aeglea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Subsidiaries;</w:t>
      </w:r>
    </w:p>
    <w:p>
      <w:pPr>
        <w:spacing w:after="0" w:line="210" w:lineRule="exact"/>
        <w:rPr>
          <w:rFonts w:ascii="Arial" w:cs="Arial" w:eastAsia="Arial" w:hAnsi="Arial"/>
          <w:sz w:val="16"/>
          <w:szCs w:val="16"/>
          <w:color w:val="auto"/>
        </w:rPr>
      </w:pPr>
    </w:p>
    <w:p>
      <w:pPr>
        <w:ind w:left="1260" w:hanging="273"/>
        <w:spacing w:after="0"/>
        <w:tabs>
          <w:tab w:leader="none" w:pos="1260" w:val="left"/>
        </w:tabs>
        <w:numPr>
          <w:ilvl w:val="0"/>
          <w:numId w:val="687"/>
        </w:numPr>
        <w:rPr>
          <w:rFonts w:ascii="Arial" w:cs="Arial" w:eastAsia="Arial" w:hAnsi="Arial"/>
          <w:sz w:val="18"/>
          <w:szCs w:val="18"/>
          <w:color w:val="auto"/>
        </w:rPr>
      </w:pPr>
      <w:r>
        <w:rPr>
          <w:rFonts w:ascii="Arial" w:cs="Arial" w:eastAsia="Arial" w:hAnsi="Arial"/>
          <w:sz w:val="18"/>
          <w:szCs w:val="18"/>
          <w:color w:val="auto"/>
        </w:rPr>
        <w:t>any rights to Tax refunds, credits, deductions, allowances or other Tax benefits of Aeglea or its Subsidiaries;</w:t>
      </w:r>
    </w:p>
    <w:p>
      <w:pPr>
        <w:spacing w:after="0" w:line="225" w:lineRule="exact"/>
        <w:rPr>
          <w:rFonts w:ascii="Arial" w:cs="Arial" w:eastAsia="Arial" w:hAnsi="Arial"/>
          <w:sz w:val="18"/>
          <w:szCs w:val="18"/>
          <w:color w:val="auto"/>
        </w:rPr>
      </w:pPr>
    </w:p>
    <w:p>
      <w:pPr>
        <w:ind w:right="200" w:firstLine="987"/>
        <w:spacing w:after="0" w:line="311" w:lineRule="auto"/>
        <w:tabs>
          <w:tab w:leader="none" w:pos="1306" w:val="left"/>
        </w:tabs>
        <w:numPr>
          <w:ilvl w:val="0"/>
          <w:numId w:val="687"/>
        </w:numPr>
        <w:rPr>
          <w:rFonts w:ascii="Arial" w:cs="Arial" w:eastAsia="Arial" w:hAnsi="Arial"/>
          <w:sz w:val="16"/>
          <w:szCs w:val="16"/>
          <w:color w:val="auto"/>
        </w:rPr>
      </w:pPr>
      <w:r>
        <w:rPr>
          <w:rFonts w:ascii="Arial" w:cs="Arial" w:eastAsia="Arial" w:hAnsi="Arial"/>
          <w:sz w:val="16"/>
          <w:szCs w:val="16"/>
          <w:color w:val="auto"/>
        </w:rPr>
        <w:t>the company seal, minute books, charter documents, stock or equity record books and such other books and records as pertain to the organization, existence or capitalization of Aeglea and its Subsidiaries, as well as any other records or materials relating to Aeglea or its Subsidiaries that are exclusively related to the Excluded Assets or are not related to the Acquired Assets, the Program or the Product;</w:t>
      </w:r>
    </w:p>
    <w:p>
      <w:pPr>
        <w:spacing w:after="0" w:line="148" w:lineRule="exact"/>
        <w:rPr>
          <w:rFonts w:ascii="Arial" w:cs="Arial" w:eastAsia="Arial" w:hAnsi="Arial"/>
          <w:sz w:val="16"/>
          <w:szCs w:val="16"/>
          <w:color w:val="auto"/>
        </w:rPr>
      </w:pPr>
    </w:p>
    <w:p>
      <w:pPr>
        <w:ind w:right="60" w:firstLine="987"/>
        <w:spacing w:after="0" w:line="277" w:lineRule="auto"/>
        <w:tabs>
          <w:tab w:leader="none" w:pos="1296"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shares of capital stock, partnership interests, membership interests or other equity interests of any Person (including Aeglea or any of its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703" w:name="page704"/>
    <w:bookmarkEnd w:id="703"/>
    <w:p>
      <w:pPr>
        <w:ind w:left="4" w:right="260" w:firstLine="987"/>
        <w:spacing w:after="0" w:line="277" w:lineRule="auto"/>
        <w:tabs>
          <w:tab w:leader="none" w:pos="1250" w:val="left"/>
        </w:tabs>
        <w:numPr>
          <w:ilvl w:val="1"/>
          <w:numId w:val="6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the Assigned Intellectual Property and subject to the terms and conditions of Section 6.6 and the Specified Patent License Agreement, all right, title and interest in and to all Intellectual Property and all other intangible property of Aeglea;</w:t>
      </w:r>
    </w:p>
    <w:p>
      <w:pPr>
        <w:spacing w:after="0" w:line="170" w:lineRule="exact"/>
        <w:rPr>
          <w:rFonts w:ascii="Arial" w:cs="Arial" w:eastAsia="Arial" w:hAnsi="Arial"/>
          <w:sz w:val="18"/>
          <w:szCs w:val="18"/>
          <w:color w:val="auto"/>
        </w:rPr>
      </w:pPr>
    </w:p>
    <w:p>
      <w:pPr>
        <w:ind w:left="1304" w:hanging="313"/>
        <w:spacing w:after="0"/>
        <w:tabs>
          <w:tab w:leader="none" w:pos="1304" w:val="left"/>
        </w:tabs>
        <w:numPr>
          <w:ilvl w:val="1"/>
          <w:numId w:val="688"/>
        </w:numPr>
        <w:rPr>
          <w:rFonts w:ascii="Arial" w:cs="Arial" w:eastAsia="Arial" w:hAnsi="Arial"/>
          <w:sz w:val="18"/>
          <w:szCs w:val="18"/>
          <w:color w:val="auto"/>
        </w:rPr>
      </w:pPr>
      <w:r>
        <w:rPr>
          <w:rFonts w:ascii="Arial" w:cs="Arial" w:eastAsia="Arial" w:hAnsi="Arial"/>
          <w:sz w:val="18"/>
          <w:szCs w:val="18"/>
          <w:color w:val="auto"/>
        </w:rPr>
        <w:t>all equipment and tangible personal property of Aeglea or any of its Subsidiaries;</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688"/>
        </w:numPr>
        <w:rPr>
          <w:rFonts w:ascii="Arial" w:cs="Arial" w:eastAsia="Arial" w:hAnsi="Arial"/>
          <w:sz w:val="18"/>
          <w:szCs w:val="18"/>
          <w:color w:val="auto"/>
        </w:rPr>
      </w:pPr>
      <w:r>
        <w:rPr>
          <w:rFonts w:ascii="Arial" w:cs="Arial" w:eastAsia="Arial" w:hAnsi="Arial"/>
          <w:sz w:val="18"/>
          <w:szCs w:val="18"/>
          <w:color w:val="auto"/>
        </w:rPr>
        <w:t>all real property owned or leased by Aeglea or any of its Subsidiaries;</w:t>
      </w:r>
    </w:p>
    <w:p>
      <w:pPr>
        <w:spacing w:after="0" w:line="225" w:lineRule="exact"/>
        <w:rPr>
          <w:rFonts w:ascii="Arial" w:cs="Arial" w:eastAsia="Arial" w:hAnsi="Arial"/>
          <w:sz w:val="18"/>
          <w:szCs w:val="18"/>
          <w:color w:val="auto"/>
        </w:rPr>
      </w:pPr>
    </w:p>
    <w:p>
      <w:pPr>
        <w:ind w:left="1404" w:hanging="413"/>
        <w:spacing w:after="0"/>
        <w:tabs>
          <w:tab w:leader="none" w:pos="1404" w:val="left"/>
        </w:tabs>
        <w:numPr>
          <w:ilvl w:val="1"/>
          <w:numId w:val="688"/>
        </w:numPr>
        <w:rPr>
          <w:rFonts w:ascii="Arial" w:cs="Arial" w:eastAsia="Arial" w:hAnsi="Arial"/>
          <w:sz w:val="18"/>
          <w:szCs w:val="18"/>
          <w:color w:val="auto"/>
        </w:rPr>
      </w:pPr>
      <w:r>
        <w:rPr>
          <w:rFonts w:ascii="Arial" w:cs="Arial" w:eastAsia="Arial" w:hAnsi="Arial"/>
          <w:sz w:val="18"/>
          <w:szCs w:val="18"/>
          <w:color w:val="auto"/>
        </w:rPr>
        <w:t>all Contracts listed on Schedule 2.2(b)(viii);</w:t>
      </w:r>
    </w:p>
    <w:p>
      <w:pPr>
        <w:spacing w:after="0" w:line="225" w:lineRule="exact"/>
        <w:rPr>
          <w:rFonts w:ascii="Arial" w:cs="Arial" w:eastAsia="Arial" w:hAnsi="Arial"/>
          <w:sz w:val="18"/>
          <w:szCs w:val="18"/>
          <w:color w:val="auto"/>
        </w:rPr>
      </w:pPr>
    </w:p>
    <w:p>
      <w:pPr>
        <w:ind w:left="1304" w:hanging="313"/>
        <w:spacing w:after="0"/>
        <w:tabs>
          <w:tab w:leader="none" w:pos="1304" w:val="left"/>
        </w:tabs>
        <w:numPr>
          <w:ilvl w:val="1"/>
          <w:numId w:val="688"/>
        </w:numPr>
        <w:rPr>
          <w:rFonts w:ascii="Arial" w:cs="Arial" w:eastAsia="Arial" w:hAnsi="Arial"/>
          <w:sz w:val="18"/>
          <w:szCs w:val="18"/>
          <w:color w:val="auto"/>
        </w:rPr>
      </w:pPr>
      <w:r>
        <w:rPr>
          <w:rFonts w:ascii="Arial" w:cs="Arial" w:eastAsia="Arial" w:hAnsi="Arial"/>
          <w:sz w:val="18"/>
          <w:szCs w:val="18"/>
          <w:color w:val="auto"/>
        </w:rPr>
        <w:t>all rights which accrue or will accrue to Aeglea or any of its Subsidiaries under this Agreement;</w:t>
      </w:r>
    </w:p>
    <w:p>
      <w:pPr>
        <w:spacing w:after="0" w:line="225" w:lineRule="exact"/>
        <w:rPr>
          <w:rFonts w:ascii="Arial" w:cs="Arial" w:eastAsia="Arial" w:hAnsi="Arial"/>
          <w:sz w:val="18"/>
          <w:szCs w:val="18"/>
          <w:color w:val="auto"/>
        </w:rPr>
      </w:pPr>
    </w:p>
    <w:p>
      <w:pPr>
        <w:ind w:left="4" w:right="200" w:firstLine="987"/>
        <w:spacing w:after="0" w:line="287" w:lineRule="auto"/>
        <w:tabs>
          <w:tab w:leader="none" w:pos="1250" w:val="left"/>
        </w:tabs>
        <w:numPr>
          <w:ilvl w:val="1"/>
          <w:numId w:val="688"/>
        </w:numPr>
        <w:rPr>
          <w:rFonts w:ascii="Arial" w:cs="Arial" w:eastAsia="Arial" w:hAnsi="Arial"/>
          <w:sz w:val="16"/>
          <w:szCs w:val="16"/>
          <w:color w:val="auto"/>
        </w:rPr>
      </w:pPr>
      <w:r>
        <w:rPr>
          <w:rFonts w:ascii="Arial" w:cs="Arial" w:eastAsia="Arial" w:hAnsi="Arial"/>
          <w:sz w:val="16"/>
          <w:szCs w:val="16"/>
          <w:color w:val="auto"/>
        </w:rPr>
        <w:t>(A) all attorney-client privilege and attorney work-product protection of Aeglea or its Subsidiaries, (B) all Documents subject to the attorney-client privilege or work-product protection, in the case of the foregoing clauses (A) and (B), solely to the extent not primarily related to the Program or Product or that are otherwise not related to the Product or Program and not reasonably necessary and useful to the Product or the Program,</w:t>
      </w:r>
    </w:p>
    <w:p>
      <w:pPr>
        <w:spacing w:after="0" w:line="2" w:lineRule="exact"/>
        <w:rPr>
          <w:rFonts w:ascii="Arial" w:cs="Arial" w:eastAsia="Arial" w:hAnsi="Arial"/>
          <w:sz w:val="16"/>
          <w:szCs w:val="16"/>
          <w:color w:val="auto"/>
        </w:rPr>
      </w:pPr>
    </w:p>
    <w:p>
      <w:pPr>
        <w:ind w:left="4" w:right="300" w:hanging="4"/>
        <w:spacing w:after="0" w:line="295" w:lineRule="auto"/>
        <w:tabs>
          <w:tab w:leader="none" w:pos="289" w:val="left"/>
        </w:tabs>
        <w:numPr>
          <w:ilvl w:val="0"/>
          <w:numId w:val="689"/>
        </w:numPr>
        <w:rPr>
          <w:rFonts w:ascii="Arial" w:cs="Arial" w:eastAsia="Arial" w:hAnsi="Arial"/>
          <w:sz w:val="16"/>
          <w:szCs w:val="16"/>
          <w:color w:val="auto"/>
        </w:rPr>
      </w:pPr>
      <w:r>
        <w:rPr>
          <w:rFonts w:ascii="Arial" w:cs="Arial" w:eastAsia="Arial" w:hAnsi="Arial"/>
          <w:sz w:val="16"/>
          <w:szCs w:val="16"/>
          <w:color w:val="auto"/>
        </w:rPr>
        <w:t>all Documents subject to the attorney-client privilege or work-product protection maintained by Aeglea or its Subsidiaries in connection with the Transaction, the License Agreement or the Spyre Transaction and (D) all Documents (including those subject to attorney-client privilege or work-product protection) that (i) are personnel files for Aeglea Service Providers, (ii) are Spyre Documents or (iii) relate to the determination by Aeglea or any of its Subsidiaries with respect to the wind-down or discontinuation of all or a portion of the Program or any study related thereto;</w:t>
      </w:r>
    </w:p>
    <w:p>
      <w:pPr>
        <w:spacing w:after="0" w:line="161" w:lineRule="exact"/>
        <w:rPr>
          <w:rFonts w:ascii="Arial" w:cs="Arial" w:eastAsia="Arial" w:hAnsi="Arial"/>
          <w:sz w:val="16"/>
          <w:szCs w:val="16"/>
          <w:color w:val="auto"/>
        </w:rPr>
      </w:pPr>
    </w:p>
    <w:p>
      <w:pPr>
        <w:ind w:left="1304" w:hanging="313"/>
        <w:spacing w:after="0"/>
        <w:tabs>
          <w:tab w:leader="none" w:pos="1304" w:val="left"/>
        </w:tabs>
        <w:numPr>
          <w:ilvl w:val="1"/>
          <w:numId w:val="689"/>
        </w:numPr>
        <w:rPr>
          <w:rFonts w:ascii="Arial" w:cs="Arial" w:eastAsia="Arial" w:hAnsi="Arial"/>
          <w:sz w:val="17"/>
          <w:szCs w:val="17"/>
          <w:color w:val="auto"/>
        </w:rPr>
      </w:pPr>
      <w:r>
        <w:rPr>
          <w:rFonts w:ascii="Arial" w:cs="Arial" w:eastAsia="Arial" w:hAnsi="Arial"/>
          <w:sz w:val="17"/>
          <w:szCs w:val="17"/>
          <w:color w:val="auto"/>
        </w:rPr>
        <w:t>Tax Returns of Aeglea and its Subsidiaries (other than Tax Returns or any portion thereof solely relating to any Acquired Asset);</w:t>
      </w:r>
    </w:p>
    <w:p>
      <w:pPr>
        <w:spacing w:after="0" w:line="236" w:lineRule="exact"/>
        <w:rPr>
          <w:rFonts w:ascii="Arial" w:cs="Arial" w:eastAsia="Arial" w:hAnsi="Arial"/>
          <w:sz w:val="17"/>
          <w:szCs w:val="17"/>
          <w:color w:val="auto"/>
        </w:rPr>
      </w:pPr>
    </w:p>
    <w:p>
      <w:pPr>
        <w:ind w:left="4" w:right="280" w:firstLine="987"/>
        <w:spacing w:after="0" w:line="277" w:lineRule="auto"/>
        <w:tabs>
          <w:tab w:leader="none" w:pos="135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all current and prior insurance policies of Aeglea and its Subsidiaries and all rights of any nature with respect thereto, including all insurance recoveries thereunder and rights to assert claims with respect to any such insurance recoveries;</w:t>
      </w:r>
    </w:p>
    <w:p>
      <w:pPr>
        <w:spacing w:after="0" w:line="170" w:lineRule="exact"/>
        <w:rPr>
          <w:rFonts w:ascii="Arial" w:cs="Arial" w:eastAsia="Arial" w:hAnsi="Arial"/>
          <w:sz w:val="18"/>
          <w:szCs w:val="18"/>
          <w:color w:val="auto"/>
        </w:rPr>
      </w:pPr>
    </w:p>
    <w:p>
      <w:pPr>
        <w:ind w:left="4" w:right="220" w:firstLine="987"/>
        <w:spacing w:after="0" w:line="277" w:lineRule="auto"/>
        <w:tabs>
          <w:tab w:leader="none" w:pos="140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all assets with respect to any employee benefit plans, agreements or arrangements contributed to, sponsored, maintained or entered into by Aeglea or its Subsidiaries or otherwise relating to any Aeglea Service Providers;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689"/>
        </w:numPr>
        <w:rPr>
          <w:rFonts w:ascii="Arial" w:cs="Arial" w:eastAsia="Arial" w:hAnsi="Arial"/>
          <w:sz w:val="18"/>
          <w:szCs w:val="18"/>
          <w:color w:val="auto"/>
        </w:rPr>
      </w:pPr>
      <w:r>
        <w:rPr>
          <w:rFonts w:ascii="Arial" w:cs="Arial" w:eastAsia="Arial" w:hAnsi="Arial"/>
          <w:sz w:val="18"/>
          <w:szCs w:val="18"/>
          <w:color w:val="auto"/>
        </w:rPr>
        <w:t>the ADA Assays; and</w:t>
      </w:r>
    </w:p>
    <w:p>
      <w:pPr>
        <w:spacing w:after="0" w:line="225" w:lineRule="exact"/>
        <w:rPr>
          <w:rFonts w:ascii="Arial" w:cs="Arial" w:eastAsia="Arial" w:hAnsi="Arial"/>
          <w:sz w:val="18"/>
          <w:szCs w:val="18"/>
          <w:color w:val="auto"/>
        </w:rPr>
      </w:pPr>
    </w:p>
    <w:p>
      <w:pPr>
        <w:ind w:left="4" w:firstLine="987"/>
        <w:spacing w:after="0" w:line="277" w:lineRule="auto"/>
        <w:tabs>
          <w:tab w:leader="none" w:pos="1340" w:val="left"/>
        </w:tabs>
        <w:numPr>
          <w:ilvl w:val="1"/>
          <w:numId w:val="689"/>
        </w:numPr>
        <w:rPr>
          <w:rFonts w:ascii="Arial" w:cs="Arial" w:eastAsia="Arial" w:hAnsi="Arial"/>
          <w:sz w:val="18"/>
          <w:szCs w:val="18"/>
          <w:color w:val="auto"/>
        </w:rPr>
      </w:pPr>
      <w:r>
        <w:rPr>
          <w:rFonts w:ascii="Arial" w:cs="Arial" w:eastAsia="Arial" w:hAnsi="Arial"/>
          <w:sz w:val="18"/>
          <w:szCs w:val="18"/>
          <w:color w:val="auto"/>
        </w:rPr>
        <w:t>all other assets, properties, contractual rights, goodwill and other intangible assets, rights and claims of Aeglea and its Subsidiaries not included in the Acquired Assets.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Assumption of Assumed Liabilities</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77" w:lineRule="auto"/>
        <w:tabs>
          <w:tab w:leader="none" w:pos="1240" w:val="left"/>
        </w:tabs>
        <w:numPr>
          <w:ilvl w:val="0"/>
          <w:numId w:val="690"/>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as of the Closing, Immedica shall assume and be responsible for, and shall timely perform, satisfy and discharge in accordance with their terms, the Assumed Liabilities.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704" w:name="page705"/>
    <w:bookmarkEnd w:id="704"/>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means each of the following Liabilities of Aeglea and its Subsidiaries at the Closing:</w:t>
      </w:r>
    </w:p>
    <w:p>
      <w:pPr>
        <w:spacing w:after="0" w:line="225" w:lineRule="exact"/>
        <w:rPr>
          <w:sz w:val="20"/>
          <w:szCs w:val="20"/>
          <w:color w:val="auto"/>
        </w:rPr>
      </w:pPr>
    </w:p>
    <w:p>
      <w:pPr>
        <w:ind w:left="-20" w:right="20" w:firstLine="987"/>
        <w:spacing w:after="0" w:line="308" w:lineRule="auto"/>
        <w:tabs>
          <w:tab w:leader="none" w:pos="1186" w:val="left"/>
        </w:tabs>
        <w:numPr>
          <w:ilvl w:val="0"/>
          <w:numId w:val="691"/>
        </w:numPr>
        <w:rPr>
          <w:rFonts w:ascii="Arial" w:cs="Arial" w:eastAsia="Arial" w:hAnsi="Arial"/>
          <w:sz w:val="17"/>
          <w:szCs w:val="17"/>
          <w:color w:val="auto"/>
        </w:rPr>
      </w:pPr>
      <w:r>
        <w:rPr>
          <w:rFonts w:ascii="Arial" w:cs="Arial" w:eastAsia="Arial" w:hAnsi="Arial"/>
          <w:sz w:val="17"/>
          <w:szCs w:val="17"/>
          <w:color w:val="auto"/>
        </w:rPr>
        <w:t>all Liabilities of Aeglea arising under or in connection with the Assigned Contracts from and after the Closing, excluding for clarity the Excluded Liabilities set forth in Sections 2.4(b)(iv) and 2.4(b)(v) below, but including the amounts as set forth in Schedule 2.3(b)(i);</w:t>
      </w:r>
    </w:p>
    <w:p>
      <w:pPr>
        <w:spacing w:after="0" w:line="146" w:lineRule="exact"/>
        <w:rPr>
          <w:rFonts w:ascii="Arial" w:cs="Arial" w:eastAsia="Arial" w:hAnsi="Arial"/>
          <w:sz w:val="17"/>
          <w:szCs w:val="17"/>
          <w:color w:val="auto"/>
        </w:rPr>
      </w:pPr>
    </w:p>
    <w:p>
      <w:pPr>
        <w:ind w:left="-20" w:right="80" w:firstLine="987"/>
        <w:spacing w:after="0" w:line="263" w:lineRule="auto"/>
        <w:tabs>
          <w:tab w:leader="none" w:pos="1236" w:val="left"/>
        </w:tabs>
        <w:numPr>
          <w:ilvl w:val="0"/>
          <w:numId w:val="691"/>
        </w:numPr>
        <w:rPr>
          <w:rFonts w:ascii="Arial" w:cs="Arial" w:eastAsia="Arial" w:hAnsi="Arial"/>
          <w:sz w:val="18"/>
          <w:szCs w:val="18"/>
          <w:color w:val="auto"/>
        </w:rPr>
      </w:pPr>
      <w:r>
        <w:rPr>
          <w:rFonts w:ascii="Arial" w:cs="Arial" w:eastAsia="Arial" w:hAnsi="Arial"/>
          <w:sz w:val="18"/>
          <w:szCs w:val="18"/>
          <w:color w:val="auto"/>
        </w:rPr>
        <w:t>all Liabilities of Aeglea arising out of or relating to actions by Immedica or its Subsidiaries commenced after the Closing, irrespective of the legal theory asserted, arising from the administration, manufacture, advertising, marketing, distribution, sale or use of the Product or conduct of the Program during the period of time on or after the Closing;</w:t>
      </w:r>
    </w:p>
    <w:p>
      <w:pPr>
        <w:spacing w:after="0" w:line="183" w:lineRule="exact"/>
        <w:rPr>
          <w:rFonts w:ascii="Arial" w:cs="Arial" w:eastAsia="Arial" w:hAnsi="Arial"/>
          <w:sz w:val="18"/>
          <w:szCs w:val="18"/>
          <w:color w:val="auto"/>
        </w:rPr>
      </w:pPr>
    </w:p>
    <w:p>
      <w:pPr>
        <w:ind w:left="-20" w:right="240" w:firstLine="987"/>
        <w:spacing w:after="0" w:line="259" w:lineRule="auto"/>
        <w:tabs>
          <w:tab w:leader="none" w:pos="1286" w:val="left"/>
        </w:tabs>
        <w:numPr>
          <w:ilvl w:val="0"/>
          <w:numId w:val="691"/>
        </w:numPr>
        <w:rPr>
          <w:rFonts w:ascii="Arial" w:cs="Arial" w:eastAsia="Arial" w:hAnsi="Arial"/>
          <w:sz w:val="18"/>
          <w:szCs w:val="18"/>
          <w:color w:val="auto"/>
        </w:rPr>
      </w:pPr>
      <w:r>
        <w:rPr>
          <w:rFonts w:ascii="Arial" w:cs="Arial" w:eastAsia="Arial" w:hAnsi="Arial"/>
          <w:sz w:val="18"/>
          <w:szCs w:val="18"/>
          <w:color w:val="auto"/>
        </w:rPr>
        <w:t>without duplication of the other provisions of this Section 2.3(b), all Liabilities arising out of or in connection with an event first occurring at any time from and after the Closing to the extent relating to the Program or Product, or the use, ownership or operation of the Acquired Assets by Immedica or its Subsidiaries from and after the Closing, other than Liabilities of Aeglea or any of its Subsidiaries arising out of a breach or termination of this Agreement by Aeglea or any of its Subsidiaries.</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225" w:lineRule="exact"/>
        <w:rPr>
          <w:sz w:val="20"/>
          <w:szCs w:val="20"/>
          <w:color w:val="auto"/>
        </w:rPr>
      </w:pPr>
    </w:p>
    <w:p>
      <w:pPr>
        <w:ind w:left="-20" w:right="20" w:firstLine="987"/>
        <w:spacing w:after="0" w:line="275" w:lineRule="auto"/>
        <w:tabs>
          <w:tab w:leader="none" w:pos="1216" w:val="left"/>
        </w:tabs>
        <w:numPr>
          <w:ilvl w:val="0"/>
          <w:numId w:val="692"/>
        </w:numPr>
        <w:rPr>
          <w:rFonts w:ascii="Arial" w:cs="Arial" w:eastAsia="Arial" w:hAnsi="Arial"/>
          <w:sz w:val="17"/>
          <w:szCs w:val="17"/>
          <w:color w:val="auto"/>
        </w:rPr>
      </w:pPr>
      <w:r>
        <w:rPr>
          <w:rFonts w:ascii="Arial" w:cs="Arial" w:eastAsia="Arial" w:hAnsi="Arial"/>
          <w:sz w:val="17"/>
          <w:szCs w:val="17"/>
          <w:color w:val="auto"/>
        </w:rPr>
        <w:t>Notwithstanding any provision in this Agreement or any other writing to the contrary, Immedica is assuming only the Assumed Liabilities and is not assuming any other Liability of or relating to Aeglea or any of its Subsidiaries (or any of their respective predecessors or any prior owner of all or part of its or their businesses and assets) of whatever nature, whether presently in existence or arising hereafter. All such other Liabilities shall be retained by and remain Liabilities of Aeglea (or its applicable Affiliate) (all such Liabilities and obligations not being assumed, including those specifically enumerated in Section 2.4(b), being herein referred to as the “</w:t>
      </w:r>
      <w:r>
        <w:rPr>
          <w:rFonts w:ascii="Arial" w:cs="Arial" w:eastAsia="Arial" w:hAnsi="Arial"/>
          <w:sz w:val="17"/>
          <w:szCs w:val="17"/>
          <w:u w:val="single" w:color="auto"/>
          <w:color w:val="auto"/>
        </w:rPr>
        <w:t>Excluded Liabilities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220" w:hanging="253"/>
        <w:spacing w:after="0"/>
        <w:tabs>
          <w:tab w:leader="none" w:pos="1220" w:val="left"/>
        </w:tabs>
        <w:numPr>
          <w:ilvl w:val="0"/>
          <w:numId w:val="6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includes, without limitation, the following:</w:t>
      </w:r>
    </w:p>
    <w:p>
      <w:pPr>
        <w:spacing w:after="0" w:line="117" w:lineRule="exact"/>
        <w:rPr>
          <w:sz w:val="20"/>
          <w:szCs w:val="20"/>
          <w:color w:val="auto"/>
        </w:rPr>
      </w:pPr>
    </w:p>
    <w:p>
      <w:pPr>
        <w:ind w:left="1180" w:hanging="213"/>
        <w:spacing w:after="0"/>
        <w:tabs>
          <w:tab w:leader="none" w:pos="118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all Liabilities to the extent not related to the Program, Product or the Acquired Assets;</w:t>
      </w:r>
    </w:p>
    <w:p>
      <w:pPr>
        <w:spacing w:after="0" w:line="225" w:lineRule="exact"/>
        <w:rPr>
          <w:rFonts w:ascii="Arial" w:cs="Arial" w:eastAsia="Arial" w:hAnsi="Arial"/>
          <w:sz w:val="18"/>
          <w:szCs w:val="18"/>
          <w:color w:val="auto"/>
        </w:rPr>
      </w:pPr>
    </w:p>
    <w:p>
      <w:pPr>
        <w:ind w:left="1240" w:hanging="273"/>
        <w:spacing w:after="0"/>
        <w:tabs>
          <w:tab w:leader="none" w:pos="1240"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all Liabilities relating to or arising out of the Excluded Assets;</w:t>
      </w:r>
    </w:p>
    <w:p>
      <w:pPr>
        <w:spacing w:after="0" w:line="225" w:lineRule="exact"/>
        <w:rPr>
          <w:rFonts w:ascii="Arial" w:cs="Arial" w:eastAsia="Arial" w:hAnsi="Arial"/>
          <w:sz w:val="18"/>
          <w:szCs w:val="18"/>
          <w:color w:val="auto"/>
        </w:rPr>
      </w:pPr>
    </w:p>
    <w:p>
      <w:pPr>
        <w:ind w:left="-20" w:right="120" w:firstLine="987"/>
        <w:spacing w:after="0" w:line="259" w:lineRule="auto"/>
        <w:tabs>
          <w:tab w:leader="none" w:pos="1286" w:val="left"/>
        </w:tabs>
        <w:numPr>
          <w:ilvl w:val="0"/>
          <w:numId w:val="693"/>
        </w:numPr>
        <w:rPr>
          <w:rFonts w:ascii="Arial" w:cs="Arial" w:eastAsia="Arial" w:hAnsi="Arial"/>
          <w:sz w:val="18"/>
          <w:szCs w:val="18"/>
          <w:color w:val="auto"/>
        </w:rPr>
      </w:pPr>
      <w:r>
        <w:rPr>
          <w:rFonts w:ascii="Arial" w:cs="Arial" w:eastAsia="Arial" w:hAnsi="Arial"/>
          <w:sz w:val="18"/>
          <w:szCs w:val="18"/>
          <w:color w:val="auto"/>
        </w:rPr>
        <w:t xml:space="preserve">(A) all Liabilities of Aeglea, its Affiliates or any consolidated, affiliated, combined or unitary group of which Aeglea or any of its Affiliates is or has been a member, for Taxes and (B) all Liabilities for Taxes with respect to the Acquired Assets for taxable periods ending on or prior to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Transfer Taxes incurred in connection with the Transaction and Apportioned Obligations shall be paid in the manner set forth in Article VIII;</w:t>
      </w:r>
    </w:p>
    <w:p>
      <w:pPr>
        <w:spacing w:after="0" w:line="186" w:lineRule="exact"/>
        <w:rPr>
          <w:rFonts w:ascii="Arial" w:cs="Arial" w:eastAsia="Arial" w:hAnsi="Arial"/>
          <w:sz w:val="18"/>
          <w:szCs w:val="18"/>
          <w:color w:val="auto"/>
        </w:rPr>
      </w:pPr>
    </w:p>
    <w:p>
      <w:pPr>
        <w:ind w:left="-20" w:firstLine="987"/>
        <w:spacing w:after="0" w:line="272" w:lineRule="auto"/>
        <w:tabs>
          <w:tab w:leader="none" w:pos="1276" w:val="left"/>
        </w:tabs>
        <w:numPr>
          <w:ilvl w:val="0"/>
          <w:numId w:val="693"/>
        </w:numPr>
        <w:rPr>
          <w:rFonts w:ascii="Arial" w:cs="Arial" w:eastAsia="Arial" w:hAnsi="Arial"/>
          <w:sz w:val="17"/>
          <w:szCs w:val="17"/>
          <w:color w:val="auto"/>
        </w:rPr>
      </w:pPr>
      <w:r>
        <w:rPr>
          <w:rFonts w:ascii="Arial" w:cs="Arial" w:eastAsia="Arial" w:hAnsi="Arial"/>
          <w:sz w:val="17"/>
          <w:szCs w:val="17"/>
          <w:color w:val="auto"/>
        </w:rPr>
        <w:t xml:space="preserve">all Liabilities relating to the Assigned Contracts to the extent such Liabilities (A) arise before the Closing, including, for the avoidance of doubt, any amounts owed under any Assigned Contract prior to the Closing pursuant to the terms thereof, regardless of whether the work to be performed, services to be rendered or goods to be provided in exchange for such amounts owed are to be provided before or after payment therefor or before or after the Closing, and regardless of whether an invoice for any such payment is rendered before or after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amounts listed on Schedule 2.3(b)(i) under the column “Expense to be Assumed by Immedica” shall be assumed by Immedica, (B) arise from or relate to any breach by Aeglea or any of its Subsidiaries of any provision of any of such Assigned Contract or (C) arise from or relate to any action or inaction by Aeglea or any of its Subsidiaries in connection with any such Assigned Contract;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705" w:name="page706"/>
    <w:bookmarkEnd w:id="705"/>
    <w:p>
      <w:pPr>
        <w:ind w:right="560" w:firstLine="987"/>
        <w:spacing w:after="0" w:line="277" w:lineRule="auto"/>
        <w:tabs>
          <w:tab w:leader="none" w:pos="1246" w:val="left"/>
        </w:tabs>
        <w:numPr>
          <w:ilvl w:val="0"/>
          <w:numId w:val="6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Liabilities under any Contract that is not an Assigned Contract and, subject to Section 2.6, all Liabilities under any Assigned Contract that is not validly and effectively assigned to Immedica pursuant to this Agreement or any other Instrument;</w:t>
      </w:r>
    </w:p>
    <w:p>
      <w:pPr>
        <w:spacing w:after="0" w:line="170" w:lineRule="exact"/>
        <w:rPr>
          <w:rFonts w:ascii="Arial" w:cs="Arial" w:eastAsia="Arial" w:hAnsi="Arial"/>
          <w:sz w:val="18"/>
          <w:szCs w:val="18"/>
          <w:color w:val="auto"/>
        </w:rPr>
      </w:pPr>
    </w:p>
    <w:p>
      <w:pPr>
        <w:ind w:right="300" w:firstLine="987"/>
        <w:spacing w:after="0" w:line="296" w:lineRule="auto"/>
        <w:tabs>
          <w:tab w:leader="none" w:pos="1296" w:val="left"/>
        </w:tabs>
        <w:numPr>
          <w:ilvl w:val="0"/>
          <w:numId w:val="694"/>
        </w:numPr>
        <w:rPr>
          <w:rFonts w:ascii="Arial" w:cs="Arial" w:eastAsia="Arial" w:hAnsi="Arial"/>
          <w:sz w:val="16"/>
          <w:szCs w:val="16"/>
          <w:color w:val="auto"/>
        </w:rPr>
      </w:pPr>
      <w:r>
        <w:rPr>
          <w:rFonts w:ascii="Arial" w:cs="Arial" w:eastAsia="Arial" w:hAnsi="Arial"/>
          <w:sz w:val="16"/>
          <w:szCs w:val="16"/>
          <w:color w:val="auto"/>
        </w:rPr>
        <w:t>all Liabilities, whether arising prior to, upon or following the Closing, with respect to any Aeglea Service Providers, including, without limitation, all Liabilities (A) under or relating to any employee benefit plan, contract, program, fund or arrangement and any trust, escrow or similar agreement related thereto, whether or not funded, in respect of any Aeglea Service Provider or with respect to which Aeglea or any of its Affiliates has made or is required to make payments, transfers or contributions, or any management, employment, severance, change in control, noncompete, confidentiality, offer letter, retention, incentive or similar Contract, and (B) the matters set forth on Schedule 2.4(b)(vi);</w:t>
      </w:r>
    </w:p>
    <w:p>
      <w:pPr>
        <w:spacing w:after="0" w:line="161" w:lineRule="exact"/>
        <w:rPr>
          <w:rFonts w:ascii="Arial" w:cs="Arial" w:eastAsia="Arial" w:hAnsi="Arial"/>
          <w:sz w:val="16"/>
          <w:szCs w:val="16"/>
          <w:color w:val="auto"/>
        </w:rPr>
      </w:pPr>
    </w:p>
    <w:p>
      <w:pPr>
        <w:ind w:left="1340" w:hanging="353"/>
        <w:spacing w:after="0"/>
        <w:tabs>
          <w:tab w:leader="none" w:pos="1340" w:val="left"/>
        </w:tabs>
        <w:numPr>
          <w:ilvl w:val="0"/>
          <w:numId w:val="694"/>
        </w:numPr>
        <w:rPr>
          <w:rFonts w:ascii="Arial" w:cs="Arial" w:eastAsia="Arial" w:hAnsi="Arial"/>
          <w:sz w:val="18"/>
          <w:szCs w:val="18"/>
          <w:color w:val="auto"/>
        </w:rPr>
      </w:pPr>
      <w:r>
        <w:rPr>
          <w:rFonts w:ascii="Arial" w:cs="Arial" w:eastAsia="Arial" w:hAnsi="Arial"/>
          <w:sz w:val="18"/>
          <w:szCs w:val="18"/>
          <w:color w:val="auto"/>
        </w:rPr>
        <w:t>all Liabilities of Aeglea or any of its Affiliates in respect of Indebtedness;</w:t>
      </w:r>
    </w:p>
    <w:p>
      <w:pPr>
        <w:spacing w:after="0" w:line="225" w:lineRule="exact"/>
        <w:rPr>
          <w:rFonts w:ascii="Arial" w:cs="Arial" w:eastAsia="Arial" w:hAnsi="Arial"/>
          <w:sz w:val="18"/>
          <w:szCs w:val="18"/>
          <w:color w:val="auto"/>
        </w:rPr>
      </w:pPr>
    </w:p>
    <w:p>
      <w:pPr>
        <w:ind w:right="40" w:firstLine="987"/>
        <w:spacing w:after="0" w:line="263" w:lineRule="auto"/>
        <w:tabs>
          <w:tab w:leader="none" w:pos="1396" w:val="left"/>
        </w:tabs>
        <w:numPr>
          <w:ilvl w:val="0"/>
          <w:numId w:val="694"/>
        </w:numPr>
        <w:rPr>
          <w:rFonts w:ascii="Arial" w:cs="Arial" w:eastAsia="Arial" w:hAnsi="Arial"/>
          <w:sz w:val="18"/>
          <w:szCs w:val="18"/>
          <w:color w:val="auto"/>
        </w:rPr>
      </w:pPr>
      <w:r>
        <w:rPr>
          <w:rFonts w:ascii="Arial" w:cs="Arial" w:eastAsia="Arial" w:hAnsi="Arial"/>
          <w:sz w:val="18"/>
          <w:szCs w:val="18"/>
          <w:color w:val="auto"/>
        </w:rPr>
        <w:t>all Liabilities in respect of any pending Legal Proceedings and any Legal Proceedings initiated after the Closing arising out of or relating to the administration, development, manufacture, advertising, marketing, distribution, sale or use of the Product or conduct of the Program prior to the Closing;</w:t>
      </w:r>
    </w:p>
    <w:p>
      <w:pPr>
        <w:spacing w:after="0" w:line="183" w:lineRule="exact"/>
        <w:rPr>
          <w:rFonts w:ascii="Arial" w:cs="Arial" w:eastAsia="Arial" w:hAnsi="Arial"/>
          <w:sz w:val="18"/>
          <w:szCs w:val="18"/>
          <w:color w:val="auto"/>
        </w:rPr>
      </w:pPr>
    </w:p>
    <w:p>
      <w:pPr>
        <w:ind w:firstLine="987"/>
        <w:spacing w:after="0" w:line="279" w:lineRule="auto"/>
        <w:tabs>
          <w:tab w:leader="none" w:pos="1296" w:val="left"/>
        </w:tabs>
        <w:numPr>
          <w:ilvl w:val="0"/>
          <w:numId w:val="694"/>
        </w:numPr>
        <w:rPr>
          <w:rFonts w:ascii="Arial" w:cs="Arial" w:eastAsia="Arial" w:hAnsi="Arial"/>
          <w:sz w:val="17"/>
          <w:szCs w:val="17"/>
          <w:color w:val="auto"/>
        </w:rPr>
      </w:pPr>
      <w:r>
        <w:rPr>
          <w:rFonts w:ascii="Arial" w:cs="Arial" w:eastAsia="Arial" w:hAnsi="Arial"/>
          <w:sz w:val="17"/>
          <w:szCs w:val="17"/>
          <w:color w:val="auto"/>
        </w:rPr>
        <w:t>all Expenses of Aeglea or any of its Subsidiaries payable to Third Parties, including to any outside professionals (including any broker, finder, agent, investment banker, legal, accounting or tax adviser), incurred by Aeglea or any of its Subsidiaries before, on or after the Closing, in connection with the authorization, preparation, negotiation, execution and performance of this Agreement or the other Instruments, or the process of selling the Acquired Assets, including any investment banking or brokerage fees, finders’ fees or commissions; and</w:t>
      </w:r>
    </w:p>
    <w:p>
      <w:pPr>
        <w:spacing w:after="0" w:line="171" w:lineRule="exact"/>
        <w:rPr>
          <w:rFonts w:ascii="Arial" w:cs="Arial" w:eastAsia="Arial" w:hAnsi="Arial"/>
          <w:sz w:val="17"/>
          <w:szCs w:val="17"/>
          <w:color w:val="auto"/>
        </w:rPr>
      </w:pPr>
    </w:p>
    <w:p>
      <w:pPr>
        <w:ind w:right="120" w:firstLine="987"/>
        <w:spacing w:after="0" w:line="277" w:lineRule="auto"/>
        <w:tabs>
          <w:tab w:leader="none" w:pos="1246" w:val="left"/>
        </w:tabs>
        <w:numPr>
          <w:ilvl w:val="0"/>
          <w:numId w:val="694"/>
        </w:numPr>
        <w:rPr>
          <w:rFonts w:ascii="Arial" w:cs="Arial" w:eastAsia="Arial" w:hAnsi="Arial"/>
          <w:sz w:val="18"/>
          <w:szCs w:val="18"/>
          <w:color w:val="auto"/>
        </w:rPr>
      </w:pPr>
      <w:r>
        <w:rPr>
          <w:rFonts w:ascii="Arial" w:cs="Arial" w:eastAsia="Arial" w:hAnsi="Arial"/>
          <w:sz w:val="18"/>
          <w:szCs w:val="18"/>
          <w:color w:val="auto"/>
        </w:rPr>
        <w:t>all other Liabilities arising out of or relating to the Product, the Program or the Acquired Assets, to the extent such Liabilities relate to the period of time prior to Closing.</w:t>
      </w:r>
    </w:p>
    <w:p>
      <w:pPr>
        <w:spacing w:after="0" w:line="170"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Undisclosed Contracts</w:t>
      </w:r>
      <w:r>
        <w:rPr>
          <w:rFonts w:ascii="Arial" w:cs="Arial" w:eastAsia="Arial" w:hAnsi="Arial"/>
          <w:sz w:val="17"/>
          <w:szCs w:val="17"/>
          <w:color w:val="auto"/>
        </w:rPr>
        <w:t>. If any Program Contract was not set forth on Schedule 2.1(b)(i) or 2.2(b)(viii) and is identified following the Closing, Aeglea shall promptly notify Immedica in writing giving sufficient disclosure of such Program Contract and provide Immedica with a copy thereof, in which case Immedica shall thereafter be entitled to deem such Program Contract an “Assigned Contract” and the provisions of this Agreement (including Section 2.6) shall apply to such Program Contract as though it were an Assigned Contract, and Aeglea and Immedica shall take such action reasonably requested by Immedica (and consistent with the other provisions of this Agreement (including Section 2.6)) to assign such Program Contract to Immedica. Neither Aeglea nor any of its Subsidiaries shall voluntarily terminate any such nondisclosed Program Contract prior to providing Immedica with written notice of the intent to terminate and giving Immedica a reasonable period of time to review such Program Contract and determine whether to exercise its right to treat such Program Contract as an “Assigned Contract.”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Non-Assignable Assets</w:t>
      </w:r>
      <w:r>
        <w:rPr>
          <w:rFonts w:ascii="Arial" w:cs="Arial" w:eastAsia="Arial" w:hAnsi="Arial"/>
          <w:sz w:val="17"/>
          <w:szCs w:val="17"/>
          <w:color w:val="auto"/>
        </w:rPr>
        <w:t>. Notwithstanding anything to the contrary in this Agreement, nothing in this Agreement 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consummation of the Transaction shall be construed as an attempt or agreement to assign any Acquired Asset, including any Contract, Permit,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certificate, approval, authorization or other right, which by its terms or by Law is non-assignable without the consent of a Third Party or a Governmental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Authority or is terminable or cancelable by a Third Party or a Governmental Authority in the event of an assignment (any such Acquired Asset,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Non-assignable Asset</w:t>
      </w:r>
      <w:r>
        <w:rPr>
          <w:rFonts w:ascii="Arial" w:cs="Arial" w:eastAsia="Arial" w:hAnsi="Arial"/>
          <w:sz w:val="16"/>
          <w:szCs w:val="16"/>
          <w:color w:val="auto"/>
        </w:rPr>
        <w:t>”) unless and until such consent shall have been obtained. Aeglea shall and shall cause its Subsidiaries to use all commercially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reasonable efforts to obtain any such consents with respect to the Acquired Assets, including all Non-assignable Assets, and including all consents 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forth on Schedule 4.4(a), as promptly 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706" w:name="page707"/>
    <w:bookmarkEnd w:id="70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practicable, and shall cooperate as reasonably requested by Immedica in any efforts made by Immedica or any of its Affiliates to obtain such consent. If any such consent or approval is not obtained, Aeglea shall, and shall cause its Subsidiaries to, provide to Immedica the benefits of such Non-assignable Asset in accordance with this Agreement and shall enforce, or cause its Subsidiaries to enforce, at the request of and for the benefit of Immedica, any rights of Aeglea or its Subsidiaries arising thereunder, including the right to seek any available remedies or to terminate in accordance with the terms thereof, in each case at Immedica’s cost and expense. Aeglea shall and shall cause its Subsidiaries to promptly pay to Immedica when received all monies received by Aeglea or any of its Affiliates under any such Non-assignable Asset or any claim, right or benefit arising thereunder, except to the extent the same represents an Excluded Asset. As a condition to Aeglea providing Immedica with the benefits of any Non-assignable Asset, Immedica shall perform, in the name or on behalf of Aeglea or its applicable Subsidiary, all obligations of Aeglea or its applicable Subsidiary and shall indemnify Aeglea or its applicable Subsidiary for any Liabilities first arising thereunder following the Closing, except to the extent such Liabilities relate to the gross negligence or willful misconduct of Aeglea or any Aeglea Indemnified Party or the failure of Aeglea or any Aeglea Indemnified Party to follow the reasonable written (email being sufficient) instructions of Immedica or any of its Subsidiaries with respect to such Non-assignable Asset. To the extent that, in connection with obtaining a Third Party’s consent under any Non-assignable Asset, one or more of the Parties enter into an agreement with such Third Party that provides for an allocation of liability among the Parties with respect to such Non-assignable Asset that is inconsistent with the terms of this Agreement, the Parties agree that, as among themselves, the provisions of this Agreement shall control.</w:t>
      </w:r>
    </w:p>
    <w:p>
      <w:pPr>
        <w:spacing w:after="0" w:line="171"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Designated Buyer</w:t>
      </w:r>
      <w:r>
        <w:rPr>
          <w:rFonts w:ascii="Arial" w:cs="Arial" w:eastAsia="Arial" w:hAnsi="Arial"/>
          <w:sz w:val="18"/>
          <w:szCs w:val="18"/>
          <w:color w:val="auto"/>
        </w:rPr>
        <w:t xml:space="preserve">. Notwithstanding anything to the contrary contained in this Agreement, Immedica may elect to have any or all of the Acquired Assets sold, assigned, conveyed, transferred or delivered to, or any of the Assumed Liabilities assumed by, one or more of its Subsidiaries, in each case as set forth in the Instruments to be delivered at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sale, assignment, conveyance, transfer or delivery shall (a) relieve Immedica of any of its obligations to Aeglea hereunder with respect to the Assumed Liabilities or (b) otherwise increase or expand the obligations of Aeglea hereunder.</w:t>
      </w:r>
    </w:p>
    <w:p>
      <w:pPr>
        <w:spacing w:after="0" w:line="188"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ADA Assay License</w:t>
      </w:r>
      <w:r>
        <w:rPr>
          <w:rFonts w:ascii="Arial" w:cs="Arial" w:eastAsia="Arial" w:hAnsi="Arial"/>
          <w:sz w:val="17"/>
          <w:szCs w:val="17"/>
          <w:color w:val="auto"/>
        </w:rPr>
        <w:t>. Aeglea and its Subsidiaries hereby grant to Immedica and its Affiliates a royalty-free, fully paid-up, worldwide, fully transferable, irrevocable, perpetual, non-exclusive, sublicensable (including the right to sublicense through multiple tiers) license under their respective rights in and to the ADA Assays to use and otherwise Exploit the ADA Assays for any and all purposes.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w:t>
      </w:r>
    </w:p>
    <w:p>
      <w:pPr>
        <w:spacing w:after="0" w:line="229"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Transaction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on the date hereof (the “</w:t>
      </w:r>
      <w:r>
        <w:rPr>
          <w:rFonts w:ascii="Arial" w:cs="Arial" w:eastAsia="Arial" w:hAnsi="Arial"/>
          <w:sz w:val="16"/>
          <w:szCs w:val="16"/>
          <w:u w:val="single" w:color="auto"/>
          <w:color w:val="auto"/>
        </w:rPr>
        <w:t>Closing Date</w:t>
      </w:r>
      <w:r>
        <w:rPr>
          <w:rFonts w:ascii="Arial" w:cs="Arial" w:eastAsia="Arial" w:hAnsi="Arial"/>
          <w:sz w:val="16"/>
          <w:szCs w:val="16"/>
          <w:color w:val="auto"/>
        </w:rPr>
        <w:t>”) remotely by exchange of documents and signatures (or their electronic counterparts), simultaneously with the execution and delivery of this Agreement.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Deliveries by Aeglea</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308" w:lineRule="auto"/>
        <w:tabs>
          <w:tab w:leader="none" w:pos="1236" w:val="left"/>
        </w:tabs>
        <w:numPr>
          <w:ilvl w:val="0"/>
          <w:numId w:val="695"/>
        </w:numPr>
        <w:rPr>
          <w:rFonts w:ascii="Arial" w:cs="Arial" w:eastAsia="Arial" w:hAnsi="Arial"/>
          <w:sz w:val="17"/>
          <w:szCs w:val="17"/>
          <w:color w:val="auto"/>
        </w:rPr>
      </w:pPr>
      <w:r>
        <w:rPr>
          <w:rFonts w:ascii="Arial" w:cs="Arial" w:eastAsia="Arial" w:hAnsi="Arial"/>
          <w:sz w:val="17"/>
          <w:szCs w:val="17"/>
          <w:color w:val="auto"/>
        </w:rPr>
        <w:t>At the Closing, Aeglea shall pay an amount in cash equal to the Fuji Credit to Fujifilm by wire transfer of immediately available funds, and, at or prior to the Closing, shall provide to Immedica proof of such payment that is reasonably satisfactory to Immedica.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07" w:name="page708"/>
    <w:bookmarkEnd w:id="70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At the Closing, Aeglea shall deliver, or cause to be delivered, to Immedica, as applicable, the following:</w:t>
      </w:r>
    </w:p>
    <w:p>
      <w:pPr>
        <w:spacing w:after="0" w:line="117" w:lineRule="exact"/>
        <w:rPr>
          <w:sz w:val="20"/>
          <w:szCs w:val="20"/>
          <w:color w:val="auto"/>
        </w:rPr>
      </w:pPr>
    </w:p>
    <w:p>
      <w:pPr>
        <w:ind w:right="660" w:firstLine="987"/>
        <w:spacing w:after="0" w:line="277" w:lineRule="auto"/>
        <w:tabs>
          <w:tab w:leader="none" w:pos="1206" w:val="left"/>
        </w:tabs>
        <w:numPr>
          <w:ilvl w:val="0"/>
          <w:numId w:val="696"/>
        </w:numPr>
        <w:rPr>
          <w:rFonts w:ascii="Arial" w:cs="Arial" w:eastAsia="Arial" w:hAnsi="Arial"/>
          <w:sz w:val="18"/>
          <w:szCs w:val="18"/>
          <w:color w:val="auto"/>
        </w:rPr>
      </w:pPr>
      <w:r>
        <w:rPr>
          <w:rFonts w:ascii="Arial" w:cs="Arial" w:eastAsia="Arial" w:hAnsi="Arial"/>
          <w:sz w:val="18"/>
          <w:szCs w:val="18"/>
          <w:color w:val="auto"/>
        </w:rPr>
        <w:t>an assignment and assumption agreement and bill of sale, in a form reasonably agreed among the Parties (the “</w:t>
      </w:r>
      <w:r>
        <w:rPr>
          <w:rFonts w:ascii="Arial" w:cs="Arial" w:eastAsia="Arial" w:hAnsi="Arial"/>
          <w:sz w:val="18"/>
          <w:szCs w:val="18"/>
          <w:u w:val="single" w:color="auto"/>
          <w:color w:val="auto"/>
        </w:rPr>
        <w:t>Assignment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Assumption and Bill of Sale</w:t>
      </w:r>
      <w:r>
        <w:rPr>
          <w:rFonts w:ascii="Arial" w:cs="Arial" w:eastAsia="Arial" w:hAnsi="Arial"/>
          <w:sz w:val="18"/>
          <w:szCs w:val="18"/>
          <w:color w:val="auto"/>
        </w:rPr>
        <w:t>”), executed by a duly authorized officer of Aeglea;</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agreements listed on Schedule 3.2(b); and</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the IP Assignment Agreement, executed by a duly authorized officer of Aeglea.</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6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Deliveries by Immedica at the Closing</w:t>
      </w:r>
      <w:r>
        <w:rPr>
          <w:rFonts w:ascii="Arial" w:cs="Arial" w:eastAsia="Arial" w:hAnsi="Arial"/>
          <w:sz w:val="18"/>
          <w:szCs w:val="18"/>
          <w:color w:val="auto"/>
        </w:rPr>
        <w:t>. At the Closing, Immedica shall deliver, or cause to be delivered, to Aeglea, as applicable, the following:</w:t>
      </w:r>
    </w:p>
    <w:p>
      <w:pPr>
        <w:spacing w:after="0" w:line="62" w:lineRule="exact"/>
        <w:rPr>
          <w:sz w:val="20"/>
          <w:szCs w:val="20"/>
          <w:color w:val="auto"/>
        </w:rPr>
      </w:pPr>
    </w:p>
    <w:p>
      <w:pPr>
        <w:ind w:left="1240" w:hanging="253"/>
        <w:spacing w:after="0"/>
        <w:tabs>
          <w:tab w:leader="none" w:pos="12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Initial Payment by wire transfer of immediately available funds, in accordance with Section 1.1(a);</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Assignment and Assumption and Bill of Sale, executed by a duly authorized officer of Immedica;</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agreements listed on Schedule 3.3;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the IP Assignment Agreement, executed by a duly authorized officer of Immedica.</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Additional Closing Deliveries</w:t>
      </w:r>
      <w:r>
        <w:rPr>
          <w:rFonts w:ascii="Arial" w:cs="Arial" w:eastAsia="Arial" w:hAnsi="Arial"/>
          <w:sz w:val="17"/>
          <w:szCs w:val="17"/>
          <w:color w:val="auto"/>
        </w:rPr>
        <w:t>. From time to time following the Closing, at the reasonable request of Aeglea or Immedica, such other Party shall execute, acknowledge and deliver all such further conveyances, notices, assumptions, releases and acquittances and such other instruments, and shall take such further actions, as may be necessary to assure (a) to Immedica and its successors and assigns, all of the properties, rights, titles, interests, estates, remedies, powers and privileges intended to be conveyed to Immedica under this Agreement and the other Instruments, and (b) to the Parties and their respective Affiliates, and their respective successors and assigns, the assumption of the Liabilities intended to be assumed by Immedica under this Agreement and the other Instruments, and to otherwise make effective the Transaction.</w:t>
      </w:r>
    </w:p>
    <w:p>
      <w:pPr>
        <w:spacing w:after="0" w:line="178"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Appointment</w:t>
      </w:r>
      <w:r>
        <w:rPr>
          <w:rFonts w:ascii="Arial" w:cs="Arial" w:eastAsia="Arial" w:hAnsi="Arial"/>
          <w:sz w:val="18"/>
          <w:szCs w:val="18"/>
          <w:color w:val="auto"/>
        </w:rPr>
        <w:t>. Aeglea hereby constitutes and appoints, effective as of the Closing, Immedica and its successors and assigns as the true and lawful attorney of Aeglea with full power of substitution in the name of Immedica, or in the name of Aeglea but for the benefit of Immedica, to collect for the account of Immedica any items of Acquired Assets. Immedica shall be entitled to retain for its own account any amounts collected pursuant to the foregoing powers, including any amounts payable as interest in respect thereof and shall promptly remit to Aeglea without any set-off any amounts collected that are not Acquired Assets.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708" w:name="page709"/>
    <w:bookmarkEnd w:id="7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AEGLEA</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Aeglea hereby represents and warrants to Immedica as of the Closing Date as follows:</w:t>
      </w:r>
    </w:p>
    <w:p>
      <w:pPr>
        <w:spacing w:after="0" w:line="11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Organization and Good Standing</w:t>
      </w:r>
      <w:r>
        <w:rPr>
          <w:rFonts w:ascii="Arial" w:cs="Arial" w:eastAsia="Arial" w:hAnsi="Arial"/>
          <w:sz w:val="17"/>
          <w:szCs w:val="17"/>
          <w:color w:val="auto"/>
        </w:rPr>
        <w:t>. Aeglea is an entity duly organized, validly existing and in good standing under the applicable Laws of the state of its organization and has all requisite corporate or other similar organizational powers required to carry on its business as now conducted. Aeglea is duly qualified to do business as a foreign entity and, to the extent legally applicable, in good standing as a foreign entity in each jurisdiction where such qualification is necessary, except for those jurisdictions where failure to be so qualified or in good standing would not, individually or in the aggregate, reasonably be expected to be material to the Acquired Assets, the Product (which term “Product,” solely for purposes of this Article IV, shall refer to the Product in accordance with good manufacturing practices, as defined under the applicable sections of the United States Code of Federal Regulations, and the specifications contained in the Transferred Product Registrations) or the Program (which term “Program,” solely for purposes of this Article IV, shall refer to the research, development and manufacturing program for pegzilarginase solely with respect to the treatment of Arginase-1 Deficiency), or materially impede or materially delay the consummation by Aeglea of the Transactions or the performance of its obligations under this Agreement or any Instrument to which it is a party.</w:t>
      </w:r>
    </w:p>
    <w:p>
      <w:pPr>
        <w:spacing w:after="0" w:line="18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Authorization of Agreement</w:t>
      </w:r>
      <w:r>
        <w:rPr>
          <w:rFonts w:ascii="Arial" w:cs="Arial" w:eastAsia="Arial" w:hAnsi="Arial"/>
          <w:sz w:val="17"/>
          <w:szCs w:val="17"/>
          <w:color w:val="auto"/>
        </w:rPr>
        <w:t>. Aeglea and each of its applicable Subsidiaries has all requisite power and authority to execute and deliver this Agreement and each other agreement, document or instrument contemplated by this Agreement to which it is a party (collectively, the “</w:t>
      </w:r>
      <w:r>
        <w:rPr>
          <w:rFonts w:ascii="Arial" w:cs="Arial" w:eastAsia="Arial" w:hAnsi="Arial"/>
          <w:sz w:val="17"/>
          <w:szCs w:val="17"/>
          <w:u w:val="single" w:color="auto"/>
          <w:color w:val="auto"/>
        </w:rPr>
        <w:t>Instruments</w:t>
      </w:r>
      <w:r>
        <w:rPr>
          <w:rFonts w:ascii="Arial" w:cs="Arial" w:eastAsia="Arial" w:hAnsi="Arial"/>
          <w:sz w:val="17"/>
          <w:szCs w:val="17"/>
          <w:color w:val="auto"/>
        </w:rPr>
        <w:t>”), to perform its respective obligations hereunder and thereunder and to consummate the Transaction and the other transactions contemplated hereby and thereby. The execution, delivery and performance by Aeglea and each of its applicable Subsidiaries of each of this Agreement and each other Instrument and the consummation of the Transaction and the other transactions contemplated hereby and thereby have been duly authorized and approved by all requisite corporate or similar action on the part of Aeglea and each of its applicable Subsidiaries. Each of the Instruments has been, or will be at or prior to the Closing, duly and validly executed and delivered by Aeglea and each of its Subsidiaries party thereto and (assuming the due authorization, execution and delivery by the other parties thereto) each of the Instruments, when so executed and delivered, will constitute the legal, valid and binding obligations of Aeglea and each such Subsidiary, enforceable against it in accordance with its terms, subject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w:t>
      </w:r>
    </w:p>
    <w:p>
      <w:pPr>
        <w:spacing w:after="0" w:line="179"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Subsidiaries</w:t>
      </w:r>
      <w:r>
        <w:rPr>
          <w:rFonts w:ascii="Arial" w:cs="Arial" w:eastAsia="Arial" w:hAnsi="Arial"/>
          <w:sz w:val="18"/>
          <w:szCs w:val="18"/>
          <w:color w:val="auto"/>
        </w:rPr>
        <w:t>. Each Subsidiary of Aeglea which has title to any Acquired Assets is duly organized, validly existing and in good standing under the laws of its jurisdiction of organization and has all requisite corporate or similar power and authority to carry on its portion of the Program as currently conducted and is duly qualified to do business and is in good standing as a foreign corporation or other entity in each jurisdiction where the ownership or operation of the Acquired Assets or the conduct of the Program requires such qualification, except for failures to be so duly organized, validly existing, qualified or in good standing that would not, individually or in the aggregate, be material to the Acquired Assets, the Product or the Program or materially impede or materially delay the consummation by such Subsidiary of the Transactions or the performance of its obligations under this Agreement or any Instrument to which it is a party.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709" w:name="page710"/>
    <w:bookmarkEnd w:id="70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Arial" w:cs="Arial" w:eastAsia="Arial" w:hAnsi="Arial"/>
          <w:sz w:val="18"/>
          <w:szCs w:val="18"/>
          <w:u w:val="single" w:color="auto"/>
          <w:color w:val="auto"/>
        </w:rPr>
        <w:t>Conflicts; Consents of Third Parties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3" w:lineRule="auto"/>
        <w:tabs>
          <w:tab w:leader="none" w:pos="1240" w:val="left"/>
        </w:tabs>
        <w:numPr>
          <w:ilvl w:val="1"/>
          <w:numId w:val="698"/>
        </w:numPr>
        <w:rPr>
          <w:rFonts w:ascii="Arial" w:cs="Arial" w:eastAsia="Arial" w:hAnsi="Arial"/>
          <w:sz w:val="16"/>
          <w:szCs w:val="16"/>
          <w:color w:val="auto"/>
        </w:rPr>
      </w:pPr>
      <w:r>
        <w:rPr>
          <w:rFonts w:ascii="Arial" w:cs="Arial" w:eastAsia="Arial" w:hAnsi="Arial"/>
          <w:sz w:val="16"/>
          <w:szCs w:val="16"/>
          <w:color w:val="auto"/>
        </w:rPr>
        <w:t>Assuming the receipt of the consents identified on Schedule 4.4(a), none of the execution and delivery of this Agreement or the Instruments by Aeglea or any of its Subsidiaries, or the consummation of the Transaction or the other transactions contemplated hereby and thereby, will conflict with, or result in any violation of, or constitute a breach of, or conflict with or constitute a default (with or without notice or lapse of time, or both) under any provision of, or require any consent or other action by any Person under, or give rise to any right of termination, cancellation or acceleration under: (i) the certificate of incorporation and by-laws or comparable organizational documents of Aeglea or any of its Subsidiaries party to any Instrument; (ii) any Contract to which Aeglea or any such Subsidiary is a party or by which any of the properties or assets of Aeglea or any of its Subsidiaries used or held for use in the Program or in connection with the Product, or any Acquired Asset, is bound; (iii) any Order of any Governmental Authority applicable to Aeglea or any of its Subsidiaries or by which any of the properties or assets of Aeglea used or held for use in the Program or in connection with the Product, or any Acquired Asset, is bound; or (iv) any applicable Law, except, in the case of clauses (ii), (iii) and</w:t>
      </w:r>
    </w:p>
    <w:p>
      <w:pPr>
        <w:spacing w:after="0" w:line="5" w:lineRule="exact"/>
        <w:rPr>
          <w:rFonts w:ascii="Arial" w:cs="Arial" w:eastAsia="Arial" w:hAnsi="Arial"/>
          <w:sz w:val="16"/>
          <w:szCs w:val="16"/>
          <w:color w:val="auto"/>
        </w:rPr>
      </w:pPr>
    </w:p>
    <w:p>
      <w:pPr>
        <w:ind w:left="4" w:right="120" w:hanging="4"/>
        <w:spacing w:after="0" w:line="253" w:lineRule="auto"/>
        <w:tabs>
          <w:tab w:leader="none" w:pos="309" w:val="left"/>
        </w:tabs>
        <w:numPr>
          <w:ilvl w:val="0"/>
          <w:numId w:val="699"/>
        </w:numPr>
        <w:rPr>
          <w:rFonts w:ascii="Arial" w:cs="Arial" w:eastAsia="Arial" w:hAnsi="Arial"/>
          <w:sz w:val="18"/>
          <w:szCs w:val="18"/>
          <w:color w:val="auto"/>
        </w:rPr>
      </w:pPr>
      <w:r>
        <w:rPr>
          <w:rFonts w:ascii="Arial" w:cs="Arial" w:eastAsia="Arial" w:hAnsi="Arial"/>
          <w:sz w:val="18"/>
          <w:szCs w:val="18"/>
          <w:color w:val="auto"/>
        </w:rPr>
        <w:t>above, where such conflict, violation or default would not be material to the Acquired Assets, the Product or the Program or materially impede or materially delay the consummation by Aeglea or any such Subsidiary of the Transactions or the performance of its obligations under this Agreement or any Instrument to which it is a party. None of the execution and delivery of this Agreement or the Instruments by Aeglea or any of its Subsidiaries, or the consummation of the Transaction or the other transactions contemplated hereby and thereby, will result in the creation or imposition of any Lien on any Acquired Asset, except for Permitted Liens.</w:t>
      </w:r>
    </w:p>
    <w:p>
      <w:pPr>
        <w:spacing w:after="0" w:line="190" w:lineRule="exact"/>
        <w:rPr>
          <w:rFonts w:ascii="Arial" w:cs="Arial" w:eastAsia="Arial" w:hAnsi="Arial"/>
          <w:sz w:val="18"/>
          <w:szCs w:val="18"/>
          <w:color w:val="auto"/>
        </w:rPr>
      </w:pPr>
    </w:p>
    <w:p>
      <w:pPr>
        <w:ind w:left="4" w:right="80" w:firstLine="987"/>
        <w:spacing w:after="0" w:line="255" w:lineRule="auto"/>
        <w:tabs>
          <w:tab w:leader="none" w:pos="1250" w:val="left"/>
        </w:tabs>
        <w:numPr>
          <w:ilvl w:val="1"/>
          <w:numId w:val="699"/>
        </w:numPr>
        <w:rPr>
          <w:rFonts w:ascii="Arial" w:cs="Arial" w:eastAsia="Arial" w:hAnsi="Arial"/>
          <w:sz w:val="18"/>
          <w:szCs w:val="18"/>
          <w:color w:val="auto"/>
        </w:rPr>
      </w:pPr>
      <w:r>
        <w:rPr>
          <w:rFonts w:ascii="Arial" w:cs="Arial" w:eastAsia="Arial" w:hAnsi="Arial"/>
          <w:sz w:val="18"/>
          <w:szCs w:val="18"/>
          <w:color w:val="auto"/>
        </w:rPr>
        <w:t>Assuming the receipt of the consents from a Governmental Authority identified on Schedule 4.4(a), and except for any such filings, notices, Permits, authorizations, registrations, consents or approvals, the failure to make or obtain would not be material to the Acquired Assets, the Product or the Program and would not materially impede or materially delay the consummation by Aeglea of the Transactions or the performance of its obligations under this Agreement or any Instrument to which it is a party, no consent, waiver, approval, Order, Permit or authorization of, or declaration or filing with, or notification to, any Governmental Authority is required for Aeglea in connection with the execution and delivery of this Agreement or the Instruments, or the consummation of the Transaction.</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Acquired Assets</w:t>
      </w:r>
      <w:r>
        <w:rPr>
          <w:rFonts w:ascii="Arial" w:cs="Arial" w:eastAsia="Arial" w:hAnsi="Arial"/>
          <w:sz w:val="18"/>
          <w:szCs w:val="18"/>
          <w:color w:val="auto"/>
        </w:rPr>
        <w:t>.</w:t>
      </w:r>
    </w:p>
    <w:p>
      <w:pPr>
        <w:spacing w:after="0" w:line="225" w:lineRule="exact"/>
        <w:rPr>
          <w:sz w:val="20"/>
          <w:szCs w:val="20"/>
          <w:color w:val="auto"/>
        </w:rPr>
      </w:pPr>
    </w:p>
    <w:p>
      <w:pPr>
        <w:ind w:left="4" w:right="160" w:firstLine="987"/>
        <w:spacing w:after="0" w:line="273" w:lineRule="auto"/>
        <w:tabs>
          <w:tab w:leader="none" w:pos="1240" w:val="left"/>
        </w:tabs>
        <w:numPr>
          <w:ilvl w:val="0"/>
          <w:numId w:val="700"/>
        </w:numPr>
        <w:rPr>
          <w:rFonts w:ascii="Arial" w:cs="Arial" w:eastAsia="Arial" w:hAnsi="Arial"/>
          <w:sz w:val="17"/>
          <w:szCs w:val="17"/>
          <w:color w:val="auto"/>
        </w:rPr>
      </w:pPr>
      <w:r>
        <w:rPr>
          <w:rFonts w:ascii="Arial" w:cs="Arial" w:eastAsia="Arial" w:hAnsi="Arial"/>
          <w:sz w:val="17"/>
          <w:szCs w:val="17"/>
          <w:color w:val="auto"/>
        </w:rPr>
        <w:t>Except as set forth on Schedule 4.5(a), prior to the transfer of the Acquired Assets to Immedica at the Closing in accordance with this Agreement, Aeglea owns and has good title to the Acquired Assets, free and clear of all Liens other than Permitted Liens. Other than any Permitted Liens, neither Aeglea nor any of its Subsidiaries has granted to any Third Party any interest, right to use, license or entered into any covenants not to sue, releases for infringement, or waivers of claims for infringement, in, of or with respect to the Acquired Assets. Neither Aeglea nor any of its Subsidiaries has received any written notice from any other Person challenging its ownership or rights to use any Acquired Assets and there are no pending Legal Proceedings against Aeglea or any of its Subsidiaries challenging such ownership or rights.</w:t>
      </w:r>
    </w:p>
    <w:p>
      <w:pPr>
        <w:spacing w:after="0" w:line="177" w:lineRule="exact"/>
        <w:rPr>
          <w:rFonts w:ascii="Arial" w:cs="Arial" w:eastAsia="Arial" w:hAnsi="Arial"/>
          <w:sz w:val="17"/>
          <w:szCs w:val="17"/>
          <w:color w:val="auto"/>
        </w:rPr>
      </w:pPr>
    </w:p>
    <w:p>
      <w:pPr>
        <w:ind w:left="4" w:right="420" w:firstLine="987"/>
        <w:spacing w:after="0" w:line="277" w:lineRule="auto"/>
        <w:tabs>
          <w:tab w:leader="none" w:pos="125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There are no existing Contracts to which Aeglea or any of its Subsidiaries is a party, pursuant to which a Third Party is granted an option to acquire any interest in any of the Acquired Assets.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710" w:name="page711"/>
    <w:bookmarkEnd w:id="710"/>
    <w:p>
      <w:pPr>
        <w:ind w:left="1244" w:hanging="253"/>
        <w:spacing w:after="0"/>
        <w:tabs>
          <w:tab w:leader="none" w:pos="1244" w:val="left"/>
        </w:tabs>
        <w:numPr>
          <w:ilvl w:val="1"/>
          <w:numId w:val="7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4.5(c) sets forth a true and complete list of all Non-assignable Assets.</w:t>
      </w:r>
    </w:p>
    <w:p>
      <w:pPr>
        <w:spacing w:after="0" w:line="225" w:lineRule="exact"/>
        <w:rPr>
          <w:rFonts w:ascii="Arial" w:cs="Arial" w:eastAsia="Arial" w:hAnsi="Arial"/>
          <w:sz w:val="18"/>
          <w:szCs w:val="18"/>
          <w:color w:val="auto"/>
        </w:rPr>
      </w:pPr>
    </w:p>
    <w:p>
      <w:pPr>
        <w:ind w:left="4" w:right="140" w:firstLine="987"/>
        <w:spacing w:after="0" w:line="291" w:lineRule="auto"/>
        <w:tabs>
          <w:tab w:leader="none" w:pos="1250" w:val="left"/>
        </w:tabs>
        <w:numPr>
          <w:ilvl w:val="1"/>
          <w:numId w:val="701"/>
        </w:numPr>
        <w:rPr>
          <w:rFonts w:ascii="Arial" w:cs="Arial" w:eastAsia="Arial" w:hAnsi="Arial"/>
          <w:sz w:val="16"/>
          <w:szCs w:val="16"/>
          <w:color w:val="auto"/>
        </w:rPr>
      </w:pPr>
      <w:r>
        <w:rPr>
          <w:rFonts w:ascii="Arial" w:cs="Arial" w:eastAsia="Arial" w:hAnsi="Arial"/>
          <w:sz w:val="16"/>
          <w:szCs w:val="16"/>
          <w:color w:val="auto"/>
        </w:rPr>
        <w:t>All Inventory has been manufactured (i) in accordance with good manufacturing practices, as defined under the applicable sections of the United States Code of Federal Regulations, (ii) in compliance with all applicable Law, (iii) in accordance with the Inventory Specifications and</w:t>
      </w:r>
    </w:p>
    <w:p>
      <w:pPr>
        <w:ind w:left="304" w:hanging="304"/>
        <w:spacing w:after="0"/>
        <w:tabs>
          <w:tab w:leader="none" w:pos="304" w:val="left"/>
        </w:tabs>
        <w:numPr>
          <w:ilvl w:val="0"/>
          <w:numId w:val="702"/>
        </w:numPr>
        <w:rPr>
          <w:rFonts w:ascii="Arial" w:cs="Arial" w:eastAsia="Arial" w:hAnsi="Arial"/>
          <w:sz w:val="18"/>
          <w:szCs w:val="18"/>
          <w:color w:val="auto"/>
        </w:rPr>
      </w:pPr>
      <w:r>
        <w:rPr>
          <w:rFonts w:ascii="Arial" w:cs="Arial" w:eastAsia="Arial" w:hAnsi="Arial"/>
          <w:sz w:val="18"/>
          <w:szCs w:val="18"/>
          <w:color w:val="auto"/>
        </w:rPr>
        <w:t>in accordance with the specifications and standards contained in the Transferred Product Registrations.</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Transferred Product Registrations.</w:t>
      </w:r>
    </w:p>
    <w:p>
      <w:pPr>
        <w:spacing w:after="0" w:line="225" w:lineRule="exact"/>
        <w:rPr>
          <w:sz w:val="20"/>
          <w:szCs w:val="20"/>
          <w:color w:val="auto"/>
        </w:rPr>
      </w:pPr>
    </w:p>
    <w:p>
      <w:pPr>
        <w:ind w:left="4" w:right="180" w:firstLine="987"/>
        <w:spacing w:after="0" w:line="308" w:lineRule="auto"/>
        <w:tabs>
          <w:tab w:leader="none" w:pos="1240" w:val="left"/>
        </w:tabs>
        <w:numPr>
          <w:ilvl w:val="0"/>
          <w:numId w:val="703"/>
        </w:numPr>
        <w:rPr>
          <w:rFonts w:ascii="Arial" w:cs="Arial" w:eastAsia="Arial" w:hAnsi="Arial"/>
          <w:sz w:val="17"/>
          <w:szCs w:val="17"/>
          <w:color w:val="auto"/>
        </w:rPr>
      </w:pPr>
      <w:r>
        <w:rPr>
          <w:rFonts w:ascii="Arial" w:cs="Arial" w:eastAsia="Arial" w:hAnsi="Arial"/>
          <w:sz w:val="17"/>
          <w:szCs w:val="17"/>
          <w:color w:val="auto"/>
        </w:rPr>
        <w:t>The Transferred Product Registrations constitute all material registrations, applications, approvals, licenses or permits granted by any Governmental Authority to develop and market the Product, other than any Product Registrations held by Immedica or its Subsidiaries.</w:t>
      </w:r>
    </w:p>
    <w:p>
      <w:pPr>
        <w:spacing w:after="0" w:line="146" w:lineRule="exact"/>
        <w:rPr>
          <w:rFonts w:ascii="Arial" w:cs="Arial" w:eastAsia="Arial" w:hAnsi="Arial"/>
          <w:sz w:val="17"/>
          <w:szCs w:val="17"/>
          <w:color w:val="auto"/>
        </w:rPr>
      </w:pPr>
    </w:p>
    <w:p>
      <w:pPr>
        <w:ind w:left="4" w:right="60" w:firstLine="987"/>
        <w:spacing w:after="0" w:line="263" w:lineRule="auto"/>
        <w:tabs>
          <w:tab w:leader="none" w:pos="1250"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Except as set forth in Schedule 4.6(b), prior to the transfer of any Transferred Product Registration in accordance with this Agreement, Aeglea is the sole and exclusive owner of such Transferred Product Registration other than any Product Registrations held by Immedica or its Subsidiaries, and has not granted any right of reference with respect thereto.</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Assigned Contracts.</w:t>
      </w:r>
    </w:p>
    <w:p>
      <w:pPr>
        <w:spacing w:after="0" w:line="225" w:lineRule="exact"/>
        <w:rPr>
          <w:sz w:val="20"/>
          <w:szCs w:val="20"/>
          <w:color w:val="auto"/>
        </w:rPr>
      </w:pPr>
    </w:p>
    <w:p>
      <w:pPr>
        <w:ind w:left="4" w:firstLine="987"/>
        <w:spacing w:after="0" w:line="287" w:lineRule="auto"/>
        <w:tabs>
          <w:tab w:leader="none" w:pos="1240" w:val="left"/>
        </w:tabs>
        <w:numPr>
          <w:ilvl w:val="0"/>
          <w:numId w:val="704"/>
        </w:numPr>
        <w:rPr>
          <w:rFonts w:ascii="Arial" w:cs="Arial" w:eastAsia="Arial" w:hAnsi="Arial"/>
          <w:sz w:val="16"/>
          <w:szCs w:val="16"/>
          <w:color w:val="auto"/>
        </w:rPr>
      </w:pPr>
      <w:r>
        <w:rPr>
          <w:rFonts w:ascii="Arial" w:cs="Arial" w:eastAsia="Arial" w:hAnsi="Arial"/>
          <w:sz w:val="16"/>
          <w:szCs w:val="16"/>
          <w:color w:val="auto"/>
        </w:rPr>
        <w:t>Other than the Assigned Contracts and the Contracts listed on Schedule 2.2(b)(viii), neither Aeglea nor any of its Subsidiaries is party to any Contract that is primarily related to, or otherwise material to, the Product or the Program. Each Assigned Contract is a valid, binding and enforceable agreement of Aeglea or its applicable Subsidiaries party thereto and, to the Knowledge of Aeglea, of each other party to such Assigned Contract, and each such Assigned Contract is in full force and effect. In respect of each Assigned Contract, neither Aeglea nor any of its applicable Subsidiaries party thereto is, nor, to the Knowledge of Aeglea, any other counterparty thereto is, in default or breach under the terms of any such Assigned Contract, and, to the Knowledge of Aeglea, no event has occurred that, with or without the lapse of time or the giving of notice or both, would constitute a breach thereof or default thereunder by Aeglea or its applicable Subsidiaries party thereto or, to the Knowledge of Aeglea, any other party thereto, except for any such defaults or breaches that, individually or in the aggregate, would not reasonably be expected to be material to the Acquired Assets, the Product or the Program. There are no disputes pending, or to Aeglea’s Knowledge, threatened, with respect to any of the Assigned Contracts and neither Aeglea nor any of its Subsidiaries has received any written notice of the intention of any other party to any Assigned Contract to terminate or not renew or reduce any commitment under any Assigned Contract, nor to the Knowledge of Aeglea is any such party intending to do so, in each case, except where such dispute, or such termination or nonrenewal or commitment reduction would not be material to the Product or the Program.</w:t>
      </w:r>
    </w:p>
    <w:p>
      <w:pPr>
        <w:spacing w:after="0" w:line="167" w:lineRule="exact"/>
        <w:rPr>
          <w:rFonts w:ascii="Arial" w:cs="Arial" w:eastAsia="Arial" w:hAnsi="Arial"/>
          <w:sz w:val="16"/>
          <w:szCs w:val="16"/>
          <w:color w:val="auto"/>
        </w:rPr>
      </w:pPr>
    </w:p>
    <w:p>
      <w:pPr>
        <w:ind w:left="4" w:right="100" w:firstLine="987"/>
        <w:spacing w:after="0" w:line="259" w:lineRule="auto"/>
        <w:tabs>
          <w:tab w:leader="none" w:pos="1250" w:val="left"/>
        </w:tabs>
        <w:numPr>
          <w:ilvl w:val="0"/>
          <w:numId w:val="704"/>
        </w:numPr>
        <w:rPr>
          <w:rFonts w:ascii="Arial" w:cs="Arial" w:eastAsia="Arial" w:hAnsi="Arial"/>
          <w:sz w:val="18"/>
          <w:szCs w:val="18"/>
          <w:color w:val="auto"/>
        </w:rPr>
      </w:pPr>
      <w:r>
        <w:rPr>
          <w:rFonts w:ascii="Arial" w:cs="Arial" w:eastAsia="Arial" w:hAnsi="Arial"/>
          <w:sz w:val="18"/>
          <w:szCs w:val="18"/>
          <w:color w:val="auto"/>
        </w:rPr>
        <w:t>No Assigned Contract (i) contains a covenant not to compete or other covenants that purport to limit or restrict the business activity of Aeglea or any of its Subsidiaries or limit the freedom of Aeglea or any of its Subsidiaries to use the Acquired Assets, or (ii) grants a Third Party a license, or a covenant not to be sued under, any Assigned Intellectual Property, excluding nonexclusive licenses granted in the ordinary course of business.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711" w:name="page712"/>
    <w:bookmarkEnd w:id="711"/>
    <w:p>
      <w:pPr>
        <w:jc w:val="both"/>
        <w:ind w:left="4" w:right="100" w:firstLine="987"/>
        <w:spacing w:after="0" w:line="279" w:lineRule="auto"/>
        <w:tabs>
          <w:tab w:leader="none" w:pos="1240" w:val="left"/>
        </w:tabs>
        <w:numPr>
          <w:ilvl w:val="0"/>
          <w:numId w:val="7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obligations to make any payments or any amounts owed under any Assigned Contract, including under the Fuji Scope of Work, that have not been paid by Aeglea or any of its Subsidiaries at or prior to Closing, regardless of whether the work to be performed, services to be rendered or goods to be provided in exchange for such payments are to be provided before or after payment therefor or before or after the Closing, and regardless of whether an invoice for any such payment is rendered before or after the Closing.</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Sufficiency of the Assets; Title to Acquired Assets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3" w:lineRule="auto"/>
        <w:tabs>
          <w:tab w:leader="none" w:pos="1240" w:val="left"/>
        </w:tabs>
        <w:numPr>
          <w:ilvl w:val="0"/>
          <w:numId w:val="706"/>
        </w:numPr>
        <w:rPr>
          <w:rFonts w:ascii="Arial" w:cs="Arial" w:eastAsia="Arial" w:hAnsi="Arial"/>
          <w:sz w:val="17"/>
          <w:szCs w:val="17"/>
          <w:color w:val="auto"/>
        </w:rPr>
      </w:pPr>
      <w:r>
        <w:rPr>
          <w:rFonts w:ascii="Arial" w:cs="Arial" w:eastAsia="Arial" w:hAnsi="Arial"/>
          <w:sz w:val="17"/>
          <w:szCs w:val="17"/>
          <w:color w:val="auto"/>
        </w:rPr>
        <w:t xml:space="preserve">The Acquired Assets, together with the license to the ADA Assays granted pursuant to Section 2.8, comprise all of the property, assets and rights, tangible and intangible, of any nature whatsoever, used or held for use in the Program or with the Product, except for any and all such assets or rights for the general operation of an entity, all personnel, all contracts in support of clinical trials and the Excluded Assets (provided that for purposes of this Section 4.8(a), the definition of “Excluded Assets” shall be deemed not to include clause (xv) thereof), and (subject to the foregoing exceptions) are sufficient to conduct the Program,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Section 4.8(a) shall not be construed as a representation or warranty with respect to not infringing, misappropriating or otherwise violating Intellectual Property of a Third Party.</w:t>
      </w:r>
    </w:p>
    <w:p>
      <w:pPr>
        <w:spacing w:after="0" w:line="177" w:lineRule="exact"/>
        <w:rPr>
          <w:rFonts w:ascii="Arial" w:cs="Arial" w:eastAsia="Arial" w:hAnsi="Arial"/>
          <w:sz w:val="17"/>
          <w:szCs w:val="17"/>
          <w:color w:val="auto"/>
        </w:rPr>
      </w:pPr>
    </w:p>
    <w:p>
      <w:pPr>
        <w:ind w:left="1244" w:hanging="253"/>
        <w:spacing w:after="0"/>
        <w:tabs>
          <w:tab w:leader="none" w:pos="1244" w:val="left"/>
        </w:tabs>
        <w:numPr>
          <w:ilvl w:val="0"/>
          <w:numId w:val="706"/>
        </w:numPr>
        <w:rPr>
          <w:rFonts w:ascii="Arial" w:cs="Arial" w:eastAsia="Arial" w:hAnsi="Arial"/>
          <w:sz w:val="17"/>
          <w:szCs w:val="17"/>
          <w:color w:val="auto"/>
        </w:rPr>
      </w:pPr>
      <w:r>
        <w:rPr>
          <w:rFonts w:ascii="Arial" w:cs="Arial" w:eastAsia="Arial" w:hAnsi="Arial"/>
          <w:sz w:val="17"/>
          <w:szCs w:val="17"/>
          <w:color w:val="auto"/>
        </w:rPr>
        <w:t>Aeglea hereby represents and warrants to Immedica as of the Closing Date as set forth on Schedule 4.8 as though set forth in full</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herein.</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Compliance with Laws; Litigation</w:t>
      </w:r>
      <w:r>
        <w:rPr>
          <w:rFonts w:ascii="Arial" w:cs="Arial" w:eastAsia="Arial" w:hAnsi="Arial"/>
          <w:sz w:val="18"/>
          <w:szCs w:val="18"/>
          <w:color w:val="auto"/>
        </w:rPr>
        <w:t>.</w:t>
      </w:r>
    </w:p>
    <w:p>
      <w:pPr>
        <w:spacing w:after="0" w:line="225" w:lineRule="exact"/>
        <w:rPr>
          <w:sz w:val="20"/>
          <w:szCs w:val="20"/>
          <w:color w:val="auto"/>
        </w:rPr>
      </w:pPr>
    </w:p>
    <w:p>
      <w:pPr>
        <w:ind w:left="4" w:right="180" w:firstLine="987"/>
        <w:spacing w:after="0" w:line="291" w:lineRule="auto"/>
        <w:tabs>
          <w:tab w:leader="none" w:pos="1240" w:val="left"/>
        </w:tabs>
        <w:numPr>
          <w:ilvl w:val="1"/>
          <w:numId w:val="707"/>
        </w:numPr>
        <w:rPr>
          <w:rFonts w:ascii="Arial" w:cs="Arial" w:eastAsia="Arial" w:hAnsi="Arial"/>
          <w:sz w:val="16"/>
          <w:szCs w:val="16"/>
          <w:color w:val="auto"/>
        </w:rPr>
      </w:pPr>
      <w:r>
        <w:rPr>
          <w:rFonts w:ascii="Arial" w:cs="Arial" w:eastAsia="Arial" w:hAnsi="Arial"/>
          <w:sz w:val="16"/>
          <w:szCs w:val="16"/>
          <w:color w:val="auto"/>
        </w:rPr>
        <w:t>Except as would not reasonably be expected to be material to the Program, the Acquired Assets or the Product, (i) neither Aeglea nor any of its Subsidiaries is in violation of any applicable Law relating to the Program, the Product, the Acquired Assets or the Assumed Liabilities,</w:t>
      </w:r>
    </w:p>
    <w:p>
      <w:pPr>
        <w:ind w:left="4" w:right="320" w:hanging="4"/>
        <w:spacing w:after="0" w:line="253" w:lineRule="auto"/>
        <w:tabs>
          <w:tab w:leader="none" w:pos="269" w:val="left"/>
        </w:tabs>
        <w:numPr>
          <w:ilvl w:val="0"/>
          <w:numId w:val="708"/>
        </w:numPr>
        <w:rPr>
          <w:rFonts w:ascii="Arial" w:cs="Arial" w:eastAsia="Arial" w:hAnsi="Arial"/>
          <w:sz w:val="18"/>
          <w:szCs w:val="18"/>
          <w:color w:val="auto"/>
        </w:rPr>
      </w:pPr>
      <w:r>
        <w:rPr>
          <w:rFonts w:ascii="Arial" w:cs="Arial" w:eastAsia="Arial" w:hAnsi="Arial"/>
          <w:sz w:val="18"/>
          <w:szCs w:val="18"/>
          <w:color w:val="auto"/>
        </w:rPr>
        <w:t>except as set forth on Schedule 4.9, all governmental licenses, permits, approvals and authorizations employed in, or necessary to the ongoing operation of the Program as currently conducted, are in full force and effect and (iii) neither Aeglea nor any of its Subsidiaries has received any communication from any Governmental Authority relating to any violation of any applicable Law in connection with the Acquired Assets, Assumed Liabilities, the Product or the operation of the Program.</w:t>
      </w:r>
    </w:p>
    <w:p>
      <w:pPr>
        <w:spacing w:after="0" w:line="192" w:lineRule="exact"/>
        <w:rPr>
          <w:rFonts w:ascii="Arial" w:cs="Arial" w:eastAsia="Arial" w:hAnsi="Arial"/>
          <w:sz w:val="18"/>
          <w:szCs w:val="18"/>
          <w:color w:val="auto"/>
        </w:rPr>
      </w:pPr>
    </w:p>
    <w:p>
      <w:pPr>
        <w:ind w:left="4" w:right="80" w:firstLine="987"/>
        <w:spacing w:after="0" w:line="277" w:lineRule="auto"/>
        <w:tabs>
          <w:tab w:leader="none" w:pos="1250" w:val="left"/>
        </w:tabs>
        <w:numPr>
          <w:ilvl w:val="1"/>
          <w:numId w:val="708"/>
        </w:numPr>
        <w:rPr>
          <w:rFonts w:ascii="Arial" w:cs="Arial" w:eastAsia="Arial" w:hAnsi="Arial"/>
          <w:sz w:val="18"/>
          <w:szCs w:val="18"/>
          <w:color w:val="auto"/>
        </w:rPr>
      </w:pPr>
      <w:r>
        <w:rPr>
          <w:rFonts w:ascii="Arial" w:cs="Arial" w:eastAsia="Arial" w:hAnsi="Arial"/>
          <w:sz w:val="18"/>
          <w:szCs w:val="18"/>
          <w:color w:val="auto"/>
        </w:rPr>
        <w:t>The Program has been conducted and developed, and the Product been manufactured, processed, tested and stored, in accordance with all applicable Laws, rules and regulations, in all material respects.</w:t>
      </w:r>
    </w:p>
    <w:p>
      <w:pPr>
        <w:spacing w:after="0" w:line="170" w:lineRule="exact"/>
        <w:rPr>
          <w:rFonts w:ascii="Arial" w:cs="Arial" w:eastAsia="Arial" w:hAnsi="Arial"/>
          <w:sz w:val="18"/>
          <w:szCs w:val="18"/>
          <w:color w:val="auto"/>
        </w:rPr>
      </w:pPr>
    </w:p>
    <w:p>
      <w:pPr>
        <w:jc w:val="both"/>
        <w:ind w:left="4" w:firstLine="987"/>
        <w:spacing w:after="0" w:line="301" w:lineRule="auto"/>
        <w:tabs>
          <w:tab w:leader="none" w:pos="1240" w:val="left"/>
        </w:tabs>
        <w:numPr>
          <w:ilvl w:val="1"/>
          <w:numId w:val="708"/>
        </w:numPr>
        <w:rPr>
          <w:rFonts w:ascii="Arial" w:cs="Arial" w:eastAsia="Arial" w:hAnsi="Arial"/>
          <w:sz w:val="16"/>
          <w:szCs w:val="16"/>
          <w:color w:val="auto"/>
        </w:rPr>
      </w:pPr>
      <w:r>
        <w:rPr>
          <w:rFonts w:ascii="Arial" w:cs="Arial" w:eastAsia="Arial" w:hAnsi="Arial"/>
          <w:sz w:val="16"/>
          <w:szCs w:val="16"/>
          <w:color w:val="auto"/>
        </w:rPr>
        <w:t>There is no Legal Proceeding pending against, or to the knowledge of Aeglea or any of its Subsidiaries, threatened against or affecting, the Acquired Assets or relating to the Acquired Assets or the Program before any arbitrator or any Governmental Authority, and there are no outstanding Orders, injunctions or decrees of any Governmental Authority that apply to or otherwise relate to the Acquired Assets or the Program (or that will apply to Immedica after Closing) that restrict the ownership, disposition or use of the Acquired Assets or the Product, or the conduct of the Program.</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712" w:name="page713"/>
    <w:bookmarkEnd w:id="712"/>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4.10 </w:t>
      </w:r>
      <w:r>
        <w:rPr>
          <w:rFonts w:ascii="Arial" w:cs="Arial" w:eastAsia="Arial" w:hAnsi="Arial"/>
          <w:sz w:val="18"/>
          <w:szCs w:val="18"/>
          <w:u w:val="single" w:color="auto"/>
          <w:color w:val="auto"/>
        </w:rPr>
        <w:t>Regulatory Compliance</w:t>
      </w:r>
      <w:r>
        <w:rPr>
          <w:rFonts w:ascii="Arial" w:cs="Arial" w:eastAsia="Arial" w:hAnsi="Arial"/>
          <w:sz w:val="18"/>
          <w:szCs w:val="18"/>
          <w:color w:val="auto"/>
        </w:rPr>
        <w:t>.</w:t>
      </w:r>
    </w:p>
    <w:p>
      <w:pPr>
        <w:spacing w:after="0" w:line="225" w:lineRule="exact"/>
        <w:rPr>
          <w:sz w:val="20"/>
          <w:szCs w:val="20"/>
          <w:color w:val="auto"/>
        </w:rPr>
      </w:pPr>
    </w:p>
    <w:p>
      <w:pPr>
        <w:ind w:left="-20" w:right="120" w:firstLine="987"/>
        <w:spacing w:after="0" w:line="271" w:lineRule="auto"/>
        <w:tabs>
          <w:tab w:leader="none" w:pos="1216" w:val="left"/>
        </w:tabs>
        <w:numPr>
          <w:ilvl w:val="0"/>
          <w:numId w:val="709"/>
        </w:numPr>
        <w:rPr>
          <w:rFonts w:ascii="Arial" w:cs="Arial" w:eastAsia="Arial" w:hAnsi="Arial"/>
          <w:sz w:val="17"/>
          <w:szCs w:val="17"/>
          <w:color w:val="auto"/>
        </w:rPr>
      </w:pPr>
      <w:r>
        <w:rPr>
          <w:rFonts w:ascii="Arial" w:cs="Arial" w:eastAsia="Arial" w:hAnsi="Arial"/>
          <w:sz w:val="17"/>
          <w:szCs w:val="17"/>
          <w:color w:val="auto"/>
        </w:rPr>
        <w:t>Except as would not reasonably be expected to be material to the Program, the Acquired Assets or the Product, Aeglea and each of its Subsidiaries is in compliance with all applicable legal requirements of the U.S. Centers for Medicare &amp; Medicaid Services, U.S. Centers for Disease Control and Prevention, U.S. Department of Health and Human Services, U.S. Drug Enforcement Agency, U.S. Food and Drug Administration, U.S. Federal Trade Commission (the “</w:t>
      </w:r>
      <w:r>
        <w:rPr>
          <w:rFonts w:ascii="Arial" w:cs="Arial" w:eastAsia="Arial" w:hAnsi="Arial"/>
          <w:sz w:val="17"/>
          <w:szCs w:val="17"/>
          <w:u w:val="single" w:color="auto"/>
          <w:color w:val="auto"/>
        </w:rPr>
        <w:t>FTC</w:t>
      </w:r>
      <w:r>
        <w:rPr>
          <w:rFonts w:ascii="Arial" w:cs="Arial" w:eastAsia="Arial" w:hAnsi="Arial"/>
          <w:sz w:val="17"/>
          <w:szCs w:val="17"/>
          <w:color w:val="auto"/>
        </w:rPr>
        <w:t>”), U.S. Department of Agriculture, U.S. Department of Commerce, and similar federal, state and local Governmental Authorities, and comparable non-U.S. Governmental Authorities (collectively, the “</w:t>
      </w:r>
      <w:r>
        <w:rPr>
          <w:rFonts w:ascii="Arial" w:cs="Arial" w:eastAsia="Arial" w:hAnsi="Arial"/>
          <w:sz w:val="17"/>
          <w:szCs w:val="17"/>
          <w:u w:val="single" w:color="auto"/>
          <w:color w:val="auto"/>
        </w:rPr>
        <w:t>Regulatory Bodies</w:t>
      </w:r>
      <w:r>
        <w:rPr>
          <w:rFonts w:ascii="Arial" w:cs="Arial" w:eastAsia="Arial" w:hAnsi="Arial"/>
          <w:sz w:val="17"/>
          <w:szCs w:val="17"/>
          <w:color w:val="auto"/>
        </w:rPr>
        <w:t>”), as well as all applicable healthcare-related legal requirements of the U.S. Department of Justice and healthcare-related Presidential Executive Orders, including with respect to the maintenance, compilation and filing of reports and the sale, labeling, storing, testing, development, distribution, marketing, promotion and advertising of the Product, including all anti-kickback laws.</w:t>
      </w:r>
    </w:p>
    <w:p>
      <w:pPr>
        <w:spacing w:after="0" w:line="178" w:lineRule="exact"/>
        <w:rPr>
          <w:rFonts w:ascii="Arial" w:cs="Arial" w:eastAsia="Arial" w:hAnsi="Arial"/>
          <w:sz w:val="17"/>
          <w:szCs w:val="17"/>
          <w:color w:val="auto"/>
        </w:rPr>
      </w:pPr>
    </w:p>
    <w:p>
      <w:pPr>
        <w:ind w:left="-20" w:firstLine="987"/>
        <w:spacing w:after="0" w:line="254" w:lineRule="auto"/>
        <w:tabs>
          <w:tab w:leader="none" w:pos="1226" w:val="left"/>
        </w:tabs>
        <w:numPr>
          <w:ilvl w:val="0"/>
          <w:numId w:val="709"/>
        </w:numPr>
        <w:rPr>
          <w:rFonts w:ascii="Arial" w:cs="Arial" w:eastAsia="Arial" w:hAnsi="Arial"/>
          <w:sz w:val="18"/>
          <w:szCs w:val="18"/>
          <w:color w:val="auto"/>
        </w:rPr>
      </w:pPr>
      <w:r>
        <w:rPr>
          <w:rFonts w:ascii="Arial" w:cs="Arial" w:eastAsia="Arial" w:hAnsi="Arial"/>
          <w:sz w:val="18"/>
          <w:szCs w:val="18"/>
          <w:color w:val="auto"/>
        </w:rPr>
        <w:t>Since January 1, 2020, neither Aeglea nor any of its Subsidiaries (i) has received any written notice or warning letter from any Regulatory Body or any other Governmental Authority alleging any violation of any requirements under applicable Law by Aeglea or any of its Subsidiaries, (ii) has received notice of nor is subject to any adverse inspection, finding of deficiency, finding of noncompliance, compelled or voluntary recall, product seizure, investigation, penalty for corrective or remedial action or other compliance or enforcement action by any Governmental Authority, in each case relating to the Product or to the facilities in which the Product is manufactured, produced, processed, packaged, labeled, collected, stored or handled. There is no corporate integrity agreement in effect with respect to Aeglea or otherwise with respect to the Program or the Product.</w:t>
      </w:r>
    </w:p>
    <w:p>
      <w:pPr>
        <w:spacing w:after="0" w:line="194" w:lineRule="exact"/>
        <w:rPr>
          <w:rFonts w:ascii="Arial" w:cs="Arial" w:eastAsia="Arial" w:hAnsi="Arial"/>
          <w:sz w:val="18"/>
          <w:szCs w:val="18"/>
          <w:color w:val="auto"/>
        </w:rPr>
      </w:pPr>
    </w:p>
    <w:p>
      <w:pPr>
        <w:ind w:left="-20" w:right="20" w:firstLine="987"/>
        <w:spacing w:after="0" w:line="293" w:lineRule="auto"/>
        <w:tabs>
          <w:tab w:leader="none" w:pos="1216" w:val="left"/>
        </w:tabs>
        <w:numPr>
          <w:ilvl w:val="0"/>
          <w:numId w:val="709"/>
        </w:numPr>
        <w:rPr>
          <w:rFonts w:ascii="Arial" w:cs="Arial" w:eastAsia="Arial" w:hAnsi="Arial"/>
          <w:sz w:val="16"/>
          <w:szCs w:val="16"/>
          <w:color w:val="auto"/>
        </w:rPr>
      </w:pPr>
      <w:r>
        <w:rPr>
          <w:rFonts w:ascii="Arial" w:cs="Arial" w:eastAsia="Arial" w:hAnsi="Arial"/>
          <w:sz w:val="16"/>
          <w:szCs w:val="16"/>
          <w:color w:val="auto"/>
        </w:rPr>
        <w:t>Neither Aeglea nor any of its Subsidiaries has received (i) any FDA Form 483 “Inspectional Observations,” or similar notice from any Governmental Authority, relating to the Product or the facilities in which the Product is manufactured; or (ii) any “warning letters,” or “untitled letters,” or other similar Governmental Authority notice of inspectional observations or legal deficiencies or other written correspondence from the FDA or any other Governmental Authority asserting a violation of applicable Law concerning the Acquired Assets, the Program or the Product. There has not been a recall or market withdrawal or replacement of any Product by, or on behalf of, Aeglea or any of its Subsidiaries, whether voluntary or involuntary. Aeglea and its Subsidiaries have complied at all times with all adverse event reporting requirements applicable to the Product.</w:t>
      </w:r>
    </w:p>
    <w:p>
      <w:pPr>
        <w:spacing w:after="0" w:line="164" w:lineRule="exact"/>
        <w:rPr>
          <w:rFonts w:ascii="Arial" w:cs="Arial" w:eastAsia="Arial" w:hAnsi="Arial"/>
          <w:sz w:val="16"/>
          <w:szCs w:val="16"/>
          <w:color w:val="auto"/>
        </w:rPr>
      </w:pPr>
    </w:p>
    <w:p>
      <w:pPr>
        <w:ind w:left="-20" w:right="160" w:firstLine="987"/>
        <w:spacing w:after="0" w:line="271" w:lineRule="auto"/>
        <w:tabs>
          <w:tab w:leader="none" w:pos="1226" w:val="left"/>
        </w:tabs>
        <w:numPr>
          <w:ilvl w:val="0"/>
          <w:numId w:val="709"/>
        </w:numPr>
        <w:rPr>
          <w:rFonts w:ascii="Arial" w:cs="Arial" w:eastAsia="Arial" w:hAnsi="Arial"/>
          <w:sz w:val="17"/>
          <w:szCs w:val="17"/>
          <w:color w:val="auto"/>
        </w:rPr>
      </w:pPr>
      <w:r>
        <w:rPr>
          <w:rFonts w:ascii="Arial" w:cs="Arial" w:eastAsia="Arial" w:hAnsi="Arial"/>
          <w:sz w:val="17"/>
          <w:szCs w:val="17"/>
          <w:color w:val="auto"/>
        </w:rPr>
        <w:t>Neither Aeglea nor any of its Subsidiaries has made any false statements on, or omissions from, the applications, reports and other submissions or communications (written or oral) to the FDA or any other Governmental Authority with respect to the Program, the Product or its manufacture or any other records, reports and documentation prepared or maintained to comply with the requirements of applicable Law, and all such applications, reports, submissions and communications were true, correct and complete in all material respects. Neither Aeglea nor any of its Subsidiaries is the subject of any pending or, to Aeglea’s Knowledge, threatened investigation by any Governmental Authority with respect to the Program, or the Product, including by (i) the FDA pursuant to its “Fraud, Untrue Statements of Material Facts, Bribery and Illegal Gratuities” Final Policy set forth in 56 Fed. Reg. 46191 (September 10, 1991) and any amendments thereto; (ii) the FTC; or (iii) any other Governmental Authority that has jurisdiction over the Program under any similar policy.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60" w:top="274" w:right="479" w:bottom="1440" w:gutter="0" w:footer="0" w:header="0"/>
        </w:sectPr>
      </w:pPr>
    </w:p>
    <w:bookmarkStart w:id="713" w:name="page714"/>
    <w:bookmarkEnd w:id="71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4.11 </w:t>
      </w:r>
      <w:r>
        <w:rPr>
          <w:rFonts w:ascii="Arial" w:cs="Arial" w:eastAsia="Arial" w:hAnsi="Arial"/>
          <w:sz w:val="18"/>
          <w:szCs w:val="18"/>
          <w:u w:val="single" w:color="auto"/>
          <w:color w:val="auto"/>
        </w:rPr>
        <w:t>Intellectual Property; Data Privacy and Security</w:t>
      </w:r>
      <w:r>
        <w:rPr>
          <w:rFonts w:ascii="Arial" w:cs="Arial" w:eastAsia="Arial" w:hAnsi="Arial"/>
          <w:sz w:val="18"/>
          <w:szCs w:val="18"/>
          <w:color w:val="auto"/>
        </w:rPr>
        <w:t>.</w:t>
      </w:r>
    </w:p>
    <w:p>
      <w:pPr>
        <w:spacing w:after="0" w:line="225" w:lineRule="exact"/>
        <w:rPr>
          <w:sz w:val="20"/>
          <w:szCs w:val="20"/>
          <w:color w:val="auto"/>
        </w:rPr>
      </w:pPr>
    </w:p>
    <w:p>
      <w:pPr>
        <w:ind w:left="4" w:right="240" w:firstLine="987"/>
        <w:spacing w:after="0" w:line="291" w:lineRule="auto"/>
        <w:tabs>
          <w:tab w:leader="none" w:pos="1240" w:val="left"/>
        </w:tabs>
        <w:numPr>
          <w:ilvl w:val="1"/>
          <w:numId w:val="710"/>
        </w:numPr>
        <w:rPr>
          <w:rFonts w:ascii="Arial" w:cs="Arial" w:eastAsia="Arial" w:hAnsi="Arial"/>
          <w:sz w:val="16"/>
          <w:szCs w:val="16"/>
          <w:color w:val="auto"/>
        </w:rPr>
      </w:pPr>
      <w:r>
        <w:rPr>
          <w:rFonts w:ascii="Arial" w:cs="Arial" w:eastAsia="Arial" w:hAnsi="Arial"/>
          <w:sz w:val="16"/>
          <w:szCs w:val="16"/>
          <w:color w:val="auto"/>
        </w:rPr>
        <w:t>Schedule 4.11(a</w:t>
      </w:r>
      <w:r>
        <w:rPr>
          <w:rFonts w:ascii="Arial" w:cs="Arial" w:eastAsia="Arial" w:hAnsi="Arial"/>
          <w:sz w:val="16"/>
          <w:szCs w:val="16"/>
          <w:u w:val="single" w:color="auto"/>
          <w:color w:val="auto"/>
        </w:rPr>
        <w:t>)</w:t>
      </w:r>
      <w:r>
        <w:rPr>
          <w:rFonts w:ascii="Arial" w:cs="Arial" w:eastAsia="Arial" w:hAnsi="Arial"/>
          <w:sz w:val="16"/>
          <w:szCs w:val="16"/>
          <w:color w:val="auto"/>
        </w:rPr>
        <w:t xml:space="preserve"> contains a true and complete list of each of the issuances, registrations and applications for issuance or registration included in the Assigned Intellectual Property, specifying as to each such item, as applicable (i) the owner of such item, (ii) the title of such item,</w:t>
      </w:r>
    </w:p>
    <w:p>
      <w:pPr>
        <w:ind w:left="4" w:right="40" w:hanging="4"/>
        <w:spacing w:after="0" w:line="255" w:lineRule="auto"/>
        <w:tabs>
          <w:tab w:leader="none" w:pos="319" w:val="left"/>
        </w:tabs>
        <w:numPr>
          <w:ilvl w:val="0"/>
          <w:numId w:val="711"/>
        </w:numPr>
        <w:rPr>
          <w:rFonts w:ascii="Arial" w:cs="Arial" w:eastAsia="Arial" w:hAnsi="Arial"/>
          <w:sz w:val="18"/>
          <w:szCs w:val="18"/>
          <w:color w:val="auto"/>
        </w:rPr>
      </w:pPr>
      <w:r>
        <w:rPr>
          <w:rFonts w:ascii="Arial" w:cs="Arial" w:eastAsia="Arial" w:hAnsi="Arial"/>
          <w:sz w:val="18"/>
          <w:szCs w:val="18"/>
          <w:color w:val="auto"/>
        </w:rPr>
        <w:t>each jurisdiction in which such item is issued or registered or in which any application for issuance or registration has been filed, (iv) the respective issuance, registration, or application number of such item and (v) the date of application and issuance or registration of such item (all such Assigned Intellectual Property required to be listed on Schedule 4.11(a</w:t>
      </w:r>
      <w:r>
        <w:rPr>
          <w:rFonts w:ascii="Arial" w:cs="Arial" w:eastAsia="Arial" w:hAnsi="Arial"/>
          <w:sz w:val="18"/>
          <w:szCs w:val="18"/>
          <w:u w:val="single" w:color="auto"/>
          <w:color w:val="auto"/>
        </w:rPr>
        <w:t>)</w:t>
      </w:r>
      <w:r>
        <w:rPr>
          <w:rFonts w:ascii="Arial" w:cs="Arial" w:eastAsia="Arial" w:hAnsi="Arial"/>
          <w:sz w:val="18"/>
          <w:szCs w:val="18"/>
          <w:color w:val="auto"/>
        </w:rPr>
        <w:t>, the “</w:t>
      </w:r>
      <w:r>
        <w:rPr>
          <w:rFonts w:ascii="Arial" w:cs="Arial" w:eastAsia="Arial" w:hAnsi="Arial"/>
          <w:sz w:val="18"/>
          <w:szCs w:val="18"/>
          <w:u w:val="single" w:color="auto"/>
          <w:color w:val="auto"/>
        </w:rPr>
        <w:t>Registered IP</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244" w:hanging="253"/>
        <w:spacing w:after="0"/>
        <w:tabs>
          <w:tab w:leader="none" w:pos="1244" w:val="left"/>
        </w:tabs>
        <w:numPr>
          <w:ilvl w:val="1"/>
          <w:numId w:val="711"/>
        </w:numPr>
        <w:rPr>
          <w:rFonts w:ascii="Arial" w:cs="Arial" w:eastAsia="Arial" w:hAnsi="Arial"/>
          <w:sz w:val="18"/>
          <w:szCs w:val="18"/>
          <w:color w:val="auto"/>
        </w:rPr>
      </w:pPr>
      <w:r>
        <w:rPr>
          <w:rFonts w:ascii="Arial" w:cs="Arial" w:eastAsia="Arial" w:hAnsi="Arial"/>
          <w:sz w:val="18"/>
          <w:szCs w:val="18"/>
          <w:color w:val="auto"/>
        </w:rPr>
        <w:t>Aeglea or one of its Subsidiaries is the sole and exclusive owner of the Assigned Intellectual Property.</w:t>
      </w:r>
    </w:p>
    <w:p>
      <w:pPr>
        <w:spacing w:after="0" w:line="225" w:lineRule="exact"/>
        <w:rPr>
          <w:rFonts w:ascii="Arial" w:cs="Arial" w:eastAsia="Arial" w:hAnsi="Arial"/>
          <w:sz w:val="18"/>
          <w:szCs w:val="18"/>
          <w:color w:val="auto"/>
        </w:rPr>
      </w:pPr>
    </w:p>
    <w:p>
      <w:pPr>
        <w:ind w:left="4" w:firstLine="987"/>
        <w:spacing w:after="0" w:line="296" w:lineRule="auto"/>
        <w:tabs>
          <w:tab w:leader="none" w:pos="1240" w:val="left"/>
        </w:tabs>
        <w:numPr>
          <w:ilvl w:val="1"/>
          <w:numId w:val="711"/>
        </w:numPr>
        <w:rPr>
          <w:rFonts w:ascii="Arial" w:cs="Arial" w:eastAsia="Arial" w:hAnsi="Arial"/>
          <w:sz w:val="16"/>
          <w:szCs w:val="16"/>
          <w:color w:val="auto"/>
        </w:rPr>
      </w:pPr>
      <w:r>
        <w:rPr>
          <w:rFonts w:ascii="Arial" w:cs="Arial" w:eastAsia="Arial" w:hAnsi="Arial"/>
          <w:sz w:val="16"/>
          <w:szCs w:val="16"/>
          <w:color w:val="auto"/>
        </w:rPr>
        <w:t>Except as set forth in Schedule 4.11(c), there exist no restrictions on the disclosure, use, license or transfer of the Assigned Intellectual Property. The consummation of the transactions contemplated by this Agreement will not (i) alter, encumber, impair or extinguish any Assigned Intellectual Property or Aeglea’s or its applicable Subsidiary’s rights under any Intellectual Property licensed to Aeglea or its Subsidiaries pursuant to an Assigned Contract (“</w:t>
      </w:r>
      <w:r>
        <w:rPr>
          <w:rFonts w:ascii="Arial" w:cs="Arial" w:eastAsia="Arial" w:hAnsi="Arial"/>
          <w:sz w:val="16"/>
          <w:szCs w:val="16"/>
          <w:u w:val="single" w:color="auto"/>
          <w:color w:val="auto"/>
        </w:rPr>
        <w:t>Licensed Intellectual Property</w:t>
      </w:r>
      <w:r>
        <w:rPr>
          <w:rFonts w:ascii="Arial" w:cs="Arial" w:eastAsia="Arial" w:hAnsi="Arial"/>
          <w:sz w:val="16"/>
          <w:szCs w:val="16"/>
          <w:color w:val="auto"/>
        </w:rPr>
        <w:t>”); or (ii) impair the right of Immedica or any of its Affiliates to develop, use, sell, license or otherwise dispose of, or to bring any action for the infringement, misappropriation or other violation of, any Assigned Intellectual Property.</w:t>
      </w:r>
    </w:p>
    <w:p>
      <w:pPr>
        <w:spacing w:after="0" w:line="161" w:lineRule="exact"/>
        <w:rPr>
          <w:rFonts w:ascii="Arial" w:cs="Arial" w:eastAsia="Arial" w:hAnsi="Arial"/>
          <w:sz w:val="16"/>
          <w:szCs w:val="16"/>
          <w:color w:val="auto"/>
        </w:rPr>
      </w:pPr>
    </w:p>
    <w:p>
      <w:pPr>
        <w:jc w:val="both"/>
        <w:ind w:left="4" w:right="200" w:firstLine="987"/>
        <w:spacing w:after="0" w:line="286" w:lineRule="auto"/>
        <w:tabs>
          <w:tab w:leader="none" w:pos="1250" w:val="left"/>
        </w:tabs>
        <w:numPr>
          <w:ilvl w:val="1"/>
          <w:numId w:val="711"/>
        </w:numPr>
        <w:rPr>
          <w:rFonts w:ascii="Arial" w:cs="Arial" w:eastAsia="Arial" w:hAnsi="Arial"/>
          <w:sz w:val="17"/>
          <w:szCs w:val="17"/>
          <w:color w:val="auto"/>
        </w:rPr>
      </w:pPr>
      <w:r>
        <w:rPr>
          <w:rFonts w:ascii="Arial" w:cs="Arial" w:eastAsia="Arial" w:hAnsi="Arial"/>
          <w:sz w:val="17"/>
          <w:szCs w:val="17"/>
          <w:color w:val="auto"/>
        </w:rPr>
        <w:t>The Assigned Intellectual Property (including the Specified Patents and CPRIT Technology), Licensed Intellectual Property and the ADA Assays constitute all of the Intellectual Property (i) used or held for use by Aeglea and its Subsidiaries in, or (ii) owned or licensed by Aeglea or its Subsidiaries and otherwise necessary for, the conduct of the Program and the Exploitation of the Product.</w:t>
      </w:r>
    </w:p>
    <w:p>
      <w:pPr>
        <w:spacing w:after="0" w:line="165" w:lineRule="exact"/>
        <w:rPr>
          <w:sz w:val="20"/>
          <w:szCs w:val="20"/>
          <w:color w:val="auto"/>
        </w:rPr>
      </w:pPr>
    </w:p>
    <w:p>
      <w:pPr>
        <w:ind w:left="4" w:right="20" w:firstLine="991"/>
        <w:spacing w:after="0" w:line="269" w:lineRule="auto"/>
        <w:rPr>
          <w:sz w:val="20"/>
          <w:szCs w:val="20"/>
          <w:color w:val="auto"/>
        </w:rPr>
      </w:pPr>
      <w:r>
        <w:rPr>
          <w:rFonts w:ascii="Arial" w:cs="Arial" w:eastAsia="Arial" w:hAnsi="Arial"/>
          <w:sz w:val="17"/>
          <w:szCs w:val="17"/>
          <w:color w:val="auto"/>
        </w:rPr>
        <w:t>(e)(i) None of the Assigned Intellectual Property has ever been found invalid or unenforceable, in whole or in part, for any reason in any administrative, arbitration, judicial or other Legal Proceeding (other than in proceedings before a patent office in connection with the prosecution of any Assigned Patent) or been the subject of a final and nonappealable finding of unpatentability, (ii) Aeglea has not received any written notice from any other Person that any issued Assigned Patent is not valid and enforceable, (iii) all Assigned Intellectual Property is, to Aeglea’s Knowledge, valid, enforceable, in full force and effect and subsisting, (iv) all registration, maintenance and renewal fees applicable to the Registered IP that are currently due have been paid and all documents and certificates related to such items that are currently required to be filed have been filed with the relevant Governmental Authority or other authorities in the applicable jurisdictions for the purposes of maintaining such items, (v) effective written assignments constituting an unbroken, complete chain-of-title from each original owner or inventor to Aeglea or its applicable Subsidiary have been obtained with respect to all the Registered IP and have been duly recorded with the appropriate Governmental Authorities and (vi) to the Aeglea’s Knowledge, there is no relevant prior art revealed, disclosed or discovered after the issuance of any Assigned Patent that was not cited during the prosecution of such Assigned Patent.</w:t>
      </w:r>
    </w:p>
    <w:p>
      <w:pPr>
        <w:spacing w:after="0" w:line="182" w:lineRule="exact"/>
        <w:rPr>
          <w:sz w:val="20"/>
          <w:szCs w:val="20"/>
          <w:color w:val="auto"/>
        </w:rPr>
      </w:pPr>
    </w:p>
    <w:p>
      <w:pPr>
        <w:ind w:left="4" w:right="140" w:firstLine="987"/>
        <w:spacing w:after="0" w:line="275" w:lineRule="auto"/>
        <w:tabs>
          <w:tab w:leader="none" w:pos="1220" w:val="left"/>
        </w:tabs>
        <w:numPr>
          <w:ilvl w:val="0"/>
          <w:numId w:val="712"/>
        </w:numPr>
        <w:rPr>
          <w:rFonts w:ascii="Arial" w:cs="Arial" w:eastAsia="Arial" w:hAnsi="Arial"/>
          <w:sz w:val="17"/>
          <w:szCs w:val="17"/>
          <w:color w:val="auto"/>
        </w:rPr>
      </w:pPr>
      <w:r>
        <w:rPr>
          <w:rFonts w:ascii="Arial" w:cs="Arial" w:eastAsia="Arial" w:hAnsi="Arial"/>
          <w:sz w:val="17"/>
          <w:szCs w:val="17"/>
          <w:color w:val="auto"/>
        </w:rPr>
        <w:t>There is no Legal Proceeding pending against, or, to Aeglea’s Knowledge, threatened against, Aeglea or any of its Subsidiaries or any of their respective present or, to Aeglea’s Knowledge, former, officers, directors or employees (i) based upon, or challenging or seeking to deny or restrict, the rights of Aeglea or any of its Subsidiaries in any of the Assigned Intellectual Property or, to Aeglea’s Knowledge, Licensed Intellectual Property or (ii) alleging that any Assigned Intellectual Property or, to Aeglea’s Knowledge, Licensed Intellectual Property is invalid or unenforceable (including in any reexamination, reissue, opposition proceeding, or any similar proceeding).</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714" w:name="page715"/>
    <w:bookmarkEnd w:id="714"/>
    <w:p>
      <w:pPr>
        <w:ind w:left="-20" w:right="60" w:firstLine="987"/>
        <w:spacing w:after="0" w:line="273" w:lineRule="auto"/>
        <w:tabs>
          <w:tab w:leader="none" w:pos="1226" w:val="left"/>
        </w:tabs>
        <w:numPr>
          <w:ilvl w:val="0"/>
          <w:numId w:val="7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Exploitation of the Product and the conduct of the Program has not infringed upon (including inducing or contributing to the infringement of), misappropriated or otherwise violated, and, to Aeglea’s Knowledge, will not infringe upon (including inducing or contributing to the infringement of), misappropriate or otherwise violate, any Intellectual Property rights of any Third Party. There is no Legal Proceeding pending against, or, to Aeglea’s Knowledge, threatened against, Aeglea or any of its Subsidiaries or any of their respective present or, to Aeglea’s Knowledge, former, officers, directors or employees alleging that the use of any of the Assigned Intellectual Property or Licensed Intellectual Property or the conduct of the Program conflicts with, misappropriates, infringes or otherwise violates any Intellectual Property of any Person.</w:t>
      </w:r>
    </w:p>
    <w:p>
      <w:pPr>
        <w:spacing w:after="0" w:line="177" w:lineRule="exact"/>
        <w:rPr>
          <w:rFonts w:ascii="Arial" w:cs="Arial" w:eastAsia="Arial" w:hAnsi="Arial"/>
          <w:sz w:val="17"/>
          <w:szCs w:val="17"/>
          <w:color w:val="auto"/>
        </w:rPr>
      </w:pPr>
    </w:p>
    <w:p>
      <w:pPr>
        <w:ind w:left="-20" w:right="220" w:firstLine="987"/>
        <w:spacing w:after="0" w:line="279" w:lineRule="auto"/>
        <w:tabs>
          <w:tab w:leader="none" w:pos="1226" w:val="left"/>
        </w:tabs>
        <w:numPr>
          <w:ilvl w:val="0"/>
          <w:numId w:val="713"/>
        </w:numPr>
        <w:rPr>
          <w:rFonts w:ascii="Arial" w:cs="Arial" w:eastAsia="Arial" w:hAnsi="Arial"/>
          <w:sz w:val="17"/>
          <w:szCs w:val="17"/>
          <w:color w:val="auto"/>
        </w:rPr>
      </w:pPr>
      <w:r>
        <w:rPr>
          <w:rFonts w:ascii="Arial" w:cs="Arial" w:eastAsia="Arial" w:hAnsi="Arial"/>
          <w:sz w:val="17"/>
          <w:szCs w:val="17"/>
          <w:color w:val="auto"/>
        </w:rPr>
        <w:t>None of Aeglea nor its respective agents and advisors, has (i) put a Third Party on notice of actual or potential infringement, misappropriation or other violation of any of the Assigned Intellectual Property or (ii) initiated any enforcement action with respect to any of the Assigned Intellectual Property, and, to Aeglea’s Knowledge, no Person has infringed, misappropriated or otherwise violated any Assigned Intellectual Property or Aeglea’s or its applicable Subsidiary’s rights under any Licensed Intellectual Property.</w:t>
      </w:r>
    </w:p>
    <w:p>
      <w:pPr>
        <w:spacing w:after="0" w:line="171" w:lineRule="exact"/>
        <w:rPr>
          <w:rFonts w:ascii="Arial" w:cs="Arial" w:eastAsia="Arial" w:hAnsi="Arial"/>
          <w:sz w:val="17"/>
          <w:szCs w:val="17"/>
          <w:color w:val="auto"/>
        </w:rPr>
      </w:pPr>
    </w:p>
    <w:p>
      <w:pPr>
        <w:ind w:left="-20" w:right="100" w:firstLine="987"/>
        <w:spacing w:after="0" w:line="311" w:lineRule="auto"/>
        <w:tabs>
          <w:tab w:leader="none" w:pos="1186" w:val="left"/>
        </w:tabs>
        <w:numPr>
          <w:ilvl w:val="0"/>
          <w:numId w:val="713"/>
        </w:numPr>
        <w:rPr>
          <w:rFonts w:ascii="Arial" w:cs="Arial" w:eastAsia="Arial" w:hAnsi="Arial"/>
          <w:sz w:val="16"/>
          <w:szCs w:val="16"/>
          <w:color w:val="auto"/>
        </w:rPr>
      </w:pPr>
      <w:r>
        <w:rPr>
          <w:rFonts w:ascii="Arial" w:cs="Arial" w:eastAsia="Arial" w:hAnsi="Arial"/>
          <w:sz w:val="16"/>
          <w:szCs w:val="16"/>
          <w:color w:val="auto"/>
        </w:rPr>
        <w:t>Aeglea has taken reasonable steps in accordance with normal industry practice to maintain the confidentiality of all Assigned Intellectual Property and Licensed Intellectual Property, the value of which to Aeglea is contingent upon maintaining the confidentiality thereof, and no such Intellectual Property has been disclosed other than pursuant to written confidentiality agreements or enforceable confidentiality obligations.</w:t>
      </w:r>
    </w:p>
    <w:p>
      <w:pPr>
        <w:spacing w:after="0" w:line="148" w:lineRule="exact"/>
        <w:rPr>
          <w:rFonts w:ascii="Arial" w:cs="Arial" w:eastAsia="Arial" w:hAnsi="Arial"/>
          <w:sz w:val="16"/>
          <w:szCs w:val="16"/>
          <w:color w:val="auto"/>
        </w:rPr>
      </w:pPr>
    </w:p>
    <w:p>
      <w:pPr>
        <w:ind w:left="-20" w:right="20" w:firstLine="987"/>
        <w:spacing w:after="0" w:line="272" w:lineRule="auto"/>
        <w:tabs>
          <w:tab w:leader="none" w:pos="1186" w:val="left"/>
        </w:tabs>
        <w:numPr>
          <w:ilvl w:val="0"/>
          <w:numId w:val="713"/>
        </w:numPr>
        <w:rPr>
          <w:rFonts w:ascii="Arial" w:cs="Arial" w:eastAsia="Arial" w:hAnsi="Arial"/>
          <w:sz w:val="17"/>
          <w:szCs w:val="17"/>
          <w:color w:val="auto"/>
        </w:rPr>
      </w:pPr>
      <w:r>
        <w:rPr>
          <w:rFonts w:ascii="Arial" w:cs="Arial" w:eastAsia="Arial" w:hAnsi="Arial"/>
          <w:sz w:val="17"/>
          <w:szCs w:val="17"/>
          <w:color w:val="auto"/>
        </w:rPr>
        <w:t>Aeglea and its Subsidiaries have appropriate procedures in place designed to provide that all Intellectual Property related to the Product or Program and conceived or developed by employees performing their duties for Aeglea and its Subsidiaries, and by Third Parties performing research and development for Aeglea or its Subsidiaries, has been assigned to Aeglea or its Subsidiaries, as applicable, and to the extent that any such Intellectual Property has been developed or created by any Third Party (including any current or former employee), Aeglea or one of its Subsidiaries has a written agreement with such Third Party with respect thereto, which provides that Aeglea or its applicable Subsidiary either (i) has obtained ownership of and is the sole and exclusive owner of or (ii) has obtained a valid and unrestricted right to exploit, sufficient for the conduct of its business, as currently conducted or proposed to be conducted, such Intellectual Property.</w:t>
      </w:r>
    </w:p>
    <w:p>
      <w:pPr>
        <w:spacing w:after="0" w:line="177" w:lineRule="exact"/>
        <w:rPr>
          <w:rFonts w:ascii="Arial" w:cs="Arial" w:eastAsia="Arial" w:hAnsi="Arial"/>
          <w:sz w:val="17"/>
          <w:szCs w:val="17"/>
          <w:color w:val="auto"/>
        </w:rPr>
      </w:pPr>
    </w:p>
    <w:p>
      <w:pPr>
        <w:ind w:left="-20" w:firstLine="987"/>
        <w:spacing w:after="0" w:line="254" w:lineRule="auto"/>
        <w:tabs>
          <w:tab w:leader="none" w:pos="1226" w:val="left"/>
        </w:tabs>
        <w:numPr>
          <w:ilvl w:val="0"/>
          <w:numId w:val="713"/>
        </w:numPr>
        <w:rPr>
          <w:rFonts w:ascii="Arial" w:cs="Arial" w:eastAsia="Arial" w:hAnsi="Arial"/>
          <w:sz w:val="18"/>
          <w:szCs w:val="18"/>
          <w:color w:val="auto"/>
        </w:rPr>
      </w:pPr>
      <w:r>
        <w:rPr>
          <w:rFonts w:ascii="Arial" w:cs="Arial" w:eastAsia="Arial" w:hAnsi="Arial"/>
          <w:sz w:val="18"/>
          <w:szCs w:val="18"/>
          <w:color w:val="auto"/>
        </w:rPr>
        <w:t>Schedule 4.11(k) contains a true and complete list of any and all Assigned Intellectual Property that was created, developed or reduced to practice, or is being created, developed or reduced to practice, (i) pursuant to, or in connection with, any contract with any Governmental Authority or Governmental Authority-affiliated entity, or university, college or other educational institution, or (ii) using any funding or facilities of any Governmental Authority or Governmental Authority-affiliated entity, or university, college or other educational institution (collectively, “</w:t>
      </w:r>
      <w:r>
        <w:rPr>
          <w:rFonts w:ascii="Arial" w:cs="Arial" w:eastAsia="Arial" w:hAnsi="Arial"/>
          <w:sz w:val="18"/>
          <w:szCs w:val="18"/>
          <w:u w:val="single" w:color="auto"/>
          <w:color w:val="auto"/>
        </w:rPr>
        <w:t>Government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Funded IP</w:t>
      </w:r>
      <w:r>
        <w:rPr>
          <w:rFonts w:ascii="Arial" w:cs="Arial" w:eastAsia="Arial" w:hAnsi="Arial"/>
          <w:sz w:val="18"/>
          <w:szCs w:val="18"/>
          <w:color w:val="auto"/>
        </w:rPr>
        <w:t>”). Except as set forth in Schedule 4.11(k), Aeglea and its Subsidiaries have taken any and all actions necessary to obtain, secure, maintain, enforce and protect Aeglea’s or its applicable Subsidiary’s right, title and interest in, to and under all Government Funded IP, and Aeglea and its Subsidiaries have complied with any and all Intellectual Property disclosure and/or licensing obligations under any applicable contract referenced in clause (i) above.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715" w:name="page716"/>
    <w:bookmarkEnd w:id="715"/>
    <w:p>
      <w:pPr>
        <w:ind w:left="4" w:right="260" w:firstLine="987"/>
        <w:spacing w:after="0" w:line="285" w:lineRule="auto"/>
        <w:tabs>
          <w:tab w:leader="none" w:pos="1210" w:val="left"/>
        </w:tabs>
        <w:numPr>
          <w:ilvl w:val="1"/>
          <w:numId w:val="7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conduct of the Program, Aeglea and each of its Subsidiaries have complied in all material respects with (i) all applicable Laws, rules and regulations pertaining to data privacy, data security, security breach notification and the collection, storage and use of personally identifiable information and user information gathered or accessed in the course of the conduct of the Program, (ii) all rules, policies and procedures established by any of Aeglea or its Subsidiaries with respect to the foregoing and (iii) all restrictions and requirements with respect to the foregoing contained in any contractual obligations to which Aeglea or any of its Subsidiaries is bound. To Aeglea’s Knowledge, there has been no</w:t>
      </w:r>
    </w:p>
    <w:p>
      <w:pPr>
        <w:spacing w:after="0" w:line="1" w:lineRule="exact"/>
        <w:rPr>
          <w:rFonts w:ascii="Arial" w:cs="Arial" w:eastAsia="Arial" w:hAnsi="Arial"/>
          <w:sz w:val="16"/>
          <w:szCs w:val="16"/>
          <w:color w:val="auto"/>
        </w:rPr>
      </w:pPr>
    </w:p>
    <w:p>
      <w:pPr>
        <w:ind w:left="4" w:right="40" w:hanging="4"/>
        <w:spacing w:after="0" w:line="252" w:lineRule="auto"/>
        <w:tabs>
          <w:tab w:leader="none" w:pos="299" w:val="left"/>
        </w:tabs>
        <w:numPr>
          <w:ilvl w:val="0"/>
          <w:numId w:val="715"/>
        </w:numPr>
        <w:rPr>
          <w:rFonts w:ascii="Arial" w:cs="Arial" w:eastAsia="Arial" w:hAnsi="Arial"/>
          <w:sz w:val="18"/>
          <w:szCs w:val="18"/>
          <w:color w:val="auto"/>
        </w:rPr>
      </w:pPr>
      <w:r>
        <w:rPr>
          <w:rFonts w:ascii="Arial" w:cs="Arial" w:eastAsia="Arial" w:hAnsi="Arial"/>
          <w:sz w:val="18"/>
          <w:szCs w:val="18"/>
          <w:color w:val="auto"/>
        </w:rPr>
        <w:t>losses or thefts of, or security breaches relating to, personally identifiable information in the possession, custody or control of Aeglea or any of its Subsidiaries and held in connection with the conduct of the Program; (B) unauthorized access or unauthorized use of any such personally identifiable information; or (C) improper disclosure of any such personally identifiable information by Aeglea or any of its Subsidiaries or any Person acting on their behalf. No Legal Proceedings are pending or, to Aeglea’s Knowledge, threatened against Aeglea or any of its Subsidiaries by any Person alleging a violation of any Person’s privacy, personal or confidentiality rights under any such applicable Laws, contractual obligations, or the rules, policies or procedures established by any of Aeglea or its Subsidiaries relating to privacy, data protection and the collection and use of personal information gathered or accessed in the conduct of the Program.</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4" w:right="240" w:firstLine="987"/>
        <w:spacing w:after="0" w:line="277" w:lineRule="auto"/>
        <w:tabs>
          <w:tab w:leader="none" w:pos="124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Aeglea has filed all material Tax Returns and paid all material Taxes (whether or not shown on any Tax Return), the failure of which could result in a Lien on any Acquired Asset.</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There are no Liens on any Acquired Asset that arose in connection with any failure or alleged failure to pay any Tax.</w:t>
      </w:r>
    </w:p>
    <w:p>
      <w:pPr>
        <w:spacing w:after="0" w:line="225" w:lineRule="exact"/>
        <w:rPr>
          <w:rFonts w:ascii="Arial" w:cs="Arial" w:eastAsia="Arial" w:hAnsi="Arial"/>
          <w:sz w:val="18"/>
          <w:szCs w:val="18"/>
          <w:color w:val="auto"/>
        </w:rPr>
      </w:pPr>
    </w:p>
    <w:p>
      <w:pPr>
        <w:ind w:left="4" w:firstLine="987"/>
        <w:spacing w:after="0" w:line="277" w:lineRule="auto"/>
        <w:tabs>
          <w:tab w:leader="none" w:pos="124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No Taxing Authority has proposed or is threatening in writing to propose any adjustment to any item with respect to material Taxes, the nonpayment of which could result in a Lien on any Acquired Asset.</w:t>
      </w:r>
    </w:p>
    <w:p>
      <w:pPr>
        <w:spacing w:after="0" w:line="170" w:lineRule="exact"/>
        <w:rPr>
          <w:rFonts w:ascii="Arial" w:cs="Arial" w:eastAsia="Arial" w:hAnsi="Arial"/>
          <w:sz w:val="18"/>
          <w:szCs w:val="18"/>
          <w:color w:val="auto"/>
        </w:rPr>
      </w:pPr>
    </w:p>
    <w:p>
      <w:pPr>
        <w:ind w:left="4" w:right="200" w:firstLine="987"/>
        <w:spacing w:after="0" w:line="277" w:lineRule="auto"/>
        <w:tabs>
          <w:tab w:leader="none" w:pos="125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There is no Legal Proceeding now pending or, to Aeglea’s Knowledge, threatened against or with respect to Aeglea in respect of any material Tax, the nonpayment of which could result in a Lien on any Acquired Asset.</w:t>
      </w:r>
    </w:p>
    <w:p>
      <w:pPr>
        <w:spacing w:after="0" w:line="170" w:lineRule="exact"/>
        <w:rPr>
          <w:rFonts w:ascii="Arial" w:cs="Arial" w:eastAsia="Arial" w:hAnsi="Arial"/>
          <w:sz w:val="18"/>
          <w:szCs w:val="18"/>
          <w:color w:val="auto"/>
        </w:rPr>
      </w:pPr>
    </w:p>
    <w:p>
      <w:pPr>
        <w:ind w:left="4" w:right="80" w:firstLine="987"/>
        <w:spacing w:after="0" w:line="277" w:lineRule="auto"/>
        <w:tabs>
          <w:tab w:leader="none" w:pos="124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None of the Acquired Assets being transferred to Immedica hereunder is a “United States real property interest” within the meaning of Section 897(c) of the Code.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716" w:name="page717"/>
    <w:bookmarkEnd w:id="71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4.13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59" w:lineRule="auto"/>
        <w:tabs>
          <w:tab w:leader="none" w:pos="124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Neither Aeglea nor any of its Subsidiaries (nor any predecessor of the foregoing or any prior owner of all or part of the business or assets of any of the foregoing) has had, at any time during the six (6) year period prior to the date of this Agreement, any direct or indirect Liability with respect to any plan subject to Title IV of the Employee Retirement Income Security Act of 1974, as amended, including any “multiemployer plan” as defined in Section 3(37) of such act.</w:t>
      </w:r>
    </w:p>
    <w:p>
      <w:pPr>
        <w:spacing w:after="0" w:line="186" w:lineRule="exact"/>
        <w:rPr>
          <w:rFonts w:ascii="Arial" w:cs="Arial" w:eastAsia="Arial" w:hAnsi="Arial"/>
          <w:sz w:val="18"/>
          <w:szCs w:val="18"/>
          <w:color w:val="auto"/>
        </w:rPr>
      </w:pPr>
    </w:p>
    <w:p>
      <w:pPr>
        <w:ind w:left="4" w:right="420" w:firstLine="987"/>
        <w:spacing w:after="0" w:line="263" w:lineRule="auto"/>
        <w:tabs>
          <w:tab w:leader="none" w:pos="1250" w:val="left"/>
        </w:tabs>
        <w:numPr>
          <w:ilvl w:val="0"/>
          <w:numId w:val="717"/>
        </w:numPr>
        <w:rPr>
          <w:rFonts w:ascii="Arial" w:cs="Arial" w:eastAsia="Arial" w:hAnsi="Arial"/>
          <w:sz w:val="18"/>
          <w:szCs w:val="18"/>
          <w:color w:val="auto"/>
        </w:rPr>
      </w:pPr>
      <w:r>
        <w:rPr>
          <w:rFonts w:ascii="Arial" w:cs="Arial" w:eastAsia="Arial" w:hAnsi="Arial"/>
          <w:sz w:val="18"/>
          <w:szCs w:val="18"/>
          <w:color w:val="auto"/>
        </w:rPr>
        <w:t>Aeglea and its Subsidiaries are and have been in compliance with all applicable Laws relating to the Worker Adjustment and Retraining Notification Act and any comparable foreign, state or local Law, except for any failures to comply that would not result in any direct or indirect Liability to Immedica or any of its Affiliates.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 Except as to matters that would not reasonably be expected to be material to the Program,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Acquired Assets or the Product:</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6"/>
          <w:szCs w:val="16"/>
          <w:color w:val="auto"/>
        </w:rPr>
        <w:t>(a)(i) no written notice, Order, request for information, complaint or penalty has been received by Aeglea or any of its Subsidiaries, and</w:t>
      </w:r>
    </w:p>
    <w:p>
      <w:pPr>
        <w:spacing w:after="0" w:line="46" w:lineRule="exact"/>
        <w:rPr>
          <w:sz w:val="20"/>
          <w:szCs w:val="20"/>
          <w:color w:val="auto"/>
        </w:rPr>
      </w:pPr>
    </w:p>
    <w:p>
      <w:pPr>
        <w:ind w:left="4" w:right="360" w:hanging="4"/>
        <w:spacing w:after="0" w:line="260" w:lineRule="auto"/>
        <w:tabs>
          <w:tab w:leader="none" w:pos="269"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there are no Legal Proceedings pending or threatened, in the case of each of (i) and (ii), which allege a violation of any Environmental Law and relate to the Acquired Assets;</w:t>
      </w:r>
    </w:p>
    <w:p>
      <w:pPr>
        <w:spacing w:after="0" w:line="185" w:lineRule="exact"/>
        <w:rPr>
          <w:rFonts w:ascii="Arial" w:cs="Arial" w:eastAsia="Arial" w:hAnsi="Arial"/>
          <w:sz w:val="18"/>
          <w:szCs w:val="18"/>
          <w:color w:val="auto"/>
        </w:rPr>
      </w:pPr>
    </w:p>
    <w:p>
      <w:pPr>
        <w:ind w:left="4" w:right="120" w:firstLine="987"/>
        <w:spacing w:after="0" w:line="286" w:lineRule="auto"/>
        <w:tabs>
          <w:tab w:leader="none" w:pos="1250" w:val="left"/>
        </w:tabs>
        <w:numPr>
          <w:ilvl w:val="1"/>
          <w:numId w:val="718"/>
        </w:numPr>
        <w:rPr>
          <w:rFonts w:ascii="Arial" w:cs="Arial" w:eastAsia="Arial" w:hAnsi="Arial"/>
          <w:sz w:val="17"/>
          <w:szCs w:val="17"/>
          <w:color w:val="auto"/>
        </w:rPr>
      </w:pPr>
      <w:r>
        <w:rPr>
          <w:rFonts w:ascii="Arial" w:cs="Arial" w:eastAsia="Arial" w:hAnsi="Arial"/>
          <w:sz w:val="17"/>
          <w:szCs w:val="17"/>
          <w:color w:val="auto"/>
        </w:rPr>
        <w:t>Aeglea has obtained or caused to be obtained all environmental permits necessary for the current operation and use of the Acquired Assets to comply with all applicable Environmental Laws and Aeglea and each of its Subsidiaries is in compliance with the terms of such permits and, with respect to the current operation and use of the Acquired Assets, with all other applicable Environmental Laws; and</w:t>
      </w:r>
    </w:p>
    <w:p>
      <w:pPr>
        <w:spacing w:after="0" w:line="165" w:lineRule="exact"/>
        <w:rPr>
          <w:rFonts w:ascii="Arial" w:cs="Arial" w:eastAsia="Arial" w:hAnsi="Arial"/>
          <w:sz w:val="17"/>
          <w:szCs w:val="17"/>
          <w:color w:val="auto"/>
        </w:rPr>
      </w:pPr>
    </w:p>
    <w:p>
      <w:pPr>
        <w:ind w:left="1244" w:hanging="253"/>
        <w:spacing w:after="0"/>
        <w:tabs>
          <w:tab w:leader="none" w:pos="1244" w:val="left"/>
        </w:tabs>
        <w:numPr>
          <w:ilvl w:val="1"/>
          <w:numId w:val="718"/>
        </w:numPr>
        <w:rPr>
          <w:rFonts w:ascii="Arial" w:cs="Arial" w:eastAsia="Arial" w:hAnsi="Arial"/>
          <w:sz w:val="16"/>
          <w:szCs w:val="16"/>
          <w:color w:val="auto"/>
        </w:rPr>
      </w:pPr>
      <w:r>
        <w:rPr>
          <w:rFonts w:ascii="Arial" w:cs="Arial" w:eastAsia="Arial" w:hAnsi="Arial"/>
          <w:sz w:val="16"/>
          <w:szCs w:val="16"/>
          <w:color w:val="auto"/>
        </w:rPr>
        <w:t>there is no written environmental audit that has been conducted within the past five years by Aeglea or any of its Subsidiaries of 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Acquired Asset.</w:t>
      </w:r>
    </w:p>
    <w:p>
      <w:pPr>
        <w:spacing w:after="0" w:line="211"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Finders Fees</w:t>
      </w:r>
      <w:r>
        <w:rPr>
          <w:rFonts w:ascii="Arial" w:cs="Arial" w:eastAsia="Arial" w:hAnsi="Arial"/>
          <w:sz w:val="18"/>
          <w:szCs w:val="18"/>
          <w:color w:val="auto"/>
        </w:rPr>
        <w:t>. There is no investment banker, broker, finder or other intermediary which has been retained by or is authorized to act on behalf of Aeglea or any of its Affiliates who might be entitled to any fee or commission in connection with the transactions contemplated by this Agreement.</w:t>
      </w:r>
    </w:p>
    <w:p>
      <w:pPr>
        <w:spacing w:after="0" w:line="180" w:lineRule="exact"/>
        <w:rPr>
          <w:sz w:val="20"/>
          <w:szCs w:val="20"/>
          <w:color w:val="auto"/>
        </w:rPr>
      </w:pPr>
    </w:p>
    <w:p>
      <w:pPr>
        <w:ind w:left="4" w:right="60" w:firstLine="991"/>
        <w:spacing w:after="0" w:line="292"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w:t>
      </w:r>
      <w:r>
        <w:rPr>
          <w:rFonts w:ascii="Arial" w:cs="Arial" w:eastAsia="Arial" w:hAnsi="Arial"/>
          <w:sz w:val="16"/>
          <w:szCs w:val="16"/>
          <w:b w:val="1"/>
          <w:bCs w:val="1"/>
          <w:color w:val="auto"/>
        </w:rPr>
        <w:t>Except for the representations and warranties contained in this Article IV and</w:t>
      </w:r>
      <w:r>
        <w:rPr>
          <w:rFonts w:ascii="Arial" w:cs="Arial" w:eastAsia="Arial" w:hAnsi="Arial"/>
          <w:sz w:val="16"/>
          <w:szCs w:val="16"/>
          <w:color w:val="auto"/>
        </w:rPr>
        <w:t xml:space="preserve"> </w:t>
      </w:r>
      <w:r>
        <w:rPr>
          <w:rFonts w:ascii="Arial" w:cs="Arial" w:eastAsia="Arial" w:hAnsi="Arial"/>
          <w:sz w:val="16"/>
          <w:szCs w:val="16"/>
          <w:b w:val="1"/>
          <w:bCs w:val="1"/>
          <w:color w:val="auto"/>
        </w:rPr>
        <w:t>the representations and warranties contained in any other Instrument, Immedica acknowledges that neither Aeglea nor any other Person on behalf of Aeglea has made, and Immedica has not relied upon, any representation or warranty, whether express or implied, with respect to the Program, Product, Acquired Assets, Aeglea or its Subsidiaries, or Aeglea’s or its Subsidiaries’ businesses, affairs, assets, Liabilities, financial condition, results of operations, future operating or financial results, estimates, projections, forecasts, plans or prospects (including the reasonableness of the assumptions underlying such estimates, projections, forecasts, plans or prospects) or with respect to the accuracy or completeness of any other information provided or made available to Immedica by or on behalf of Aeglea in connection with the Transaction.</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717" w:name="page718"/>
    <w:bookmarkEnd w:id="71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REPRESENTATIONS AND WARRANTIES OF IMMEDICA</w:t>
      </w:r>
    </w:p>
    <w:p>
      <w:pPr>
        <w:spacing w:after="0" w:line="229"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Immedica hereby represents and warrants to Aeglea as of the Closing Date as follows:</w:t>
      </w:r>
    </w:p>
    <w:p>
      <w:pPr>
        <w:spacing w:after="0" w:line="225"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Organization and Good Standing</w:t>
      </w:r>
      <w:r>
        <w:rPr>
          <w:rFonts w:ascii="Arial" w:cs="Arial" w:eastAsia="Arial" w:hAnsi="Arial"/>
          <w:sz w:val="16"/>
          <w:szCs w:val="16"/>
          <w:color w:val="auto"/>
        </w:rPr>
        <w:t>. Immedica is an entity duly organized, validly existing and, to the extent legally applicable, in good standing under the applicable Laws of the country of its organization and has all requisite corporate or other similar organizational powers required to carry on its business as now conducted. Immedica is duly qualified to do business as a foreign entity and, to the extent legally applicable, in good standing as a foreign entity in each jurisdiction where such qualification is necessary, except for those jurisdictions where the failure to be so qualified or in good standing would not, individually or in the aggregate, reasonably be expected to materially impede or materially delay the consummation by Immedica of the Transactions or the performance of its obligations under this Agreement or any Instrument to which it is a party.</w:t>
      </w:r>
    </w:p>
    <w:p>
      <w:pPr>
        <w:spacing w:after="0" w:line="164"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Authorization of Agreement</w:t>
      </w:r>
      <w:r>
        <w:rPr>
          <w:rFonts w:ascii="Arial" w:cs="Arial" w:eastAsia="Arial" w:hAnsi="Arial"/>
          <w:sz w:val="17"/>
          <w:szCs w:val="17"/>
          <w:color w:val="auto"/>
        </w:rPr>
        <w:t>. Immedica has all requisite power and authority to execute and deliver this Agreement and each Instrument to which it is a party, to perform its respective obligations hereunder and thereunder and to consummate the Transaction and the other transactions contemplated hereby and thereby. The execution, delivery and performance by Immedica of each of this Agreement and each other Instrument to which it is a party and the consummation of the Transaction and the other transactions contemplated hereby and thereby have been duly authorized and approved by all requisite corporate or similar action on the part of Immedica. Each of the Instruments to which Immedica is a party has been, or will be at or prior to the Closing, duly and validly executed and delivered by Immedica and (assuming the due authorization, execution and delivery by the other parties thereto) each of such Instruments, when so executed and delivered, will constitute the legal, valid and binding obligations of Immedica, enforceable against it in accordance with its terms, subject to the effect of any applicable Laws relating to bankruptcy, reorganization, insolvency, moratorium, fraudulent conveyance or preferential transfers, or similar Laws relating to or affecting creditors’ rights generally and subject, as to enforceability, to the effect of general principles of equity (regardless of whether such enforceability is considered in a proceeding in equity or at Law).</w:t>
      </w:r>
    </w:p>
    <w:p>
      <w:pPr>
        <w:spacing w:after="0" w:line="182"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Conflicts; Consents of Third Parties</w:t>
      </w:r>
      <w:r>
        <w:rPr>
          <w:rFonts w:ascii="Arial" w:cs="Arial" w:eastAsia="Arial" w:hAnsi="Arial"/>
          <w:sz w:val="16"/>
          <w:szCs w:val="16"/>
          <w:color w:val="auto"/>
        </w:rPr>
        <w:t>. None of the execution and delivery of this Agreement or the Instruments to which Immedica is a party by Immedica, or the consummation of the Transaction or the other transactions contemplated hereby and thereby, will conflict with, or result in any violation of, or constitute a breach of, or conflict with or constitute a default (with or without notice or lapse of time, or both) under any provision of, or require any consent or other action by any Person under, or give rise to any right of termination, cancellation or acceleration under:</w:t>
      </w:r>
    </w:p>
    <w:p>
      <w:pPr>
        <w:spacing w:after="0" w:line="1" w:lineRule="exact"/>
        <w:rPr>
          <w:sz w:val="20"/>
          <w:szCs w:val="20"/>
          <w:color w:val="auto"/>
        </w:rPr>
      </w:pPr>
    </w:p>
    <w:p>
      <w:pPr>
        <w:ind w:left="4" w:right="40" w:hanging="4"/>
        <w:spacing w:after="0" w:line="253" w:lineRule="auto"/>
        <w:tabs>
          <w:tab w:leader="none" w:pos="219" w:val="left"/>
        </w:tabs>
        <w:numPr>
          <w:ilvl w:val="0"/>
          <w:numId w:val="719"/>
        </w:numPr>
        <w:rPr>
          <w:rFonts w:ascii="Arial" w:cs="Arial" w:eastAsia="Arial" w:hAnsi="Arial"/>
          <w:sz w:val="18"/>
          <w:szCs w:val="18"/>
          <w:color w:val="auto"/>
        </w:rPr>
      </w:pPr>
      <w:r>
        <w:rPr>
          <w:rFonts w:ascii="Arial" w:cs="Arial" w:eastAsia="Arial" w:hAnsi="Arial"/>
          <w:sz w:val="18"/>
          <w:szCs w:val="18"/>
          <w:color w:val="auto"/>
        </w:rPr>
        <w:t>the certificate of incorporation and by-laws or comparable organizational documents of Immedica; (ii) any Order of any Governmental Authority applicable to Immedica; or (iii) any applicable Law, except, in the case of clauses (ii) and (iii) above, where such conflict, violation or default would not reasonably be expected to materially impede or materially delay the consummation by Immedica of the Transactions or the performance of its obligations under this Agreement or any Instrument to which it is a party.</w:t>
      </w:r>
    </w:p>
    <w:p>
      <w:pPr>
        <w:spacing w:after="0" w:line="200" w:lineRule="exact"/>
        <w:rPr>
          <w:sz w:val="20"/>
          <w:szCs w:val="20"/>
          <w:color w:val="auto"/>
        </w:rPr>
      </w:pPr>
    </w:p>
    <w:p>
      <w:pPr>
        <w:spacing w:after="0" w:line="205" w:lineRule="exact"/>
        <w:rPr>
          <w:sz w:val="20"/>
          <w:szCs w:val="20"/>
          <w:color w:val="auto"/>
        </w:rPr>
      </w:pPr>
    </w:p>
    <w:p>
      <w:pPr>
        <w:ind w:left="4984"/>
        <w:spacing w:after="0"/>
        <w:rPr>
          <w:sz w:val="20"/>
          <w:szCs w:val="20"/>
          <w:color w:val="auto"/>
        </w:rPr>
      </w:pPr>
      <w:r>
        <w:rPr>
          <w:rFonts w:ascii="Arial" w:cs="Arial" w:eastAsia="Arial" w:hAnsi="Arial"/>
          <w:sz w:val="18"/>
          <w:szCs w:val="18"/>
          <w:b w:val="1"/>
          <w:bCs w:val="1"/>
          <w:color w:val="auto"/>
        </w:rPr>
        <w:t>ARTICLE VI</w:t>
      </w:r>
    </w:p>
    <w:p>
      <w:pPr>
        <w:spacing w:after="0" w:line="12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4" w:right="160" w:firstLine="991"/>
        <w:spacing w:after="0" w:line="342"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Cooperation</w:t>
      </w:r>
      <w:r>
        <w:rPr>
          <w:rFonts w:ascii="Arial" w:cs="Arial" w:eastAsia="Arial" w:hAnsi="Arial"/>
          <w:sz w:val="16"/>
          <w:szCs w:val="16"/>
          <w:color w:val="auto"/>
        </w:rPr>
        <w:t>. Each of the Parties shall use commercially reasonable efforts to take, or cause to be taken, all actions and do, or cause to be done, all things necessary, proper or advisable to, in the most expeditious manner practicable, carry out the intent of this Agreement.</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0" w:right="459" w:bottom="1440" w:gutter="0" w:footer="0" w:header="0"/>
        </w:sectPr>
      </w:pPr>
    </w:p>
    <w:bookmarkStart w:id="718" w:name="page719"/>
    <w:bookmarkEnd w:id="718"/>
    <w:p>
      <w:pPr>
        <w:ind w:firstLine="99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For a period of ten (10) years from and after the Closing Date, each Party shall not, and shall cause its Affiliates and Representatives not to, directly or indirectly, disclose, reveal, divulge or communicate to any Person other than the other Party or any of their respective Affiliates or Representatives, or, subject to the provisos set forth herein, use or otherwise exploit for the benefit of any Person other than the other Party or any of their respective Affiliates or Representatives, any Confidential Information of the other Party without the prior written consent of such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Confidential Information that constitutes a trade secret under applicable Law, the obligations under this Section 6.2 shall remain in effect until such Confidential Information is no longer maintained as a trade secret under applicable Law. Neither Party shall have any obligation to keep confidential any Confidential Information if and to the extent disclosure thereof is specifically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disclosure is required by applicable Law, the disclosing Party shall, to the extent permissible under applicable Law, notify the other Party of such requirement prior to making any disclosure so that the other Party may seek an appropriate protective order.</w:t>
      </w:r>
    </w:p>
    <w:p>
      <w:pPr>
        <w:spacing w:after="0" w:line="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means all confidential and proprietary information of such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Confidential Information of a Party shall not include, and there shall be no obligation hereunder with respect to, information that (i) is generally available to the public on the date of this Agreement, (ii) becomes generally available to the public other than as a result of a disclosure by the receiving Party or any of its Affiliates or Representatives in breach of this Section 6.2, (iii) is or becomes available to the receiving Party or any of its respective Affiliates from a source that is not known, after reasonable inquiry, by such Person to be bound by an obligation of confidentiality (provided that the provisions of this clause (iii) shall only apply to Confidential Information relating to the Acquired Assets and Assumed Liabilities to the extent that such information first becomes available after the Closing) or (iv) is independently developed by the receiving Party or any of its respective Affiliates after Closing without the use of, or reference to, the disclosing Party’s Confidential Information. For clarity, from and after Closing, Confidential Information relating to the Acquired Assets and Assumed Liabilities shall be the Confidential Information of Immedica, and Confidential Information relating to the Excluded Assets and Excluded Liabilities shall remain the Confidential Information of Aeglea. Notwithstanding anything in the foregoing to the contrary, nothing shall prevent a Party from disclosing Confidential Information that is reasonably required to be disclosed in connection with the enforcement of this Agreement or any other Instrument.</w:t>
      </w:r>
    </w:p>
    <w:p>
      <w:pPr>
        <w:spacing w:after="0" w:line="184"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Neither Party nor their respective Affiliates shall issue any press release or public announcement concerning this Agreement or the Transaction or make any other public disclosure containing the terms of this Agreement without obtaining the prior written approval of the other Party (not to be unreasonably withheld, conditioned or delayed) unless, in the judgment of the disclosing Party, disclosure is otherwise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disclosure is required by applicable Law, the Parties shall, to the extent reasonably possible, provide the other Party with prompt notice of such requirements prior to making any disclosure and confer with the other Party concerning the timing and content of such required public statement before the same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Immedica may provide general information regarding this Agreement, the other Instruments and the transactions contemplated hereby and thereby to its existing or prospective investors on a confidential basis without consulting with or obtaining the consent of Aeglea. Notwithstanding the foregoing, the Parties agree that (a) Immedica may issue a press release regarding the Transaction in the form mutually agreed by the Parties prior to the date hereof, and (b) Aeglea may file a Form 8-K with the United States Securities and Exchange Commission regarding the Transaction, which 8-K may include a copy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Immedica shall be afforded a reasonable opportunity to review and comment on such 8-K prior to the filing thereof, which comments Aeglea shall consider in good faith.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719" w:name="page720"/>
    <w:bookmarkEnd w:id="71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Arial" w:cs="Arial" w:eastAsia="Arial" w:hAnsi="Arial"/>
          <w:sz w:val="18"/>
          <w:szCs w:val="18"/>
          <w:u w:val="single" w:color="auto"/>
          <w:color w:val="auto"/>
        </w:rPr>
        <w:t>Transfer of Acquired Assets; Transfer and Maintenance of Product Registrations; Cooperation</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(a)On or as promptly as practicable after the Closing, Aeglea shall and shall cause its Subsidiaries to (i) transfer or cause to be transferred (or implement arrangements for the transfer and delivery of physical possession of) all tangible assets included in the Acquired Assets that are in the possession of Aeglea or any of its Affiliates (including, if applicable, all Inventory, Biological Materials and Transferred Documents, whether electronic or otherwise) to Immedica or its designated Representatives, and (ii) notify all of its agents and any other third parties that hold files or other tangible assets included in the Acquired Assets that, effective as of the Closing, Immedica owns such Acquired Assets, with directions to transfer such Acquired Assets to Immedica in accordance with Immedica’s reasonable instructions;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Aeglea shall not, at Closing, be required to deliver to Immedica any information, data or files that is commingled with information, data or files pertaining to the Excluded Assets that is not reasonably practicable to identify and extract prior to Closing, in which case, as promptly as practicable following Closing, Aeglea shall deliver to Immedica such information, data or files in accordance with this Section 6.4(a), and until such delivery, Aeglea shall provide Immedica and its Affiliates reasonable access to such materials.</w:t>
      </w:r>
    </w:p>
    <w:p>
      <w:pPr>
        <w:spacing w:after="0" w:line="18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(b)On or as promptly as practicable after the Closing, Aeglea shall and shall cause its Subsidiaries to transfer to Immedica or its designated Representatives the Transferred Product Registrations.</w:t>
      </w:r>
    </w:p>
    <w:p>
      <w:pPr>
        <w:spacing w:after="0" w:line="17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(c)Without limiting Section 6.4(b), Aeglea shall (or shall cause one of its Subsidiaries to) provide to Immedica a copy of the most recent sequence submitted to the FDA with respect to the IND related to Product set forth on Schedule 6.4(c) (the “</w:t>
      </w:r>
      <w:r>
        <w:rPr>
          <w:rFonts w:ascii="Arial" w:cs="Arial" w:eastAsia="Arial" w:hAnsi="Arial"/>
          <w:sz w:val="17"/>
          <w:szCs w:val="17"/>
          <w:u w:val="single" w:color="auto"/>
          <w:color w:val="auto"/>
        </w:rPr>
        <w:t>Product IND</w:t>
      </w:r>
      <w:r>
        <w:rPr>
          <w:rFonts w:ascii="Arial" w:cs="Arial" w:eastAsia="Arial" w:hAnsi="Arial"/>
          <w:sz w:val="17"/>
          <w:szCs w:val="17"/>
          <w:color w:val="auto"/>
        </w:rPr>
        <w:t>”) as promptly as possible following the Closing, and in any event within five (5) days of the Closing. As soon as practicable following receipt by Immedica of such copy, on a date to be mutually agreed by Aeglea and Immedica that is no more than twenty (20) days following the Closing, (i) Aeglea shall (or shall cause one of its Subsidiaries to) file with the FDA a letter authorizing the transfer of ownership from Aeglea (or its applicable Subsidiary) to Immedica of such Product IND and (ii) Immedica shall (or shall cause one of its Subsidiaries to) execute and submit to the FDA a letter, accompanied by the transfer letter referred to in clause (i), acknowledging Immedica’s commitment to assume ownership of the Product IND and commitment to the obligations and agreements therein. The parties shall use commercially reasonable efforts to take such additional actions, and execute and deliver, and file with the FDA, such additional documents, as are reasonably necessary to effect the transfer and assignment to Immedica of the Product IND as contemplated by this Section 6.4(c).</w:t>
      </w:r>
    </w:p>
    <w:p>
      <w:pPr>
        <w:spacing w:after="0" w:line="185"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(d)With respect to the Product, from and after the Closing Date, until the later of (x) the date on which Immedica (or its applicable Affiliate) receives an assignment or transfer of the Transferred Product Registration for the Product or a replacement thereof naming Immedica (or its applicable Affiliate) as the Product Registration holder for the Product, and (y) such other date on which regulatory responsibilities are assumed by Immedica in accordance with applicable Law, Aeglea shall, with respect to the Product, operate in compliance with the terms of the relevant Transferred Product Registration, and with all applicable Law and all requirements of relevant Governmental Authorities. Until the completion of the transfer of the Transferred Product Registrations to Immedica: (i) Aeglea shall use commercially reasonable efforts to maintain the Transferred Product Registration and (ii) if and to the extent reasonably requested by Immedica, Aeglea shall use commercially reasonable efforts to pursue, in such manner as may be reasonably directed by Immedica, those ongoing variations, amendments and renewals which are pending at the Closing Date and shall not withdraw them.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20" w:name="page721"/>
    <w:bookmarkEnd w:id="720"/>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(e)Immedica shall, and shall cause its Subsidiaries to, cooperate with Aeglea to deliver to Aeglea any additional documentation and materials that may be reasonably requested by Aeglea to affect the transfer of the Transferred Product Registrations to Immedica. Each of Aeglea and Immedica shall bear 50% of the cost of all fees levied by the relevant Governmental Authority in connection with the transfer of the Transferred Product Registrations pursuant to this Section 6.4.</w:t>
      </w:r>
    </w:p>
    <w:p>
      <w:pPr>
        <w:spacing w:after="0" w:line="18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Batch Disposition. Prior to the later of (i) thirty (30) days after Closing and (ii) ten (10) days following the date on which</w:t>
      </w:r>
      <w:r>
        <w:rPr>
          <w:rFonts w:ascii="Arial" w:cs="Arial" w:eastAsia="Arial" w:hAnsi="Arial"/>
          <w:sz w:val="18"/>
          <w:szCs w:val="18"/>
          <w:color w:val="auto"/>
        </w:rPr>
        <w:t xml:space="preserve"> </w:t>
      </w:r>
      <w:r>
        <w:rPr>
          <w:rFonts w:ascii="Arial" w:cs="Arial" w:eastAsia="Arial" w:hAnsi="Arial"/>
          <w:sz w:val="18"/>
          <w:szCs w:val="18"/>
          <w:u w:val="single" w:color="auto"/>
          <w:color w:val="auto"/>
        </w:rPr>
        <w:t>Aeglea or its applicable Affiliate receives analysis results and batch documentation reasonably necessary to affect the following batch release, Aeglea shall, or shall cause one or more of its Subsidiaries to, perform batch disposition and release of 2 mg vials of batch number B23020012 of the Inventory produced by Aeglea or one or more of its Subsidiaries to Immedica for secondary packaging.</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Specified Patents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(a)Aeglea and Immedica agree to be bound by and comply with the terms and conditions set forth on Schedule 6.6 as though set forth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 herein.</w:t>
      </w:r>
    </w:p>
    <w:p>
      <w:pPr>
        <w:spacing w:after="0" w:line="211"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Misallocated Assets</w:t>
      </w:r>
      <w:r>
        <w:rPr>
          <w:rFonts w:ascii="Arial" w:cs="Arial" w:eastAsia="Arial" w:hAnsi="Arial"/>
          <w:sz w:val="16"/>
          <w:szCs w:val="16"/>
          <w:color w:val="auto"/>
        </w:rPr>
        <w:t>. If, following the Closing, any right, property or asset not forming part of the Acquired Assets is found to have been transferred to Immedica in error, either directly or indirectly, Immedica shall (a) transfer at no cost to Aeglea, such right, property or asset (and any related Liability) as soon as practicable to one or more of Aeglea and its Subsidiaries designated by Aeglea and (b) prior to such transfer, ensure that Immedica shall, where permitted by the terms on which it has the right to such asset, hold the asset (or part thereof), and any monies, goods or other benefits arising after the Closing by virtue of it, as agent of and trustee for Aeglea and its Subsidiaries and allow Aeglea and its Subsidiaries from and after the Closing to have full enjoyment and use of such asset and Aeglea and its Subsidiaries shall bear all burdens relating to such asset. If, following the Closing, any right, property or asset forming part of the Acquired Assets is found to have been retained by Aeglea in error, either directly or indirectly, Aeglea shall (i) transfer, at no cost to Immedica, such right, property or asset (and any related Liability) as soon as practicable to Immedica and (ii) prior to such transfer, ensure that Aeglea shall where permitted by the terms on which Aeglea or its applicable Affiliate has the right to such asset, hold the asset (or part thereof), and any monies, goods or other benefits arising after the Closing by virtue of it, as agent of and trustee for Immedica and allow Immedica from and after the Closing to have full enjoyment and use of such asset and Immedica shall bear all burdens relating to such asset. For the avoidance of doubt, the Parties understand and agree that (x) the Excluded Assets are not intended to, and shall not, be transferred to Immedica and Aeglea shall retain such rights, properties and assets, and (y) the Acquired Assets are intended to, and shall, be transferred to Immedica and Immedica shall acquire such rights, properties and assets.</w:t>
      </w:r>
    </w:p>
    <w:p>
      <w:pPr>
        <w:spacing w:after="0" w:line="17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Lien Releases</w:t>
      </w:r>
      <w:r>
        <w:rPr>
          <w:rFonts w:ascii="Arial" w:cs="Arial" w:eastAsia="Arial" w:hAnsi="Arial"/>
          <w:sz w:val="18"/>
          <w:szCs w:val="18"/>
          <w:color w:val="auto"/>
        </w:rPr>
        <w:t>. Aeglea shall provide, and shall cause its Subsidiaries to provide, all assistance reasonably requested by Immedica in connection with obtaining, effective at or as soon as possible following the Closing, appropriate termination statements under the Uniform Commercial Code (or equivalent documents pursuant to applicable Law), payoff letters and other instruments, in connection with the release of security interests or other Liens against or relating to any of the Acquired Assets.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721" w:name="page722"/>
    <w:bookmarkEnd w:id="72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6.9 </w:t>
      </w:r>
      <w:r>
        <w:rPr>
          <w:rFonts w:ascii="Arial" w:cs="Arial" w:eastAsia="Arial" w:hAnsi="Arial"/>
          <w:sz w:val="18"/>
          <w:szCs w:val="18"/>
          <w:u w:val="single" w:color="auto"/>
          <w:color w:val="auto"/>
        </w:rPr>
        <w:t>Certain Matters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(a)Aeglea and Immedica agree to be bound by and comply with the terms and conditions set forth on Schedule 6.9 as if set forth in full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Reimbursement</w:t>
      </w:r>
      <w:r>
        <w:rPr>
          <w:rFonts w:ascii="Arial" w:cs="Arial" w:eastAsia="Arial" w:hAnsi="Arial"/>
          <w:sz w:val="16"/>
          <w:szCs w:val="16"/>
          <w:color w:val="auto"/>
        </w:rPr>
        <w:t>. Following the Closing, promptly following the earlier of (a) receipt by Immedica of a positive opinion from the European Medicines Agency’s Committee for Medicinal Products for Human Use recommending the granting of a marketing authorization with respect to the Product and (b) the date of vial thaw by the applicable manufacturer to Immedica of the first drug substance batch of the Product initiated by Immedica pursuant to the Fuji Scope of Work, Immedica shall, within thirty (30) days thereof, pay an amount equal to the Fuji Credit to Aeglea in cash by wire transfer of immediately available funds in accordance with written instructions furnished to Immedica by Aeglea.</w:t>
      </w:r>
    </w:p>
    <w:p>
      <w:pPr>
        <w:spacing w:after="0" w:line="161"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Delivery of Post-Closing Correspondence</w:t>
      </w:r>
      <w:r>
        <w:rPr>
          <w:rFonts w:ascii="Arial" w:cs="Arial" w:eastAsia="Arial" w:hAnsi="Arial"/>
          <w:sz w:val="17"/>
          <w:szCs w:val="17"/>
          <w:color w:val="auto"/>
        </w:rPr>
        <w:t>. Following the Closing, Aeglea shall promptly forward to Immedica any mail (including electronic mail) and other correspondence that Aeglea or any of its Subsidiaries receives after the Closing Date that is intended for the owner of the Acquired Assets, Assumed Liabilities, the Program or the Product. Following the Closing, Immedica shall promptly forward to Aeglea any mail (including electronic mail) and other correspondence that Immedica or any of its Subsidiaries receives after the Closing Date that relates to the Excluded Assets, the Excluded Liabilities or is otherwise intended for the owner of the Excluded Assets.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jc w:val="both"/>
        <w:ind w:right="220" w:firstLine="991"/>
        <w:spacing w:after="0" w:line="287"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representations and warranties of the Parties contained in this Agreement or in any certificate or other writing delivered pursuant hereto shall survive until 5:00 p.m. Eastern Time on the twelve (12)-month anniversary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representations and warranties of Aeglea contained in Sections 4.1, 4.2, 4.3, 4.4(a)(i), 4.8(b) and 4.15 and the first two sentences of Section 4.5(a)</w:t>
      </w:r>
    </w:p>
    <w:p>
      <w:pPr>
        <w:spacing w:after="0" w:line="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(collectively, the “</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shall survive the Closing until 5:00 p.m. Eastern Time on May 22, 2026 and (b) the representations and warranties of Aeglea contained in Section 4.11 (the “</w:t>
      </w:r>
      <w:r>
        <w:rPr>
          <w:rFonts w:ascii="Arial" w:cs="Arial" w:eastAsia="Arial" w:hAnsi="Arial"/>
          <w:sz w:val="17"/>
          <w:szCs w:val="17"/>
          <w:u w:val="single" w:color="auto"/>
          <w:color w:val="auto"/>
        </w:rPr>
        <w:t>IP Representations</w:t>
      </w:r>
      <w:r>
        <w:rPr>
          <w:rFonts w:ascii="Arial" w:cs="Arial" w:eastAsia="Arial" w:hAnsi="Arial"/>
          <w:sz w:val="17"/>
          <w:szCs w:val="17"/>
          <w:color w:val="auto"/>
        </w:rPr>
        <w:t>”) and the representations and warranties of Aeglea contained in Section 4.8(a) shall survive the Closing until 5:00 p.m. Eastern Time on May 22, 2026 (as applicable, the “</w:t>
      </w:r>
      <w:r>
        <w:rPr>
          <w:rFonts w:ascii="Arial" w:cs="Arial" w:eastAsia="Arial" w:hAnsi="Arial"/>
          <w:sz w:val="17"/>
          <w:szCs w:val="17"/>
          <w:u w:val="single" w:color="auto"/>
          <w:color w:val="auto"/>
        </w:rPr>
        <w:t>Survival Period</w:t>
      </w:r>
      <w:r>
        <w:rPr>
          <w:rFonts w:ascii="Arial" w:cs="Arial" w:eastAsia="Arial" w:hAnsi="Arial"/>
          <w:sz w:val="17"/>
          <w:szCs w:val="17"/>
          <w:color w:val="auto"/>
        </w:rPr>
        <w:t>”). The covenants and agreements of the Parties contained in this Agreement or in any certificate or other writing delivered pursuant hereto shall survive indefinitely or for such shorter period explicitly specified therein. Upon termination and expiration of any representation and warranty, covenant or agreement for the purposes of indemnification, all indemnification obligations with respect to such representation and warranty, covenant or agreement shall likewise terminate and expire, except to the extent that the Person to be indemnified pursuant to this Article VII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have (in good faith) given written notice a claim to the indemnifying party pursuant to this Article VII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before termination of the applicable Survival Period, in which event the representation and warranty, covenant or agreement alleged in the claim to have been breached and any associated right to indemnification shall continue until such claim for indemnification is resolved. For the avoidance of doubt, it is the intention of the Parties that the foregoing respective Survival Periods and termination dates supersede any applicable statutes of limitations that would otherwise apply to such matters.</w:t>
      </w:r>
    </w:p>
    <w:p>
      <w:pPr>
        <w:spacing w:after="0" w:line="184"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Indemnification by Aeglea</w:t>
      </w:r>
      <w:r>
        <w:rPr>
          <w:rFonts w:ascii="Arial" w:cs="Arial" w:eastAsia="Arial" w:hAnsi="Arial"/>
          <w:sz w:val="18"/>
          <w:szCs w:val="18"/>
          <w:color w:val="auto"/>
        </w:rPr>
        <w:t>. From and after the Closing Date and subject to the provisions of this Article VII, Aeglea shall reimburse, defend, indemnify and hold Immedica and its directors, officers, employees, Affiliates, agents, attorneys and Representatives, and each of their respective successors and permitted assigns (collectively, the “</w:t>
      </w:r>
      <w:r>
        <w:rPr>
          <w:rFonts w:ascii="Arial" w:cs="Arial" w:eastAsia="Arial" w:hAnsi="Arial"/>
          <w:sz w:val="18"/>
          <w:szCs w:val="18"/>
          <w:u w:val="single" w:color="auto"/>
          <w:color w:val="auto"/>
        </w:rPr>
        <w:t>Immedica Indemnified Parties</w:t>
      </w:r>
      <w:r>
        <w:rPr>
          <w:rFonts w:ascii="Arial" w:cs="Arial" w:eastAsia="Arial" w:hAnsi="Arial"/>
          <w:sz w:val="18"/>
          <w:szCs w:val="18"/>
          <w:color w:val="auto"/>
        </w:rPr>
        <w:t>”) harmless from and against any and all Losses incurred, resulting or arising from or relating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722" w:name="page723"/>
    <w:bookmarkEnd w:id="722"/>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(a)the failure of any representation or warranty of Aeglea contained in this Agreement to be true and correct as of the Closing Date (except for any such representation and warranty that addresses matters only as of a specific date, which representation and warranty shall be true and correct as of such specific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(i) determining whether any failure of a representation or warranty to be true and correct has occurred and (ii) calculating the amount of any Losses relating thereto, in each case, the representations and warranties shall be considered and applied without regard to any reference to materiality, Material Adverse Effect or similar materiality qualification set forth therein;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absence of an asset has resulted in a failure of a representation or warranty set forth in Section 4.8(a) to be so true and correct, to the extent that such failure may be cured (in whole or in part) by the delivery of such asset to Immedica after the Closing (including by the grant of a license if such absent asset was a license), Aeglea’s indemnification obligations hereunder may (but without limiting any obligation set forth in this Agreement) be cured to such extent (and only such extent) by delivery of such asset, and the remaining indemnification obligations with respect to such failure (if any) shall be satisfied in accordance with the other provisions of this Article VII;</w:t>
      </w:r>
    </w:p>
    <w:p>
      <w:pPr>
        <w:spacing w:after="0" w:line="185"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(b)any breach of or failure to perform any covenant or obligation made or to be performed by Aeglea in this Agreement or in any certificate or other writing delivered pursuant hereto;</w:t>
      </w:r>
    </w:p>
    <w:p>
      <w:pPr>
        <w:spacing w:after="0" w:line="170" w:lineRule="exact"/>
        <w:rPr>
          <w:sz w:val="20"/>
          <w:szCs w:val="20"/>
          <w:color w:val="auto"/>
        </w:rPr>
      </w:pPr>
    </w:p>
    <w:p>
      <w:pPr>
        <w:ind w:right="440" w:firstLine="991"/>
        <w:spacing w:after="0" w:line="259" w:lineRule="auto"/>
        <w:rPr>
          <w:sz w:val="20"/>
          <w:szCs w:val="20"/>
          <w:color w:val="auto"/>
        </w:rPr>
      </w:pPr>
      <w:r>
        <w:rPr>
          <w:rFonts w:ascii="Arial" w:cs="Arial" w:eastAsia="Arial" w:hAnsi="Arial"/>
          <w:sz w:val="18"/>
          <w:szCs w:val="18"/>
          <w:color w:val="auto"/>
        </w:rPr>
        <w:t>(c)any Excluded Asset or Excluded Liability (including, for the avoidance of doubt, in respect of any Person seeking to impose any Excluded Liability on any of the Immedica Indemnified Parties based upon any theory of successor liability or based upon any claim of fraudulent transfer or any other claim alleging that the consideration paid in connection with the consummation of the transactions contemplated hereby is insufficient for any reason); and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(d)the matters set forth on Schedule 7.2(d).</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Indemnification by Immedica</w:t>
      </w:r>
      <w:r>
        <w:rPr>
          <w:rFonts w:ascii="Arial" w:cs="Arial" w:eastAsia="Arial" w:hAnsi="Arial"/>
          <w:sz w:val="18"/>
          <w:szCs w:val="18"/>
          <w:color w:val="auto"/>
        </w:rPr>
        <w:t>. From and after the Closing Date and subject to the provisions of this Article VII, Immedica shall reimburse, defend, indemnify and hold each of Aeglea and its respective directors, officers, employees, Affiliates, agents, attorneys, Representatives, successors and permitted assigns (the “</w:t>
      </w:r>
      <w:r>
        <w:rPr>
          <w:rFonts w:ascii="Arial" w:cs="Arial" w:eastAsia="Arial" w:hAnsi="Arial"/>
          <w:sz w:val="18"/>
          <w:szCs w:val="18"/>
          <w:u w:val="single" w:color="auto"/>
          <w:color w:val="auto"/>
        </w:rPr>
        <w:t>Aeglea Indemnified Parties</w:t>
      </w:r>
      <w:r>
        <w:rPr>
          <w:rFonts w:ascii="Arial" w:cs="Arial" w:eastAsia="Arial" w:hAnsi="Arial"/>
          <w:sz w:val="18"/>
          <w:szCs w:val="18"/>
          <w:color w:val="auto"/>
        </w:rPr>
        <w:t>”) harmless from and against any and all Losses incurred, resulting or arising from or relating to:</w:t>
      </w:r>
    </w:p>
    <w:p>
      <w:pPr>
        <w:spacing w:after="0" w:line="187" w:lineRule="exact"/>
        <w:rPr>
          <w:sz w:val="20"/>
          <w:szCs w:val="20"/>
          <w:color w:val="auto"/>
        </w:rPr>
      </w:pPr>
    </w:p>
    <w:p>
      <w:pPr>
        <w:ind w:right="200" w:firstLine="987"/>
        <w:spacing w:after="0" w:line="263" w:lineRule="auto"/>
        <w:tabs>
          <w:tab w:leader="none" w:pos="1236" w:val="left"/>
        </w:tabs>
        <w:numPr>
          <w:ilvl w:val="0"/>
          <w:numId w:val="720"/>
        </w:numPr>
        <w:rPr>
          <w:rFonts w:ascii="Arial" w:cs="Arial" w:eastAsia="Arial" w:hAnsi="Arial"/>
          <w:sz w:val="18"/>
          <w:szCs w:val="18"/>
          <w:color w:val="auto"/>
        </w:rPr>
      </w:pPr>
      <w:r>
        <w:rPr>
          <w:rFonts w:ascii="Arial" w:cs="Arial" w:eastAsia="Arial" w:hAnsi="Arial"/>
          <w:sz w:val="18"/>
          <w:szCs w:val="18"/>
          <w:color w:val="auto"/>
        </w:rPr>
        <w:t>the failure of any representation or warranty of Immedica contained in this Agreement to be true and correct as of the Closing Date (except for any such representation and warranty that addresses matters only as of a specific date, which representation and warranty shall be true and correct as of such specific date);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made by Immedica in this Agreement;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723" w:name="page724"/>
    <w:bookmarkEnd w:id="723"/>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(c)the Assumed Liabilities, except (notwithstanding anything to the contrary herein) to the extent due to the breach by Aeglea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(a)A claim for indemnification for any matter not involving a Third-Party Claim may be asserted by prompt written notice to the Indemnifying Party, including, to the extent known, the amount of the claim or an estimate thereof, to such Indemnifying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so notify the Indemnifying Party shall not relieve the Indemnifying Party of any indemnification obligation hereunder unless (and then solely to the extent that) the Indemnifying Party is materially prejudiced as a result of such failure.</w:t>
      </w:r>
    </w:p>
    <w:p>
      <w:pPr>
        <w:spacing w:after="0" w:line="187"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(b)In the event that any Legal Proceedings shall be instituted, or that any claim or demand shall be asserted or threatened in writing, by any Person not party to this Agreement in respect of which an Indemnification Claim may be made under this Agreement (a “</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the Indemnified Party shall promptly cause written notice of the assertion or written threat of any Third-Party Claim of which it has knowledge that is or may be covered by this indemnity to be delivered to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so notify the Indemnifying Party shall not relieve the Indemnifying Party of any indemnification obligation hereunder unless (and then solely to the extent that) the Indemnifying Party is materially prejudiced as a result of such failure. The Indemnifying Party shall have the right, at its sole option and expense, to be represented by counsel of its choice, which must be reasonably satisfactory to the Indemnified Party, and to defend against, negotiate, settle or otherwise address any Third-Party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assuming control of such defense, the Indemnifying Party must acknowledge that it would have an indemnity obligation for the Losses resulting from such Third-Party Claim as provided under this Article VII if the material facts alleged in such Third-Party Claim at the time of its assumption of the defense are ultimately determined to be accurate;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Indemnifying Party shall not be entitled to assume or maintain control of the defense of any Third-Party Claim and shall pay the fees and expenses of counsel retained by the Indemnified Party if (1) the Indemnifying Party does not deliver the acknowledgment referred to in the preceding proviso within 30 days of receipt of notice of the Third-Party Claim pursuant to this Section 7.4, (2) the Third-Party Claim is made by a Governmental Authority or relates to or arises in connection with any criminal proceeding, action, indictment, allegation or investigation, (3) the Third-Party Claim seeks an injunction or equitable relief against the Indemnified Party or any of its Affiliates, (4) the Indemnifying Party has failed or is failing to prosecute or defend vigorously the Third-Party Claim (after reasonable notice and opportunity to cure) or (5) the Third-Party Claim relates to Taxes. If the Indemnifying Party is entitled to and elects to defend against, negotiate, settle or otherwise address any Third-Party Claim, it shall within twenty (20) Business Days (or sooner, to the extent that the nature of the Third-Party Claim so requires) (“</w:t>
      </w:r>
      <w:r>
        <w:rPr>
          <w:rFonts w:ascii="Arial" w:cs="Arial" w:eastAsia="Arial" w:hAnsi="Arial"/>
          <w:sz w:val="16"/>
          <w:szCs w:val="16"/>
          <w:u w:val="single" w:color="auto"/>
          <w:color w:val="auto"/>
        </w:rPr>
        <w:t>Dispute Period</w:t>
      </w:r>
      <w:r>
        <w:rPr>
          <w:rFonts w:ascii="Arial" w:cs="Arial" w:eastAsia="Arial" w:hAnsi="Arial"/>
          <w:sz w:val="16"/>
          <w:szCs w:val="16"/>
          <w:color w:val="auto"/>
        </w:rPr>
        <w:t xml:space="preserve">”) notify the Indemnified Party of its intent to do so. If the Indemnifying Party shall assume the defense of any Third-Party Claim, then the Indemnified Party may participate, at his or its own expense, in the defense of such Third-Party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Indemnified Party shall be entitled to participate in any such defense with separate counsel at the expense of the Indemnifying Party if (i) requested by the Indemnifying Party to participate, (ii) the named parties to any such Third-Party Claim (including any impleaded parties) include both the Indemnifying Party and the Indemnified Party or (iii) representation of both the Indemnifying Party and the Indemnified Party by the same counsel would be inappropriate due to a conflict of interest between the Indemnified Party and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Indemnifying Party shall not be required to pay for more than one such counsel for all Indemnified Parties in connection with any Third-Party Claim. If the Indemnifying Party does not elect (if so entitled) within the Dispute Period to defend against, negotiate, settle or otherwise address any Third-Party Claim or fails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724" w:name="page725"/>
    <w:bookmarkEnd w:id="724"/>
    <w:p>
      <w:pPr>
        <w:jc w:val="both"/>
        <w:ind w:left="4"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notify the Indemnified Party of its election during the Dispute Period, the Indemnified Party shall have the right, but not the obligation, to defend against such Third-Party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Indemnifying Party may nonetheless participate in the defense of such Third-Party Claim (but not control or make decisions related thereto) with its own counsel and at its own expense.</w:t>
      </w:r>
    </w:p>
    <w:p>
      <w:pPr>
        <w:spacing w:after="0" w:line="184" w:lineRule="exact"/>
        <w:rPr>
          <w:sz w:val="20"/>
          <w:szCs w:val="20"/>
          <w:color w:val="auto"/>
        </w:rPr>
      </w:pPr>
    </w:p>
    <w:p>
      <w:pPr>
        <w:ind w:left="4" w:right="80" w:firstLine="991"/>
        <w:spacing w:after="0" w:line="273" w:lineRule="auto"/>
        <w:rPr>
          <w:sz w:val="20"/>
          <w:szCs w:val="20"/>
          <w:color w:val="auto"/>
        </w:rPr>
      </w:pPr>
      <w:r>
        <w:rPr>
          <w:rFonts w:ascii="Arial" w:cs="Arial" w:eastAsia="Arial" w:hAnsi="Arial"/>
          <w:sz w:val="17"/>
          <w:szCs w:val="17"/>
          <w:color w:val="auto"/>
        </w:rPr>
        <w:t>(c)If the Indemnifying Party elects to defend against, negotiate, settle or otherwise address any Third-Party Claim, the Indemnifying Party shall (i) conduct the defense of such Third-Party Claim with reasonable diligence and keep the Indemnified Party reasonably informed of material developments in the Third-Party Claim at all stages thereof; (ii) promptly submit to the Indemnified Party copies of all pleadings, responsive pleadings, motions and other similar legal documents and papers received or filed in connection therewith; (iii) permit the Indemnified Party and its counsel to confer on the conduct of the defense thereof; and (iv) permit the Indemnified Party and its counsel an opportunity to review all legal papers to be submitted prior to their submission (to the extent practical).</w:t>
      </w:r>
    </w:p>
    <w:p>
      <w:pPr>
        <w:spacing w:after="0" w:line="178"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(d)The Parties agree to provide reasonable access to each other Party to such documents and information as may reasonably be requested in connection with the defense, negotiation or settlement of any such Third-Party Claim. The Indemnified Party shall have the right to negotiate, compromise and settle any Third-Party Claim for which the Indemnifying Party may have any Liability under this Agreement but only with the prior written consent of the Indemnifying Party (which consent shall not be unreasonably withheld, conditioned or delayed). The Indemnifying Party may not enter into any compromise or settlement of, or cease to defend against, a Third-Party Claim unless the Indemnifying Party (i) has assumed the defense of such claim pursuant to this Section 7.4 and (ii)has received the prior written consent of the Indemnified Party (which consent shall not be unreasonably withheld, conditioned or delayed). Notwithstanding the foregoing, the Indemnifying Party may enter into any compromise or settlement of any Third-Party Claim if (x) pursuant to or as a result of such compromise or settlement, (A) injunctive or other equitable relief would not be imposed against the Indemnified Party, (B) each claimant or plaintiff in such Third-Party Claim has given to the Indemnified Party an unconditional release from all Liability with respect to such Third-Party Claim, (C) a finding or admission of a violation of Law would not be made against the Indemnified Party, and (D) the Indemnified Party would not have a monetary Liability that will not be paid or reimbursed by the Indemnifying Party in full; (y) such Third-Party Claim would not reasonably be expected to have a material impact on the ongoing business of the Indemnified Party; and (z) such Third-Party Claim is not brought by a Governmental Authority.</w:t>
      </w:r>
    </w:p>
    <w:p>
      <w:pPr>
        <w:spacing w:after="0" w:line="186"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(e)After any final non-appealable decision, judgment or award shall have been rendered by a Governmental Authority of competent jurisdiction and the expiration of the time in which to appeal therefrom, or a settlement or arbitration shall have been consummated, or the Indemnified Party and the Indemnifying Party shall have arrived at a mutually binding agreement with respect to an Indemnification Claim hereunder, the Indemnified Party shall forward to the Indemnifying Party notice of any sums due and owing by the Indemnifying Party pursuant to this Agreement with respect to such matter and the Indemnifying Party shall make prompt payment thereof by wire transfer in immediately available funds within thirty</w:t>
      </w:r>
    </w:p>
    <w:p>
      <w:pPr>
        <w:spacing w:after="0" w:line="2" w:lineRule="exact"/>
        <w:rPr>
          <w:sz w:val="20"/>
          <w:szCs w:val="20"/>
          <w:color w:val="auto"/>
        </w:rPr>
      </w:pPr>
    </w:p>
    <w:p>
      <w:pPr>
        <w:ind w:left="344" w:hanging="344"/>
        <w:spacing w:after="0"/>
        <w:tabs>
          <w:tab w:leader="none" w:pos="344" w:val="left"/>
        </w:tabs>
        <w:numPr>
          <w:ilvl w:val="0"/>
          <w:numId w:val="721"/>
        </w:numPr>
        <w:rPr>
          <w:rFonts w:ascii="Arial" w:cs="Arial" w:eastAsia="Arial" w:hAnsi="Arial"/>
          <w:sz w:val="17"/>
          <w:szCs w:val="17"/>
          <w:color w:val="auto"/>
        </w:rPr>
      </w:pPr>
      <w:r>
        <w:rPr>
          <w:rFonts w:ascii="Arial" w:cs="Arial" w:eastAsia="Arial" w:hAnsi="Arial"/>
          <w:sz w:val="17"/>
          <w:szCs w:val="17"/>
          <w:color w:val="auto"/>
        </w:rPr>
        <w:t>days after the date of such notice or, if applicable, pursuant to the terms of the agreement reached with respect to the Indemnification Claim.</w:t>
      </w:r>
    </w:p>
    <w:p>
      <w:pPr>
        <w:spacing w:after="0" w:line="154" w:lineRule="exact"/>
        <w:rPr>
          <w:rFonts w:ascii="Arial" w:cs="Arial" w:eastAsia="Arial" w:hAnsi="Arial"/>
          <w:sz w:val="17"/>
          <w:szCs w:val="17"/>
          <w:color w:val="auto"/>
        </w:rPr>
      </w:pPr>
    </w:p>
    <w:p>
      <w:pPr>
        <w:ind w:left="5424"/>
        <w:spacing w:after="0"/>
        <w:rPr>
          <w:rFonts w:ascii="Arial" w:cs="Arial" w:eastAsia="Arial" w:hAnsi="Arial"/>
          <w:sz w:val="17"/>
          <w:szCs w:val="17"/>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725" w:name="page726"/>
    <w:bookmarkEnd w:id="7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7.5 </w:t>
      </w:r>
      <w:r>
        <w:rPr>
          <w:rFonts w:ascii="Arial" w:cs="Arial" w:eastAsia="Arial" w:hAnsi="Arial"/>
          <w:sz w:val="18"/>
          <w:szCs w:val="18"/>
          <w:u w:val="single" w:color="auto"/>
          <w:color w:val="auto"/>
        </w:rPr>
        <w:t>Limitations on Indemnified Costs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(a)Notwithstanding anything to the contrary in this Agreement, with the exception of intentional fraud and willful misconduct, no Indemnifying Party shall have any Liability for any Loss under Section 7.2(a) (other than in respect of the Fundamental Representations or the IP Representations) or Section 7.3(a) (other than in respect of the representations and warranties contained in Section 5.1, Section 5.2 and Section 5.3(i)), as applicable, (i) unless and until such Loss (or series of related Losses) equals or exceeds $15,000 (the “</w:t>
      </w:r>
      <w:r>
        <w:rPr>
          <w:rFonts w:ascii="Arial" w:cs="Arial" w:eastAsia="Arial" w:hAnsi="Arial"/>
          <w:sz w:val="17"/>
          <w:szCs w:val="17"/>
          <w:u w:val="single" w:color="auto"/>
          <w:color w:val="auto"/>
        </w:rPr>
        <w:t>De Minimis Amount</w:t>
      </w:r>
      <w:r>
        <w:rPr>
          <w:rFonts w:ascii="Arial" w:cs="Arial" w:eastAsia="Arial" w:hAnsi="Arial"/>
          <w:sz w:val="17"/>
          <w:szCs w:val="17"/>
          <w:color w:val="auto"/>
        </w:rPr>
        <w:t>”), it being understood that if such Loss (or series of related Losses) does not exceed the De Minimis Amount, such Loss (or series of related Losses) shall not be applied to or considered for purposes of calculating the aggregate amount of Losses incurred by any Indemnified Parties pursuant to the immediately following clause (ii); and (ii) unless the aggregate amount of all Losses incurred by the Immedica Indemnified Parties under Section 7.2(a) (other than in respect of the Fundamental Representations or the IP Representations) or the Aeglea Indemnified Parties under Section 7.3(a) (other than in respect of the representations and warranties contained in Section 5.1, Section 5.2 and Section 5.3(i)), as applicable, exceeds $300,000 (the “</w:t>
      </w:r>
      <w:r>
        <w:rPr>
          <w:rFonts w:ascii="Arial" w:cs="Arial" w:eastAsia="Arial" w:hAnsi="Arial"/>
          <w:sz w:val="17"/>
          <w:szCs w:val="17"/>
          <w:u w:val="single" w:color="auto"/>
          <w:color w:val="auto"/>
        </w:rPr>
        <w:t>Basket</w:t>
      </w:r>
      <w:r>
        <w:rPr>
          <w:rFonts w:ascii="Arial" w:cs="Arial" w:eastAsia="Arial" w:hAnsi="Arial"/>
          <w:sz w:val="17"/>
          <w:szCs w:val="17"/>
          <w:color w:val="auto"/>
        </w:rPr>
        <w:t>”), it being understood that if such Losses exceed the Basket, the applicable Indemnifying Party shall be obligated for only the Losses of the applicable Indemnified Parties in excess of the Basket.</w:t>
      </w:r>
    </w:p>
    <w:p>
      <w:pPr>
        <w:spacing w:after="0" w:line="18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(b)Notwithstanding anything to the contrary in this Agreement, with the exception of intentional fraud and willful misconduct, (i) Aeglea’s maximum aggregate Liability to the Immedica Indemnified Parties for any Loss under Section 7.2 (except for Sections 7.2(b) and 7.2(d), and except for Section 7.2(a) with respect to Fundamental Representations, IP Representations and the representations and warranties contained in Section 4.8(a)) shall not exceed $1,800,000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15% of the aggregate Milestone Payments received or that become payable to Aeglea (calculated prior to giving effect to any Milestone Set-Off); (ii) Aeglea’s maximum aggregate Liability to the Immedica Indemnified Parties for any Loss under Section 7.2(a) with respect to the representations and warranties contained in Section 4.8(a) shall not exceed $2,400,000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20% of the aggregate Milestone Payments that become payable to Aeglea (calculated prior to giving effect to any Milestone Set-Off); (iii) Aeglea’s maximum aggregate Liability to the Immedica Indemnified Parties for any Loss under Section 7.2(a) with respect to IP Representations shall not exceed $3,600,000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30% of the aggregate Milestone Payments that become payable to Aeglea (calculated prior to giving effect to any Milestone Set-Off); (iv) Aeglea’s maximum aggregate Liability to the Immedica Indemnified Parties for all Losses under Section 7.2(a) with respect to Fundamental Representations, Section 7.2(b) and Section 7.2(d) shall not exceed the Initial Payment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100% of the aggregate Milestone Payments that become payable to Aeglea (calculated prior to giving effect to any Milestone Set-Off.</w:t>
      </w:r>
    </w:p>
    <w:p>
      <w:pPr>
        <w:spacing w:after="0" w:line="179"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(c)Aeglea agrees that if a Third-Party Claim is made against an Immedica Indemnified Party concerning an Excluded Asset or Excluded Liability, Aeglea shall, at its sole cost and expense, (i) communicate to the Person making such Third-Party Claim that Aeglea (rather than such Immedica Indemnified Party) is responsible for or otherwise liable in respect of such Excluded Asset or Excluded Liability (and otherwise acknowledge that Aeglea rather than such Immedica Indemnified Party is the appropriate party in interest) and (ii) use commercially reasonable efforts to cause such Immedica Indemnified Party to be released or otherwise dismissed from such Third-Party Claim and any related Legal Proceeding.</w:t>
      </w:r>
    </w:p>
    <w:p>
      <w:pPr>
        <w:spacing w:after="0" w:line="161"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(d)With respect to any Milestone Set-Off pursuant to Section 1.2(e) (and subject to the limitations set forth in Sections 7.5(a) and 7.5(b) and the terms of Section 1.2(e)), if at the time any Milestone Payment is due and payable (or any portion of the Specified Patents Holdback Amount continues to be held back in accordance with Section 1.2(f)), there shall be any outstanding Indemnification Claim delivered in accordance with Section 7.4, the amount of Losses with respect to which shall not have been finally determined in accordance with this Article VII, then Immedica shall be entitled, but shall not be required, to withhold from such Available Remedy Amount, the amount of Losses the applicable Immedica</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726" w:name="page727"/>
    <w:bookmarkEnd w:id="726"/>
    <w:p>
      <w:pPr>
        <w:ind w:right="2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Party reasonably estimates to be subject to such Indemnification Claim. If the final amount of Losses for such Indemnification Claim is determined in accordance with this Article VII to be less than the amount withheld from such Available Remedy Amount, then Immedica shall promptly, and in any event within five (5) Business Days following the final determination of the amount of such Losses, deliver the difference to Aeglea by wire transfer of immediately available funds to an account designated in writing by Aeglea (provided that no amount set off against the Specified Patents Holdback Amount shall be required to be so delivered to Aeglea unless, prior to such time, the Specified Patents Holdback Amount was required to be released to Aeglea in accordance with the last sentence of Section 1.2(f)). If the final amount of Losses for such Indemnification Claim is determined in accordance with this Article VII to exceed the amount by which such Available Remedy Amount was reduced for such claim, then Immedica shall continue to be entitled to indemnification for the amount of such excess subject to the terms and conditions of this Article VII.</w:t>
      </w:r>
    </w:p>
    <w:p>
      <w:pPr>
        <w:spacing w:after="0" w:line="161"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(e)</w:t>
      </w:r>
      <w:r>
        <w:rPr>
          <w:rFonts w:ascii="Arial" w:cs="Arial" w:eastAsia="Arial" w:hAnsi="Arial"/>
          <w:sz w:val="17"/>
          <w:szCs w:val="17"/>
          <w:b w:val="1"/>
          <w:bCs w:val="1"/>
          <w:color w:val="auto"/>
        </w:rPr>
        <w:t>In no event shall any Indemnifying Party have Liability to any Indemnified Party for any consequential, special, incidental,</w:t>
      </w:r>
      <w:r>
        <w:rPr>
          <w:rFonts w:ascii="Arial" w:cs="Arial" w:eastAsia="Arial" w:hAnsi="Arial"/>
          <w:sz w:val="17"/>
          <w:szCs w:val="17"/>
          <w:color w:val="auto"/>
        </w:rPr>
        <w:t xml:space="preserve"> </w:t>
      </w:r>
      <w:r>
        <w:rPr>
          <w:rFonts w:ascii="Arial" w:cs="Arial" w:eastAsia="Arial" w:hAnsi="Arial"/>
          <w:sz w:val="17"/>
          <w:szCs w:val="17"/>
          <w:b w:val="1"/>
          <w:bCs w:val="1"/>
          <w:color w:val="auto"/>
        </w:rPr>
        <w:t>indirect, punitive or exemplary damages</w:t>
      </w:r>
      <w:r>
        <w:rPr>
          <w:rFonts w:ascii="Arial" w:cs="Arial" w:eastAsia="Arial" w:hAnsi="Arial"/>
          <w:sz w:val="17"/>
          <w:szCs w:val="17"/>
          <w:color w:val="auto"/>
        </w:rPr>
        <w:t>, except, in each case of the foregoing damages, to the extent (i) any of the foregoing are payable to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pursuant to a Third-Party Claim, (ii) in the case of consequential or indirect damages, to the extent such damages are the reasonably foreseeable result of the event that gave rise thereto or the matter for which indemnification is sought hereunder, (iii) arising under Section 7.2(d) or (iv) any of the foregoing arise as a result of intentional fraud or willful misconduct by the Indemnifying Party. No Indemnified Party shall be entitled to recover from an Indemnifying Party more than once in respect of Losses resulting from a single or series of related claims. Any Liability for indemnification hereunder shall be determined without duplication of recovery by reason of state of facts giving rise to such Liability constituting a breach of more than one representation, warranty, covenant or agreement.</w:t>
      </w:r>
    </w:p>
    <w:p>
      <w:pPr>
        <w:spacing w:after="0" w:line="176"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(f)The amount of any and all Losses under this Article VII shall be determined net of (i) any Tax benefit actually realized by the applicable Indemnified Parties in the form of Tax refunds received or a reduction of Taxes otherwise owed in the taxable year of such Losses, and (ii) any insurance proceeds actually received by the applicable Indemnified Parties in connection with the facts giving rise to the right of indemnification (net of any costs of recovery, deductibles or increased premiums as a result of paying such insurance claims), it being agreed that if third-party insurance or indemnification proceeds in respect of such facts are recovered by the Indemnified Party subsequent to the Indemnifying Party’s making of an indemnification payment in satisfaction of its applicable indemnification obligation, such proceeds shall be promptly remitted to the Indemnifying Party to the extent of the indemnification payment made. The Parties shall make commercially reasonable efforts to mitigate any Losses subject to an Indemnification Claim in accordance with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(A) no Party is required to bring any suit, action or proceeding in connection with such mitigation and (B) any Liability of any Indemnifying Party under this Agreement for Losses suffered or incurred by the Indemnified Party shall include the reasonable costs and expenses suffered or incurred by the Indemnified Party in performing its mitigation obligations hereunder.</w:t>
      </w:r>
    </w:p>
    <w:p>
      <w:pPr>
        <w:spacing w:after="0" w:line="168"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Sources of Recovery</w:t>
      </w:r>
      <w:r>
        <w:rPr>
          <w:rFonts w:ascii="Arial" w:cs="Arial" w:eastAsia="Arial" w:hAnsi="Arial"/>
          <w:sz w:val="17"/>
          <w:szCs w:val="17"/>
          <w:color w:val="auto"/>
        </w:rPr>
        <w:t>. The Milestone Set-off shall be the sole and exclusive recourse for any and all payments that may become owing to the Immedica Indemnified Parties pursuant to a claim for indemnification under this Article VII (other than (A) pursuant to Section 7.2(d), (B) pursuant to Section 7.2(b) with respect to any breach of or failure to perform any covenant or obligation contained in this Agreement that by its terms contemplates performance thereof following the Closing and such breach remains uncured for a period greater than sixty (60) days after Immedica provides written notice of such breach, and (C) with respect to willful misconduct or intentional fraud (collectively, the “</w:t>
      </w:r>
      <w:r>
        <w:rPr>
          <w:rFonts w:ascii="Arial" w:cs="Arial" w:eastAsia="Arial" w:hAnsi="Arial"/>
          <w:sz w:val="17"/>
          <w:szCs w:val="17"/>
          <w:u w:val="single" w:color="auto"/>
          <w:color w:val="auto"/>
        </w:rPr>
        <w:t>Excluded Indemnity Matters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Immedica Indemnified Parties shall not be entitled to recover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727" w:name="page728"/>
    <w:bookmarkEnd w:id="727"/>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Loss (or series of related Losses) against Aeglea or any of its Subsidiaries (other than by means of a Milestone-Setoff) with respect to an Excluded Indemnity Matter referred to in the foregoing clause (B) unless and until such Loss (or series of related Losses) equals or exceeds $100,000 and</w:t>
      </w:r>
    </w:p>
    <w:p>
      <w:pPr>
        <w:ind w:left="4" w:right="120" w:hanging="4"/>
        <w:spacing w:after="0" w:line="268" w:lineRule="auto"/>
        <w:tabs>
          <w:tab w:leader="none" w:pos="269" w:val="left"/>
        </w:tabs>
        <w:numPr>
          <w:ilvl w:val="0"/>
          <w:numId w:val="722"/>
        </w:numPr>
        <w:rPr>
          <w:rFonts w:ascii="Arial" w:cs="Arial" w:eastAsia="Arial" w:hAnsi="Arial"/>
          <w:sz w:val="17"/>
          <w:szCs w:val="17"/>
          <w:color w:val="auto"/>
        </w:rPr>
      </w:pPr>
      <w:r>
        <w:rPr>
          <w:rFonts w:ascii="Arial" w:cs="Arial" w:eastAsia="Arial" w:hAnsi="Arial"/>
          <w:sz w:val="17"/>
          <w:szCs w:val="17"/>
          <w:color w:val="auto"/>
        </w:rPr>
        <w:t>following May 22, 2026, the Immedica Indemnified Parties shall not be entitled to recover any Loss against Aeglea or any of its Subsidiaries (other than by means of a Milestone-Setoff) with respect to an Excluded Indemnity Matter referred to in the foregoing clause (A), except to the extent an Indemnification Claim in respect of such Loss was first made prior May 22, 2026 (it being understood, for the avoidance of doubt, that nothing in this proviso shall limit or otherwise affect an Immedica Indemnified Party’s rights to recover Losses at any time with respect to an Excluded Indemnity Matter by means of a Milestone-Setoff). No claim for indemnification under this Article VII by the Immedica Indemnified Parties shall be asserted against, and the Immedica Indemnified Parties shall not be entitled to indemnification from, Aeglea or any of its Subsidiaries for a claim for indemnification under Article VII (other than in respect of the Excluded Indemnity Matters, but subject to the proviso in this Section 7.6) except to the extent such recourse is limited to Milestone Set-Offs. For the avoidance of doubt, nothing in this Section 7.6 shall limit or otherwise affect Immedica’s right to specific performance as provided in Section 9.3.</w:t>
      </w:r>
    </w:p>
    <w:p>
      <w:pPr>
        <w:spacing w:after="0" w:line="181" w:lineRule="exact"/>
        <w:rPr>
          <w:sz w:val="20"/>
          <w:szCs w:val="20"/>
          <w:color w:val="auto"/>
        </w:rPr>
      </w:pPr>
    </w:p>
    <w:p>
      <w:pPr>
        <w:ind w:left="4" w:firstLine="991"/>
        <w:spacing w:after="0" w:line="290"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Exclusive Remedy</w:t>
      </w:r>
      <w:r>
        <w:rPr>
          <w:rFonts w:ascii="Arial" w:cs="Arial" w:eastAsia="Arial" w:hAnsi="Arial"/>
          <w:sz w:val="16"/>
          <w:szCs w:val="16"/>
          <w:color w:val="auto"/>
        </w:rPr>
        <w:t>. Following the Closing Date, the sole and exclusive remedy of any Indemnified Parties for any Losses (including any Losses from claims for breach of contract, warranty, tortious conduct (including negligence) or otherwise and whether predicated on common Law, statute, strict liability or otherwise) that each Party may at any time suffer or incur, or become subject to, as a result of, or in connection with this Agreement, including any inaccuracy or breach of any representation and warranty contained in this Agreement by any Party, or any failure by any Party to perform or comply with any covenant or agreement that, by its terms, was to have been performed, or complied with, under this Agreement, shall be indemnification in accordance with this Article VII and any Milestone Set-Off pursuant to Section 1.2(e), except with respect to any claim based on intentional fraud or willful misconduct or claims for specific performance pursuant to Section 9.3, injunction or other equitable relief. For the avoidance of doubt, the limitations set forth in this Article VII shall not apply to claims for intentional fraud or willful misconduct.</w:t>
      </w:r>
    </w:p>
    <w:p>
      <w:pPr>
        <w:spacing w:after="0" w:line="377" w:lineRule="exact"/>
        <w:rPr>
          <w:sz w:val="20"/>
          <w:szCs w:val="20"/>
          <w:color w:val="auto"/>
        </w:rPr>
      </w:pPr>
    </w:p>
    <w:p>
      <w:pPr>
        <w:ind w:left="4904"/>
        <w:spacing w:after="0"/>
        <w:rPr>
          <w:sz w:val="20"/>
          <w:szCs w:val="20"/>
          <w:color w:val="auto"/>
        </w:rPr>
      </w:pPr>
      <w:r>
        <w:rPr>
          <w:rFonts w:ascii="Arial" w:cs="Arial" w:eastAsia="Arial" w:hAnsi="Arial"/>
          <w:sz w:val="18"/>
          <w:szCs w:val="18"/>
          <w:b w:val="1"/>
          <w:bCs w:val="1"/>
          <w:color w:val="auto"/>
        </w:rPr>
        <w:t>ARTICLE VIII</w:t>
      </w:r>
    </w:p>
    <w:p>
      <w:pPr>
        <w:spacing w:after="0" w:line="12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TAX MATTERS</w:t>
      </w:r>
    </w:p>
    <w:p>
      <w:pPr>
        <w:spacing w:after="0" w:line="225"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Tax Matters; Cooperation</w:t>
      </w:r>
      <w:r>
        <w:rPr>
          <w:rFonts w:ascii="Arial" w:cs="Arial" w:eastAsia="Arial" w:hAnsi="Arial"/>
          <w:sz w:val="16"/>
          <w:szCs w:val="16"/>
          <w:color w:val="auto"/>
        </w:rPr>
        <w:t>. Each Party shall cooperate fully, as and to the extent reasonably requested by the other Party, in connection with the filing of Tax Returns, making of elections and any audit or other Legal Proceeding with respect to Taxes attributable to the Acquired Assets. Such cooperation shall include the retention and (upon any other Party’s request) the provision of records and information that are reasonably relevant to any such audit or other Legal Proceeding for a period of at least six (6) years following the Closing Date. On or after the end of such period, each Party shall provide the other with at least ten (10) days’ prior written notice before destroying any such books and records, during which period the Party receiving such notice can elect to take possession, at its own expense, of such books and records. Each Party shall make employees available on a mutually convenient basis to provide additional information and explanation of any material provided hereunder. Each Party agrees, upon reasonable request, to use their commercially reasonable efforts to obtain any certificate or other document from any Governmental Authority or any other Person as may be necessary to mitigate, reduce or eliminate any Tax that could be imposed (including with respect to the Transaction). The Parties shall cooperate with each other in the conduct of any audit or other proceeding relating to Taxes involving the Acquired Assets.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728" w:name="page729"/>
    <w:bookmarkEnd w:id="728"/>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8.2 </w:t>
      </w:r>
      <w:r>
        <w:rPr>
          <w:rFonts w:ascii="Arial" w:cs="Arial" w:eastAsia="Arial" w:hAnsi="Arial"/>
          <w:sz w:val="18"/>
          <w:szCs w:val="18"/>
          <w:u w:val="single" w:color="auto"/>
          <w:color w:val="auto"/>
        </w:rPr>
        <w:t>Allocation of Purchase Price; Treatment of Milestone Payments</w:t>
      </w:r>
      <w:r>
        <w:rPr>
          <w:rFonts w:ascii="Arial" w:cs="Arial" w:eastAsia="Arial" w:hAnsi="Arial"/>
          <w:sz w:val="18"/>
          <w:szCs w:val="18"/>
          <w:color w:val="auto"/>
        </w:rPr>
        <w:t>. The Initial Payment, and any Milestone Payments, for the Acquired Assets shall be allocated as determined by the mutual agreement of the Parties. The Parties shall provide such information as any of them shall reasonably request. The Parties shall (a) prepare each report relating to the federal, state and local and other tax consequences of the purchase and sale contemplated hereby in a manner consistent herewith and (b) not take any position in any tax filing, return, proceeding, audit or otherwise which is inconsistent with the position of the other parties unless permitted to do so by Law. The Parties agree and acknowledge that any Milestone Payments shall be treated for all applicable Tax purposes as additional purchase price for the Acquired Assets, except as otherwise required by applicable Law (including Section 483 of the Code)</w:t>
      </w:r>
    </w:p>
    <w:p>
      <w:pPr>
        <w:spacing w:after="0" w:line="195"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 Taxes</w:t>
      </w:r>
      <w:r>
        <w:rPr>
          <w:rFonts w:ascii="Arial" w:cs="Arial" w:eastAsia="Arial" w:hAnsi="Arial"/>
          <w:sz w:val="17"/>
          <w:szCs w:val="17"/>
          <w:color w:val="auto"/>
        </w:rPr>
        <w:t>. Aeglea and Immedica shall be each responsible for 50% of any Transfer Taxes in connection with the sale and purchase of the Acquired Assets, regardless of the Person liable for such Transfer Taxes under applicable Law, and the Parties shall work together to timely file or caused to be filed all necessary documents (including all Tax Returns) with respect to such Transfer Taxes.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Apportioned Obligations.</w:t>
      </w:r>
    </w:p>
    <w:p>
      <w:pPr>
        <w:spacing w:after="0" w:line="225"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(a)All personal property Taxes and similar ad valorem obligations levied with respect to the Acquired Assets for a taxable period which includes (but does not end on) the Closing Date (collectively, the “</w:t>
      </w:r>
      <w:r>
        <w:rPr>
          <w:rFonts w:ascii="Arial" w:cs="Arial" w:eastAsia="Arial" w:hAnsi="Arial"/>
          <w:sz w:val="17"/>
          <w:szCs w:val="17"/>
          <w:u w:val="single" w:color="auto"/>
          <w:color w:val="auto"/>
        </w:rPr>
        <w:t>Apportioned Obligations</w:t>
      </w:r>
      <w:r>
        <w:rPr>
          <w:rFonts w:ascii="Arial" w:cs="Arial" w:eastAsia="Arial" w:hAnsi="Arial"/>
          <w:sz w:val="17"/>
          <w:szCs w:val="17"/>
          <w:color w:val="auto"/>
        </w:rPr>
        <w:t>”) shall be apportioned between Aeglea and Immedica based on the number of days of such taxable period up to and including the Closing Date (any such portion of such taxable period, the “</w:t>
      </w:r>
      <w:r>
        <w:rPr>
          <w:rFonts w:ascii="Arial" w:cs="Arial" w:eastAsia="Arial" w:hAnsi="Arial"/>
          <w:sz w:val="17"/>
          <w:szCs w:val="17"/>
          <w:u w:val="single" w:color="auto"/>
          <w:color w:val="auto"/>
        </w:rPr>
        <w:t>Pre-Closing 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and the number of days of such taxable period after the Closing Date (any such portion of such taxable period, the “</w:t>
      </w:r>
      <w:r>
        <w:rPr>
          <w:rFonts w:ascii="Arial" w:cs="Arial" w:eastAsia="Arial" w:hAnsi="Arial"/>
          <w:sz w:val="17"/>
          <w:szCs w:val="17"/>
          <w:u w:val="single" w:color="auto"/>
          <w:color w:val="auto"/>
        </w:rPr>
        <w:t>Post-Closing Tax Period</w:t>
      </w:r>
      <w:r>
        <w:rPr>
          <w:rFonts w:ascii="Arial" w:cs="Arial" w:eastAsia="Arial" w:hAnsi="Arial"/>
          <w:sz w:val="17"/>
          <w:szCs w:val="17"/>
          <w:color w:val="auto"/>
        </w:rPr>
        <w:t>”). Aeglea shall be liable for the proportionate amount of such Taxes that is attributable to the Pre-Closing Tax Period, and Immedica shall be liable for the proportionate amount of such Taxes that is attributable to the Post-Closing Tax Period.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(b)Apportioned Obligations shall be timely paid, and all applicable filings, reports and returns shall be filed, as provided by applicable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(c)The paying party of any Transfer Tax or Apportioned Obligation shall be entitled to reimbursement from the non-paying party in accordance with Section 8.3 and Section 8.4(a), respectively. Upon payment of any such Transfer Tax or Apportioned Obligation, the paying party shall present a statement to the non-paying party setting forth the amount of reimbursement to which the paying party is entitled under Section 8.3 and Section 8.4(a), respectively, together with such supporting evidence as is reasonably necessary to calculate the amount to be reimbursed. The non-paying party shall make such reimbursement promptly but in no event later than ten (10) days after the presentation of such statement.</w:t>
      </w:r>
    </w:p>
    <w:p>
      <w:pPr>
        <w:spacing w:after="0" w:line="176"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Withholding</w:t>
      </w:r>
      <w:r>
        <w:rPr>
          <w:rFonts w:ascii="Arial" w:cs="Arial" w:eastAsia="Arial" w:hAnsi="Arial"/>
          <w:sz w:val="16"/>
          <w:szCs w:val="16"/>
          <w:color w:val="auto"/>
        </w:rPr>
        <w:t>. Immedica and its Affiliates shall be entitled to deduct and withhold from any consideration payable hereunder, or other payment otherwise payable pursuant to this Agreement, the amounts required to be deducted and withheld under applicable Law. Immedica shall use commercially reasonable efforts (a) to provide prompt notice to Aeglea if Immedica determines that any payment required to be made by Immedica or any of its Affiliates is subject to any such deduction or withholding, and (b) to cooperate with Aeglea to reduce or eliminate such deduction or withholding. Any amounts so withheld shall be paid over to the appropriate Governmental Authority, and shall be treated for all purposes of this Agreement as having been paid to the applicable Person in respect to which such deduction and withholding was made.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729" w:name="page730"/>
    <w:bookmarkEnd w:id="7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specifically provided to the contrary in this Agreement, all costs and expenses incurred in connection with the negotiation and execution of this Agreement, and the other Instruments, and the consummation of the Transaction shall be paid by the Party incurring such costs and expenses, whether or not the Transaction is consummated.</w:t>
      </w:r>
    </w:p>
    <w:p>
      <w:pPr>
        <w:spacing w:after="0" w:line="18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Legal Proceedings relating to, arising out of or under or in connection with this Agreement and the Transaction, including the negotiation, execution and performance hereunder, shall be governed by, and construed in accordance with, the Laws of the State of New York, regardless of the Laws that might otherwise govern under applicable principles of choice of Law or conflicts of Law rules or provisions thereof to the extent they would result in the application of the Laws of another jurisdiction.</w:t>
      </w:r>
    </w:p>
    <w:p>
      <w:pPr>
        <w:spacing w:after="0" w:line="171"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Aeglea and Immedica acknowledges and agrees that any breach of this Agreement may give rise to irreparable harm for which monetary damages would not be an adequate remedy. Each Party accordingly agrees that, in addition to any other remedies available under applicable Law or this Agreement, each of Immedica and Aeglea shall be entitled to seek enforcement of the terms of this Agreement by decree of specific performance without the necessity of proving the inadequacy of monetary damages as a remedy and to obtain injunctive relief against any breach or threatened breach of this Agreement. Any Party seeking an injunction or injunctions to prevent breaches of this Agreement and to enforce specifically the terms and provisions of this Agreement shall not be required to provide any bond or other security in connection with such order or injunction. The rights and remedies provided for pursuant to this Section 9.3 are cumulative to, and not exclusive of, any rights or remedies otherwise available hereunder.</w:t>
      </w:r>
    </w:p>
    <w:p>
      <w:pPr>
        <w:spacing w:after="0" w:line="178"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Jurisdiction</w:t>
      </w:r>
      <w:r>
        <w:rPr>
          <w:rFonts w:ascii="Arial" w:cs="Arial" w:eastAsia="Arial" w:hAnsi="Arial"/>
          <w:sz w:val="17"/>
          <w:szCs w:val="17"/>
          <w:color w:val="auto"/>
        </w:rPr>
        <w:t>. The Parties agree that any Legal Proceeding seeking to enforce any provision of, or based on any matter arising out of or in connection with, this Agreement or the Transaction shall be brought exclusively in the United States District Court for the Southern District of New York or any New York State court sitting in New York City, Borough of Manhattan, so long as one of such courts shall have subject matter jurisdiction over such Legal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Legal Proceeding and irrevocably waives, to the fullest extent permitted by Law, any objection that it may now or hereafter have to the laying of the venue of any such Legal Proceeding in any such court or that any such Legal Proceeding brought in any such court has been brought in an inconvenient forum. Process in any such Legal Proceeding may be served on any Party anywhere in the world, whether within or without the jurisdiction of any such court. Without limiting the foregoing, each Party agrees that service of process on such party as provided in Section 9.9 shall be deemed effective service of process on such party.</w:t>
      </w:r>
    </w:p>
    <w:p>
      <w:pPr>
        <w:spacing w:after="0" w:line="185"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u w:val="single" w:color="auto"/>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right="280" w:firstLine="991"/>
        <w:spacing w:after="0" w:line="301"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all Exhibits and Schedules hereto) and other documents and instruments delivered pursuant hereto constitute the entire agreement and supersede all prior representations, agreements, understandings and undertakings, both written and oral, between the Parties, with respect to the subject matter hereof, including the License Agreement, and no Party is relying on any prior oral or written representations, agreements, understandings or undertakings with respect to the subject matter hereof and thereof.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730" w:name="page731"/>
    <w:bookmarkEnd w:id="730"/>
    <w:p>
      <w:pPr>
        <w:jc w:val="both"/>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9.7 </w:t>
      </w:r>
      <w:r>
        <w:rPr>
          <w:rFonts w:ascii="Arial" w:cs="Arial" w:eastAsia="Arial" w:hAnsi="Arial"/>
          <w:sz w:val="18"/>
          <w:szCs w:val="18"/>
          <w:u w:val="single" w:color="auto"/>
          <w:color w:val="auto"/>
        </w:rPr>
        <w:t>License Agreement</w:t>
      </w:r>
      <w:r>
        <w:rPr>
          <w:rFonts w:ascii="Arial" w:cs="Arial" w:eastAsia="Arial" w:hAnsi="Arial"/>
          <w:sz w:val="18"/>
          <w:szCs w:val="18"/>
          <w:color w:val="auto"/>
        </w:rPr>
        <w:t>. The Parties hereby agree that, as of Closing, (i) the License Agreement is hereby terminated in full, (ii) no rights or obligations (including any rights or obligations that purport to survive termination of the License Agreement) of either Party under the License Agreement shall survive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Immedica shall remain responsible for the payment of the invoices set forth in Schedule 9.7), and (iii) the License Agreement shall have no further force or effect. For clarity, nothing in this Section 9.7 will be construed to limit or modify a Party’s rights or obligations pursuant to this Agreement or any other Instrument.</w:t>
      </w:r>
    </w:p>
    <w:p>
      <w:pPr>
        <w:spacing w:after="0" w:line="188" w:lineRule="exact"/>
        <w:rPr>
          <w:sz w:val="20"/>
          <w:szCs w:val="20"/>
          <w:color w:val="auto"/>
        </w:rPr>
      </w:pPr>
    </w:p>
    <w:p>
      <w:pPr>
        <w:ind w:firstLine="987"/>
        <w:spacing w:after="0" w:line="254" w:lineRule="auto"/>
        <w:tabs>
          <w:tab w:leader="none" w:pos="1236" w:val="left"/>
        </w:tabs>
        <w:numPr>
          <w:ilvl w:val="0"/>
          <w:numId w:val="723"/>
        </w:numPr>
        <w:rPr>
          <w:rFonts w:ascii="Arial" w:cs="Arial" w:eastAsia="Arial" w:hAnsi="Arial"/>
          <w:sz w:val="18"/>
          <w:szCs w:val="18"/>
          <w:color w:val="auto"/>
        </w:rPr>
      </w:pPr>
      <w:r>
        <w:rPr>
          <w:rFonts w:ascii="Arial" w:cs="Arial" w:eastAsia="Arial" w:hAnsi="Arial"/>
          <w:sz w:val="18"/>
          <w:szCs w:val="18"/>
          <w:color w:val="auto"/>
        </w:rPr>
        <w:t>Aeglea, on behalf of itself, its Affiliates and its and their current and former officers, employees, stockholders, agents, representatives, attorneys, successors and assigns (collectively, the “</w:t>
      </w:r>
      <w:r>
        <w:rPr>
          <w:rFonts w:ascii="Arial" w:cs="Arial" w:eastAsia="Arial" w:hAnsi="Arial"/>
          <w:sz w:val="18"/>
          <w:szCs w:val="18"/>
          <w:u w:val="single" w:color="auto"/>
          <w:color w:val="auto"/>
        </w:rPr>
        <w:t>Aeglea Releasing Parties</w:t>
      </w:r>
      <w:r>
        <w:rPr>
          <w:rFonts w:ascii="Arial" w:cs="Arial" w:eastAsia="Arial" w:hAnsi="Arial"/>
          <w:sz w:val="18"/>
          <w:szCs w:val="18"/>
          <w:color w:val="auto"/>
        </w:rPr>
        <w:t>”), hereby irrevocably and unconditionally releases and forever discharges Immedica and its Affiliates and their current and former officers, directors, stockholders, employees, agents, representatives and attorneys (collectively, the “</w:t>
      </w:r>
      <w:r>
        <w:rPr>
          <w:rFonts w:ascii="Arial" w:cs="Arial" w:eastAsia="Arial" w:hAnsi="Arial"/>
          <w:sz w:val="18"/>
          <w:szCs w:val="18"/>
          <w:u w:val="single" w:color="auto"/>
          <w:color w:val="auto"/>
        </w:rPr>
        <w:t>Immedica Releasees</w:t>
      </w:r>
      <w:r>
        <w:rPr>
          <w:rFonts w:ascii="Arial" w:cs="Arial" w:eastAsia="Arial" w:hAnsi="Arial"/>
          <w:sz w:val="18"/>
          <w:szCs w:val="18"/>
          <w:color w:val="auto"/>
        </w:rPr>
        <w:t>”), or any of them, from any and all Losses of any nature whatsoever, known or unknown, liquidated or unliquidated, suspected or unsuspected, fixed or contingent, in law or in equity, arising under or in connection with the License Agreement that the Aeglea Releasing Parties now have, own or hold, or at any time heretofore ever had, owned or held or could have had, owned or held against the Immedica Releasees, except for the payment of the invoices set forth in Schedule 9.7 and for any and all Losses arising from intentional fraud or willful misconduct of the Immedica Releasees.</w:t>
      </w:r>
    </w:p>
    <w:p>
      <w:pPr>
        <w:spacing w:after="0" w:line="191" w:lineRule="exact"/>
        <w:rPr>
          <w:rFonts w:ascii="Arial" w:cs="Arial" w:eastAsia="Arial" w:hAnsi="Arial"/>
          <w:sz w:val="18"/>
          <w:szCs w:val="18"/>
          <w:color w:val="auto"/>
        </w:rPr>
      </w:pPr>
    </w:p>
    <w:p>
      <w:pPr>
        <w:ind w:right="80" w:firstLine="987"/>
        <w:spacing w:after="0" w:line="291" w:lineRule="auto"/>
        <w:tabs>
          <w:tab w:leader="none" w:pos="1246" w:val="left"/>
        </w:tabs>
        <w:numPr>
          <w:ilvl w:val="0"/>
          <w:numId w:val="723"/>
        </w:numPr>
        <w:rPr>
          <w:rFonts w:ascii="Arial" w:cs="Arial" w:eastAsia="Arial" w:hAnsi="Arial"/>
          <w:sz w:val="16"/>
          <w:szCs w:val="16"/>
          <w:color w:val="auto"/>
        </w:rPr>
      </w:pPr>
      <w:r>
        <w:rPr>
          <w:rFonts w:ascii="Arial" w:cs="Arial" w:eastAsia="Arial" w:hAnsi="Arial"/>
          <w:sz w:val="16"/>
          <w:szCs w:val="16"/>
          <w:color w:val="auto"/>
        </w:rPr>
        <w:t>Immedica, on behalf of itself, its Affiliates and its and their current and former officers, employees, stockholders, agents, representatives, attorneys, successors and assigns (collectively, the “</w:t>
      </w:r>
      <w:r>
        <w:rPr>
          <w:rFonts w:ascii="Arial" w:cs="Arial" w:eastAsia="Arial" w:hAnsi="Arial"/>
          <w:sz w:val="16"/>
          <w:szCs w:val="16"/>
          <w:u w:val="single" w:color="auto"/>
          <w:color w:val="auto"/>
        </w:rPr>
        <w:t>Immedica Releasing Parties</w:t>
      </w:r>
      <w:r>
        <w:rPr>
          <w:rFonts w:ascii="Arial" w:cs="Arial" w:eastAsia="Arial" w:hAnsi="Arial"/>
          <w:sz w:val="16"/>
          <w:szCs w:val="16"/>
          <w:color w:val="auto"/>
        </w:rPr>
        <w:t>”), hereby irrevocably and unconditionally releases and forever discharges Aeglea and its Affiliates and their current and former officers, directors, stockholders, employees, agents, representatives and attorneys (collectively, the “</w:t>
      </w:r>
      <w:r>
        <w:rPr>
          <w:rFonts w:ascii="Arial" w:cs="Arial" w:eastAsia="Arial" w:hAnsi="Arial"/>
          <w:sz w:val="16"/>
          <w:szCs w:val="16"/>
          <w:u w:val="single" w:color="auto"/>
          <w:color w:val="auto"/>
        </w:rPr>
        <w:t>Aeglea Releasees</w:t>
      </w:r>
      <w:r>
        <w:rPr>
          <w:rFonts w:ascii="Arial" w:cs="Arial" w:eastAsia="Arial" w:hAnsi="Arial"/>
          <w:sz w:val="16"/>
          <w:szCs w:val="16"/>
          <w:color w:val="auto"/>
        </w:rPr>
        <w:t>”), or any of them, from any and all Losses of any nature whatsoever, known or unknown, liquidated or unliquidated, suspected or unsuspected, fixed or contingent, in law or in equity, arising under or in connection with the License Agreement that the Immedica Releasing Parties now have, own or hold, or at any time heretofore ever had, owned or held or could have had, owned or held against the Aeglea Releasees, except for any and all Losses arising from intentional fraud or willful misconduct by the Aeglea Releasees.</w:t>
      </w:r>
    </w:p>
    <w:p>
      <w:pPr>
        <w:spacing w:after="0" w:line="166"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This Agreement can be amended, supplemented or changed, and any provision hereof can be waived, only by written instrument making specific reference to this Agreement signed by the Party against whom enforcement of any such amendment, supplement, modification or waiver is sought.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16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which are required or permitted hereunder shall be in writing and sufficient if delivered personally or sent by nationally recognized overnight courier or by registered or certified mail, postage prepaid, return receipt requested, or by email, as follows: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731" w:name="page732"/>
    <w:bookmarkEnd w:id="7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Aeglea,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17, Suite 102B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 02453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Jonathan Alspaugh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by email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Aeglea BioTherapeutics,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bd@aeglea.com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Immedica,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Immedica Pharma 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Solnavägen 3H, 116 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Stockholm, 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corporate@immedica.com; legal@immedica.com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Chudd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william.chudd@davispolk.com</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or to such other address as the Party to whom notice is to be given may have furnished to the other Party in writing in accordance herewith. All such notices and other communications required or permitted by this Agreement shall be deemed to have been duly given (a) if sent to a recipient at the proper address as determined pursuant to this Section 9.9, by registered or certified mail, return receipt requested, five calendar days after being deposited in the United States mail, postage prepaid; (b) if sent by Express Mail, Federal Express or similar reputable overnight delivery service that maintains records of receipt for next Business Day delivery, the next Business Day after being entrusted to such service, with delivery charges prepaid or charged to the sender’s account; (c) if sent by email, on the date of transmission with electronic confirmation of transmission; and (d) if delivered by hand, on the date of delivery.</w:t>
      </w:r>
    </w:p>
    <w:p>
      <w:pPr>
        <w:spacing w:after="0" w:line="195"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held by a court of competent jurisdiction or other Governmental Authority to be invalid, illegal or incapable of being enforced under any applicable Law or public policy, all other terms or provisions of this Agreement shall nevertheless remain in full force and effect so long as the economic or legal substance of the Transaction is not affected in any manner materially adverse to any Party. Upon such determination that any term or other provision is invalid, illegal or incapable of being enforced, the Parties shall negotiate in good faith to modify this Agreement so as to affect the original intent of the Parties as closely as possible in an acceptable manner in order that the Transaction is consummated as originally contemplated to the greatest extent possible.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732" w:name="page733"/>
    <w:bookmarkEnd w:id="732"/>
    <w:p>
      <w:pPr>
        <w:ind w:left="4"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9.11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Nothing in this Agreement shall create or be deemed to create any third-party beneficiary rights in any Person that is not a Party (or its permitted successors and assigns) except with respect to indemnification as contemplated by Section 7.2 and Section 7.3.</w:t>
      </w:r>
    </w:p>
    <w:p>
      <w:pPr>
        <w:spacing w:after="0" w:line="184"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Bulk Sales Laws</w:t>
      </w:r>
      <w:r>
        <w:rPr>
          <w:rFonts w:ascii="Arial" w:cs="Arial" w:eastAsia="Arial" w:hAnsi="Arial"/>
          <w:sz w:val="18"/>
          <w:szCs w:val="18"/>
          <w:color w:val="auto"/>
        </w:rPr>
        <w:t>. Immedica and Aeglea each hereby waive compliance by Aeglea with the provisions of the “bulk sales,” “bulk transfer” or similar laws of any state. Aeglea agrees to indemnify and hold the Immedica Indemnified Parties harmless against any and all Losses (including any Taxes) incurred or suffered by any Immedica Indemnified Party as a result of any failure to comply with any such “bulk sales,” “bulk transfer” or similar laws.</w:t>
      </w:r>
    </w:p>
    <w:p>
      <w:pPr>
        <w:spacing w:after="0" w:line="187"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The provisions of this Agreement shall be binding upon and inure to the benefit of the Parties and their respective successors and permitted assigns. No Party may assign or transfer this Agreement or any rights or obligations hereunder, directly or indirectly (by operation of Law or otherwise), without the prior written approval of the other Parties and any attempted assignment without such required approval shall be null, void and of no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Aeglea may assign its rights, interests, and obligations hereunder to an Affiliate of Aeglea or to any successor in interest (whether by merger, acquisition, asset purchase or otherwise) to all or substantially all of its business, in each case without Immedica’s prior written approval, and (b) Immedica may assign its rights, interests, and obligations hereunder (in whole and not in part) to a wholly owned Affiliate of Immedica without Aeglea’ prior written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assignment or designation pursuant to the foregoing clause</w:t>
      </w:r>
    </w:p>
    <w:p>
      <w:pPr>
        <w:spacing w:after="0" w:line="2" w:lineRule="exact"/>
        <w:rPr>
          <w:sz w:val="20"/>
          <w:szCs w:val="20"/>
          <w:color w:val="auto"/>
        </w:rPr>
      </w:pPr>
    </w:p>
    <w:p>
      <w:pPr>
        <w:ind w:left="4" w:right="120" w:hanging="4"/>
        <w:spacing w:after="0" w:line="323" w:lineRule="auto"/>
        <w:tabs>
          <w:tab w:leader="none" w:pos="249" w:val="left"/>
        </w:tabs>
        <w:numPr>
          <w:ilvl w:val="0"/>
          <w:numId w:val="724"/>
        </w:numPr>
        <w:rPr>
          <w:rFonts w:ascii="Arial" w:cs="Arial" w:eastAsia="Arial" w:hAnsi="Arial"/>
          <w:sz w:val="16"/>
          <w:szCs w:val="16"/>
          <w:color w:val="auto"/>
        </w:rPr>
      </w:pPr>
      <w:r>
        <w:rPr>
          <w:rFonts w:ascii="Arial" w:cs="Arial" w:eastAsia="Arial" w:hAnsi="Arial"/>
          <w:sz w:val="16"/>
          <w:szCs w:val="16"/>
          <w:color w:val="auto"/>
        </w:rPr>
        <w:t>or (b) shall not relieve the assigning Party of any of its obligations hereunder or otherwise adversely affect the other Party or any of its Affiliates. Upon any permitted assignment, the references in this Agreement to a Party shall also apply to any such assignee unless the context otherwise requires.</w:t>
      </w:r>
    </w:p>
    <w:p>
      <w:pPr>
        <w:spacing w:after="0" w:line="138"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Neutral Construction</w:t>
      </w:r>
      <w:r>
        <w:rPr>
          <w:rFonts w:ascii="Arial" w:cs="Arial" w:eastAsia="Arial" w:hAnsi="Arial"/>
          <w:sz w:val="17"/>
          <w:szCs w:val="17"/>
          <w:color w:val="auto"/>
        </w:rPr>
        <w:t>.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65"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and delivered in one or more counterparts, and by the different Parties in separate counterparts, each of which when executed and delivered shall be deemed to be an original but all of which taken together shall constitute one and the same agreement, with the same effect as if the signatures thereto were upon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Each of the Parties represents that it has undertaken commercially reasonable steps to verify the identity of each individual person executing any such counterparts via electronic signature on behalf of such Party and has and will maintain sufficient records of the same. This Agreement shall become effective when each Party shall have received a counterpart hereof signed by all of the other Parties. Until and unless each Party has received a counterpart hereof signed by each other Party, this Agreement shall have no effect and no Party shall have any right or obligation hereunder (whether by virtue of any other oral or written agreement or other communication).</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733" w:name="page734"/>
    <w:bookmarkEnd w:id="733"/>
    <w:p>
      <w:pPr>
        <w:ind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have caused this Agreement to be executed by their respective officers thereunto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IMMEDICA PHARMA AB</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Asset Purchase Agreement</w:t>
      </w: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734" w:name="page735"/>
    <w:bookmarkEnd w:id="734"/>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 Interpretations</w:t>
      </w:r>
    </w:p>
    <w:p>
      <w:pPr>
        <w:spacing w:after="0" w:line="229" w:lineRule="exact"/>
        <w:rPr>
          <w:sz w:val="20"/>
          <w:szCs w:val="20"/>
          <w:color w:val="auto"/>
        </w:rPr>
      </w:pPr>
    </w:p>
    <w:p>
      <w:pPr>
        <w:ind w:right="160" w:firstLine="987"/>
        <w:spacing w:after="0" w:line="263" w:lineRule="auto"/>
        <w:tabs>
          <w:tab w:leader="none" w:pos="1236" w:val="left"/>
        </w:tabs>
        <w:numPr>
          <w:ilvl w:val="0"/>
          <w:numId w:val="725"/>
        </w:numPr>
        <w:rPr>
          <w:rFonts w:ascii="Arial" w:cs="Arial" w:eastAsia="Arial" w:hAnsi="Arial"/>
          <w:sz w:val="18"/>
          <w:szCs w:val="18"/>
          <w:color w:val="auto"/>
        </w:rPr>
      </w:pPr>
      <w:r>
        <w:rPr>
          <w:rFonts w:ascii="Arial" w:cs="Arial" w:eastAsia="Arial" w:hAnsi="Arial"/>
          <w:sz w:val="18"/>
          <w:szCs w:val="18"/>
          <w:color w:val="auto"/>
        </w:rPr>
        <w:t xml:space="preserve">For purposes of this Agreement, the following terms shall have the meanings specified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terms defined in Schedule 1.2 shall have the meanings specified in such Schedule. Further, those additional capitalized terms not defined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Schedule 1.2 shall have the meaning as set forth in the Agreement.</w:t>
      </w:r>
    </w:p>
    <w:p>
      <w:pPr>
        <w:spacing w:after="0" w:line="18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ADA Assays</w:t>
      </w:r>
      <w:r>
        <w:rPr>
          <w:rFonts w:ascii="Arial" w:cs="Arial" w:eastAsia="Arial" w:hAnsi="Arial"/>
          <w:sz w:val="18"/>
          <w:szCs w:val="18"/>
          <w:color w:val="auto"/>
        </w:rPr>
        <w:t>” means the assays used in connection with the Program for anti-drug antibody testing developed pursuant to that certain Master Services Agreement by and between Aeglea and BioAgilytix Labs, LLC, dated as of October 16, 2015.</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Person, any other Person that controls, is controlled by, or is under common control with such Person. For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correlative meanings.</w:t>
      </w:r>
    </w:p>
    <w:p>
      <w:pPr>
        <w:spacing w:after="0" w:line="187"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Contracts</w:t>
      </w:r>
      <w:r>
        <w:rPr>
          <w:rFonts w:ascii="Arial" w:cs="Arial" w:eastAsia="Arial" w:hAnsi="Arial"/>
          <w:sz w:val="18"/>
          <w:szCs w:val="18"/>
          <w:color w:val="auto"/>
        </w:rPr>
        <w:t>” means the Contracts set forth on Schedule 2.1(b)(ii), including all amendments and supplements thereto and all Statements of Work and Purchase Orders thereunder.</w:t>
      </w:r>
    </w:p>
    <w:p>
      <w:pPr>
        <w:spacing w:after="0" w:line="170"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Intellectual Property</w:t>
      </w:r>
      <w:r>
        <w:rPr>
          <w:rFonts w:ascii="Arial" w:cs="Arial" w:eastAsia="Arial" w:hAnsi="Arial"/>
          <w:sz w:val="18"/>
          <w:szCs w:val="18"/>
          <w:color w:val="auto"/>
        </w:rPr>
        <w:t>” means, any and all Intellectual Property that is owned by Aeglea or any of its Subsidiaries and used or held for use in, or otherwise related to, the conduct of the Program or any Exploitation of the Product as of the Closing, including the Intellectual Property listed on Schedule 2.1(b)(i)(A), but excluding the ADA Assays.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Patents</w:t>
      </w:r>
      <w:r>
        <w:rPr>
          <w:rFonts w:ascii="Arial" w:cs="Arial" w:eastAsia="Arial" w:hAnsi="Arial"/>
          <w:sz w:val="18"/>
          <w:szCs w:val="18"/>
          <w:color w:val="auto"/>
        </w:rPr>
        <w:t>” means any and all Patents included in the Assigned Intellectual Property.</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Biological Materials</w:t>
      </w:r>
      <w:r>
        <w:rPr>
          <w:rFonts w:ascii="Arial" w:cs="Arial" w:eastAsia="Arial" w:hAnsi="Arial"/>
          <w:sz w:val="18"/>
          <w:szCs w:val="18"/>
          <w:color w:val="auto"/>
        </w:rPr>
        <w:t>” means any biological substances and materials, including any tissues, cells, cell lines, organisms, blood samples, genetic material, antibodies, and plasmids, in each case relating exclusively to the Product or held for exclusive use in the Program. For the sake of clarity, human tissue samples taken from a human patient in the context of a Clinical Study with respect to a Product or a Program do not relate exclusively to such Product or such Program.</w:t>
      </w:r>
    </w:p>
    <w:p>
      <w:pPr>
        <w:spacing w:after="0" w:line="18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Bayh Dole Act”</w:t>
      </w:r>
      <w:r>
        <w:rPr>
          <w:rFonts w:ascii="Arial" w:cs="Arial" w:eastAsia="Arial" w:hAnsi="Arial"/>
          <w:sz w:val="18"/>
          <w:szCs w:val="18"/>
          <w:color w:val="auto"/>
        </w:rPr>
        <w:t xml:space="preserve"> means the Bayh-Dole Act, 35 U.S.C. § 200-211 together with all regulations implementing the same, including 37 CFR 401, as each may be amended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BLA</w:t>
      </w:r>
      <w:r>
        <w:rPr>
          <w:rFonts w:ascii="Arial" w:cs="Arial" w:eastAsia="Arial" w:hAnsi="Arial"/>
          <w:sz w:val="16"/>
          <w:szCs w:val="16"/>
          <w:color w:val="auto"/>
        </w:rPr>
        <w:t>” means a Biologics License Application (as defined in 21 C.F.R. 600 et. seq.) filed with the FDA, and any amendments thereto.</w:t>
      </w:r>
    </w:p>
    <w:p>
      <w:pPr>
        <w:spacing w:after="0" w:line="24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of the year on which national banking institutions in New York, U.S. and Stockholm, Sweden are open to the public for conducting business and are not required or authorized by applicable Law to close.</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Clinical Study</w:t>
      </w:r>
      <w:r>
        <w:rPr>
          <w:rFonts w:ascii="Arial" w:cs="Arial" w:eastAsia="Arial" w:hAnsi="Arial"/>
          <w:sz w:val="18"/>
          <w:szCs w:val="18"/>
          <w:color w:val="auto"/>
        </w:rPr>
        <w:t>” means any investigation in human subjects intended to determine the clinical pharmacological, pharmacokinetic, and/or other pharmacodynamic effects of an investigational agent, and/or to identify any adverse reactions to an investigational agent to assess the agent’s safety and efficacy.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20"/>
          </w:cols>
          <w:pgMar w:left="440" w:top="270" w:right="539" w:bottom="1440" w:gutter="0" w:footer="0" w:header="0"/>
        </w:sectPr>
      </w:pPr>
    </w:p>
    <w:bookmarkStart w:id="735" w:name="page736"/>
    <w:bookmarkEnd w:id="73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or oral agreement, contract, indenture, note, mortgage, loan, instrument, license, guarantee, bond, lease, commitment, understanding or undertaking.</w:t>
      </w:r>
    </w:p>
    <w:p>
      <w:pPr>
        <w:spacing w:after="0" w:line="170"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CPRIT Technology</w:t>
      </w:r>
      <w:r>
        <w:rPr>
          <w:rFonts w:ascii="Arial" w:cs="Arial" w:eastAsia="Arial" w:hAnsi="Arial"/>
          <w:sz w:val="16"/>
          <w:szCs w:val="16"/>
          <w:color w:val="auto"/>
        </w:rPr>
        <w:t>” means (i) all Patents set forth on Schedule 2.1(b)(i)(C) and (ii) any and all data generated pursuant to that certain Cancer Research Grant Contract between AERase, Inc. and Cancer Prevention and Research Institute of Texas dated as of June 1, 2014.</w:t>
      </w:r>
    </w:p>
    <w:p>
      <w:pPr>
        <w:spacing w:after="0" w:line="12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xml:space="preserve">” means all files, documents (including all documents related to past or present preclinical and clinical trials, nonclinical studies and stability studies, in each case in both raw data and processed data (i.e., JMP file) form), instruments, papers, books, reports (including clinical, preclinical and nonclinical reports, and all data sets associated with such reports), records, budgets, forecasts, ledgers, journals, supplier lists, customer data, operating data and plans (including all launch preparation documentation), technical documentation, and other similar materials, and specifically including the label components with respect to the Product, the safety database for the Product (including all source data, related correspondence with the FDA and any similar information), all information, reports, records, data or materials relating to quality assurance matters with respect to the Product, in each case whether in hard copy or electronic format; </w:t>
      </w:r>
      <w:r>
        <w:rPr>
          <w:rFonts w:ascii="Arial" w:cs="Arial" w:eastAsia="Arial" w:hAnsi="Arial"/>
          <w:sz w:val="18"/>
          <w:szCs w:val="18"/>
          <w:u w:val="single" w:color="auto"/>
          <w:color w:val="auto"/>
        </w:rPr>
        <w:t>provided</w:t>
      </w:r>
      <w:r>
        <w:rPr>
          <w:rFonts w:ascii="Arial" w:cs="Arial" w:eastAsia="Arial" w:hAnsi="Arial"/>
          <w:sz w:val="18"/>
          <w:szCs w:val="18"/>
          <w:color w:val="auto"/>
        </w:rPr>
        <w:t>, that “Documents” does not include Product Registrations or Permits.</w:t>
      </w:r>
    </w:p>
    <w:p>
      <w:pPr>
        <w:spacing w:after="0" w:line="192"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Law relating to the protection of the environment or the handling, treatment, storage, disposal or release of hazardous substances, wastes or materials.</w:t>
      </w:r>
    </w:p>
    <w:p>
      <w:pPr>
        <w:spacing w:after="0" w:line="170"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means any and all expenses, costs, claims, demands, assessments, judgments, penalties and fees (including reasonable attorneys’ and other professionals’ fees and disbursements).</w:t>
      </w:r>
    </w:p>
    <w:p>
      <w:pPr>
        <w:spacing w:after="0" w:line="170"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Exploit</w:t>
      </w:r>
      <w:r>
        <w:rPr>
          <w:rFonts w:ascii="Arial" w:cs="Arial" w:eastAsia="Arial" w:hAnsi="Arial"/>
          <w:sz w:val="18"/>
          <w:szCs w:val="18"/>
          <w:color w:val="auto"/>
        </w:rPr>
        <w:t>” means to research, have researched, develop, have developed, use, have used, make, have made, sell, have sold, offer for sale, have offered for sale, commercialize, have commercialized, import, have imported, export, have exported, register, have registered, and otherwise exploit or have exploited. “</w:t>
      </w:r>
      <w:r>
        <w:rPr>
          <w:rFonts w:ascii="Arial" w:cs="Arial" w:eastAsia="Arial" w:hAnsi="Arial"/>
          <w:sz w:val="18"/>
          <w:szCs w:val="18"/>
          <w:u w:val="single" w:color="auto"/>
          <w:color w:val="auto"/>
        </w:rPr>
        <w:t>Exploitation</w:t>
      </w:r>
      <w:r>
        <w:rPr>
          <w:rFonts w:ascii="Arial" w:cs="Arial" w:eastAsia="Arial" w:hAnsi="Arial"/>
          <w:sz w:val="18"/>
          <w:szCs w:val="18"/>
          <w:color w:val="auto"/>
        </w:rPr>
        <w:t>” has a correlative meaning.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FD&amp;C Act</w:t>
      </w:r>
      <w:r>
        <w:rPr>
          <w:rFonts w:ascii="Arial" w:cs="Arial" w:eastAsia="Arial" w:hAnsi="Arial"/>
          <w:sz w:val="16"/>
          <w:szCs w:val="16"/>
          <w:color w:val="auto"/>
        </w:rPr>
        <w:t>” means the United States Federal Food, Drug, and Cosmetic Act, as amended, and the rules and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any successor agency thereto.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Fuji Credit</w:t>
      </w:r>
      <w:r>
        <w:rPr>
          <w:rFonts w:ascii="Arial" w:cs="Arial" w:eastAsia="Arial" w:hAnsi="Arial"/>
          <w:sz w:val="18"/>
          <w:szCs w:val="18"/>
          <w:color w:val="auto"/>
        </w:rPr>
        <w:t>” means [*] to be paid by Aeglea to Fujifilm pursuant to the Fuji Scope of Work for services not yet rendered.</w:t>
      </w:r>
    </w:p>
    <w:p>
      <w:pPr>
        <w:spacing w:after="0" w:line="225" w:lineRule="exact"/>
        <w:rPr>
          <w:sz w:val="20"/>
          <w:szCs w:val="20"/>
          <w:color w:val="auto"/>
        </w:rPr>
      </w:pPr>
    </w:p>
    <w:p>
      <w:pPr>
        <w:ind w:right="5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Fuji Scope of Work</w:t>
      </w:r>
      <w:r>
        <w:rPr>
          <w:rFonts w:ascii="Arial" w:cs="Arial" w:eastAsia="Arial" w:hAnsi="Arial"/>
          <w:sz w:val="17"/>
          <w:szCs w:val="17"/>
          <w:color w:val="auto"/>
        </w:rPr>
        <w:t>” means that certain Scope of Work 7 entitled “Manufacturing Pre-Production, cGMP Production, Testing and Disposition for AEB1101,” with Program Reference R2841.03, by and between Fujifilm and Aeglea dated as of November 27, 2022.</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Fujifilm</w:t>
      </w:r>
      <w:r>
        <w:rPr>
          <w:rFonts w:ascii="Arial" w:cs="Arial" w:eastAsia="Arial" w:hAnsi="Arial"/>
          <w:sz w:val="18"/>
          <w:szCs w:val="18"/>
          <w:color w:val="auto"/>
        </w:rPr>
        <w:t>” means Fujifilm Diosynth Biotechnologies U.S.A., Inc.</w:t>
      </w:r>
    </w:p>
    <w:p>
      <w:pPr>
        <w:spacing w:after="0" w:line="225"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nation or government or governmental or regulatory body thereof, or political subdivision thereof, whether federal, state, local or foreign, or any agency, instrumentality or authority thereof, or any court or arbitrator (public or private) or any other entity exercising executive, judicial, legislative, regulatory or administrative functions of or pertaining to regulation or to government.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60"/>
          </w:cols>
          <w:pgMar w:left="440" w:top="274" w:right="499" w:bottom="1440" w:gutter="0" w:footer="0" w:header="0"/>
        </w:sectPr>
      </w:pPr>
    </w:p>
    <w:bookmarkStart w:id="736" w:name="page737"/>
    <w:bookmarkEnd w:id="736"/>
    <w:p>
      <w:pPr>
        <w:ind w:left="4"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submitted under Section 505(i) of the FD&amp;C Act, or an analogous application or submission with any analogous agency or Regulatory Authority outside of the United States for the purposes of obtaining permission to conduct clinical trials.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any amount owed by Aeglea or any of its Subsidiaries (including (i) unpaid principal, (ii) unpaid interest,</w:t>
      </w:r>
    </w:p>
    <w:p>
      <w:pPr>
        <w:spacing w:after="0" w:line="35" w:lineRule="exact"/>
        <w:rPr>
          <w:sz w:val="20"/>
          <w:szCs w:val="20"/>
          <w:color w:val="auto"/>
        </w:rPr>
      </w:pPr>
    </w:p>
    <w:p>
      <w:pPr>
        <w:ind w:left="4" w:right="40" w:hanging="4"/>
        <w:spacing w:after="0" w:line="251" w:lineRule="auto"/>
        <w:tabs>
          <w:tab w:leader="none" w:pos="319" w:val="left"/>
        </w:tabs>
        <w:numPr>
          <w:ilvl w:val="0"/>
          <w:numId w:val="726"/>
        </w:numPr>
        <w:rPr>
          <w:rFonts w:ascii="Arial" w:cs="Arial" w:eastAsia="Arial" w:hAnsi="Arial"/>
          <w:sz w:val="18"/>
          <w:szCs w:val="18"/>
          <w:color w:val="auto"/>
        </w:rPr>
      </w:pPr>
      <w:r>
        <w:rPr>
          <w:rFonts w:ascii="Arial" w:cs="Arial" w:eastAsia="Arial" w:hAnsi="Arial"/>
          <w:sz w:val="18"/>
          <w:szCs w:val="18"/>
          <w:color w:val="auto"/>
        </w:rPr>
        <w:t>premium thereon (including make-whole premiums) and (iv) prepayment penalties, breakage costs, fees, expenses or similar charges arising as a result of the discharge of such amount owed), without duplication, in respect of: (a) obligations of Aeglea or any of its Subsidiaries for borrowed money (including the current portion thereof) and related accrued interest payable in respect of such borrowed money, (b) obligations of Aeglea or any of its Subsidiaries evidenced by bonds, notes, debentures or other similar instruments (including a purchase money obligation), (c) all reimbursement obligations of Aeglea or any of its Subsidiaries relating to letters of credit, bankers’ acceptances, surety, performance bonds or other bonds or similar instruments to the extent called, drawn or otherwise due, (d) capitalized lease obligations of Aeglea or any of its Subsidiaries (including the current portion thereof) and related accrued interest payable in respect of such obligations, (e) all guarantees, including guarantees of any items set forth in clauses (a) through (d) and (f) obligations of Aeglea or any of its Subsidiaries that are secured in whole or in part by the assets of Aeglea or any of its Subsidiaries.</w:t>
      </w:r>
    </w:p>
    <w:p>
      <w:pPr>
        <w:spacing w:after="0" w:line="19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Claim</w:t>
      </w:r>
      <w:r>
        <w:rPr>
          <w:rFonts w:ascii="Arial" w:cs="Arial" w:eastAsia="Arial" w:hAnsi="Arial"/>
          <w:sz w:val="18"/>
          <w:szCs w:val="18"/>
          <w:color w:val="auto"/>
        </w:rPr>
        <w:t>” means any claim in respect of which payment may be sought under Article VII of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intellectual property rights or similar proprietary rights throughout the world, including all</w:t>
      </w:r>
    </w:p>
    <w:p>
      <w:pPr>
        <w:spacing w:after="0" w:line="35" w:lineRule="exact"/>
        <w:rPr>
          <w:sz w:val="20"/>
          <w:szCs w:val="20"/>
          <w:color w:val="auto"/>
        </w:rPr>
      </w:pPr>
    </w:p>
    <w:p>
      <w:pPr>
        <w:ind w:left="4" w:hanging="4"/>
        <w:spacing w:after="0" w:line="253" w:lineRule="auto"/>
        <w:tabs>
          <w:tab w:leader="none" w:pos="219" w:val="left"/>
        </w:tabs>
        <w:numPr>
          <w:ilvl w:val="0"/>
          <w:numId w:val="727"/>
        </w:numPr>
        <w:rPr>
          <w:rFonts w:ascii="Arial" w:cs="Arial" w:eastAsia="Arial" w:hAnsi="Arial"/>
          <w:sz w:val="18"/>
          <w:szCs w:val="18"/>
          <w:color w:val="auto"/>
        </w:rPr>
      </w:pPr>
      <w:r>
        <w:rPr>
          <w:rFonts w:ascii="Arial" w:cs="Arial" w:eastAsia="Arial" w:hAnsi="Arial"/>
          <w:sz w:val="18"/>
          <w:szCs w:val="18"/>
          <w:color w:val="auto"/>
        </w:rPr>
        <w:t>Patents, (ii) Trademarks, (iii) copyrights and moral rights, including registrations or applications for registrations thereof and all renewals, extensions, restorations and reversions of the foregoing (“</w:t>
      </w:r>
      <w:r>
        <w:rPr>
          <w:rFonts w:ascii="Arial" w:cs="Arial" w:eastAsia="Arial" w:hAnsi="Arial"/>
          <w:sz w:val="18"/>
          <w:szCs w:val="18"/>
          <w:u w:val="single" w:color="auto"/>
          <w:color w:val="auto"/>
        </w:rPr>
        <w:t>Copyrights</w:t>
      </w:r>
      <w:r>
        <w:rPr>
          <w:rFonts w:ascii="Arial" w:cs="Arial" w:eastAsia="Arial" w:hAnsi="Arial"/>
          <w:sz w:val="18"/>
          <w:szCs w:val="18"/>
          <w:color w:val="auto"/>
        </w:rPr>
        <w:t>”), (iv) Know-How, (v) database rights, industrial designs, industrial property rights, publicity rights and privacy rights and (vi) rights to assert, claim or sue and collect damages for the past, present or future infringement, misappropriation or other violation of any of the foregoing.</w:t>
      </w:r>
    </w:p>
    <w:p>
      <w:pPr>
        <w:spacing w:after="0" w:line="193" w:lineRule="exact"/>
        <w:rPr>
          <w:sz w:val="20"/>
          <w:szCs w:val="20"/>
          <w:color w:val="auto"/>
        </w:rPr>
      </w:pPr>
    </w:p>
    <w:p>
      <w:pPr>
        <w:ind w:left="4" w:right="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Inventory</w:t>
      </w:r>
      <w:r>
        <w:rPr>
          <w:rFonts w:ascii="Arial" w:cs="Arial" w:eastAsia="Arial" w:hAnsi="Arial"/>
          <w:sz w:val="16"/>
          <w:szCs w:val="16"/>
          <w:color w:val="auto"/>
        </w:rPr>
        <w:t>” means all inventory of the Product owned by Aeglea or its Subsidiaries as of the Closing Date, wherever located, including all finished goods, work in process, raw materials, cell banks, vials and other reagents, starting materials, and intermediates from the synthesis of Product.</w:t>
      </w:r>
    </w:p>
    <w:p>
      <w:pPr>
        <w:spacing w:after="0" w:line="124" w:lineRule="exact"/>
        <w:rPr>
          <w:sz w:val="20"/>
          <w:szCs w:val="20"/>
          <w:color w:val="auto"/>
        </w:rPr>
      </w:pPr>
    </w:p>
    <w:p>
      <w:pPr>
        <w:ind w:left="4"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 Specifications</w:t>
      </w:r>
      <w:r>
        <w:rPr>
          <w:rFonts w:ascii="Arial" w:cs="Arial" w:eastAsia="Arial" w:hAnsi="Arial"/>
          <w:sz w:val="18"/>
          <w:szCs w:val="18"/>
          <w:color w:val="auto"/>
        </w:rPr>
        <w:t>” means the applicable specifications and standards set forth in the Marketing Authorization Application (EMEA/H/C/005484) submitted by Immedica to the European Medicines Agency with respect to the Product.</w:t>
      </w:r>
    </w:p>
    <w:p>
      <w:pPr>
        <w:spacing w:after="0" w:line="170"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Assignment Agreement</w:t>
      </w:r>
      <w:r>
        <w:rPr>
          <w:rFonts w:ascii="Arial" w:cs="Arial" w:eastAsia="Arial" w:hAnsi="Arial"/>
          <w:sz w:val="18"/>
          <w:szCs w:val="18"/>
          <w:color w:val="auto"/>
        </w:rPr>
        <w:t xml:space="preserve">” means the Intellectual Property Assignment Agreement to be entered into between Aeglea (or an Affiliate thereof) and Immedica (or an Affiliate thereof) at the Closing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any and all know-how, trade secrets, data, results, technology, business or financial information or information of any type whatsoever, in any tangible or intangible form, including practices, techniques, methods, assays, techniques, processes, protocols, inventions, discoveries, improvements, developments, specifications, formulations, formulae, algorithms, marketing reports, business plans, expertise, technology, software, test data (including pharmacological, biological, chemical, biochemical, medical, toxicological, preclinical, and clinical test data and any other research or development data), standard operating procedures, manufacturing records, stability data and other study data and procedures.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4"/>
          </w:cols>
          <w:pgMar w:left="436" w:top="274" w:right="459" w:bottom="1440" w:gutter="0" w:footer="0" w:header="0"/>
        </w:sectPr>
      </w:pPr>
    </w:p>
    <w:bookmarkStart w:id="737" w:name="page738"/>
    <w:bookmarkEnd w:id="737"/>
    <w:p>
      <w:pPr>
        <w:ind w:left="4"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Knowledge</w:t>
      </w:r>
      <w:r>
        <w:rPr>
          <w:rFonts w:ascii="Arial" w:cs="Arial" w:eastAsia="Arial" w:hAnsi="Arial"/>
          <w:sz w:val="18"/>
          <w:szCs w:val="18"/>
          <w:color w:val="auto"/>
        </w:rPr>
        <w:t>” means the actual knowledge of each of Jonathan Alspaugh, Cortney Caudill and Jim Kastenmayer, after reasonable inquiry of each such individual’s direct reports.</w:t>
      </w:r>
    </w:p>
    <w:p>
      <w:pPr>
        <w:spacing w:after="0" w:line="170" w:lineRule="exact"/>
        <w:rPr>
          <w:sz w:val="20"/>
          <w:szCs w:val="20"/>
          <w:color w:val="auto"/>
        </w:rPr>
      </w:pPr>
    </w:p>
    <w:p>
      <w:pPr>
        <w:jc w:val="both"/>
        <w:ind w:left="4"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foreign, federal, state and local law (including common law), statute, code, ordinance, rule, regulation (including zoning and building code), permit, legislation, injunction, judgment, decree, ruling, Order or other requirement of any Governmental Authority or any securities exchange upon which a Party is listed or becomes listed.</w:t>
      </w:r>
    </w:p>
    <w:p>
      <w:pPr>
        <w:spacing w:after="0" w:line="184" w:lineRule="exact"/>
        <w:rPr>
          <w:sz w:val="20"/>
          <w:szCs w:val="20"/>
          <w:color w:val="auto"/>
        </w:rPr>
      </w:pPr>
    </w:p>
    <w:p>
      <w:pPr>
        <w:jc w:val="both"/>
        <w:ind w:left="4" w:right="3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Legal Proceeding</w:t>
      </w:r>
      <w:r>
        <w:rPr>
          <w:rFonts w:ascii="Arial" w:cs="Arial" w:eastAsia="Arial" w:hAnsi="Arial"/>
          <w:sz w:val="16"/>
          <w:szCs w:val="16"/>
          <w:color w:val="auto"/>
        </w:rPr>
        <w:t>” means any judicial, administrative or arbitral actions, suits, mediations, audits, investigations, inquiries, hearings, proceedings (public or private), litigation, complaints, allegations, demands, charges, grievances, prosecutions or claims (including counterclaims).</w:t>
      </w:r>
    </w:p>
    <w:p>
      <w:pPr>
        <w:spacing w:after="0" w:line="124" w:lineRule="exact"/>
        <w:rPr>
          <w:sz w:val="20"/>
          <w:szCs w:val="20"/>
          <w:color w:val="auto"/>
        </w:rPr>
      </w:pPr>
    </w:p>
    <w:p>
      <w:pPr>
        <w:ind w:left="4"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debt, liability or obligation (whether direct or indirect, absolute or contingent, accrued or unaccrued, known or unknown, liquidated or unliquidated, or due or to become due) and including all costs and expenses relating thereto.</w:t>
      </w:r>
    </w:p>
    <w:p>
      <w:pPr>
        <w:spacing w:after="0" w:line="170" w:lineRule="exact"/>
        <w:rPr>
          <w:sz w:val="20"/>
          <w:szCs w:val="20"/>
          <w:color w:val="auto"/>
        </w:rPr>
      </w:pPr>
    </w:p>
    <w:p>
      <w:pPr>
        <w:ind w:left="4"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encumbrance, pledge, mortgage, deed of trust, security interest, charge, condition, restriction, covenant, license, purchase option, lease, sublease or other third-party right, right of first refusal, easement, right of way, servitude, transfer restriction, encroachment, reservation or title defect of any kind or nature.</w:t>
      </w:r>
    </w:p>
    <w:p>
      <w:pPr>
        <w:spacing w:after="0" w:line="184" w:lineRule="exact"/>
        <w:rPr>
          <w:sz w:val="20"/>
          <w:szCs w:val="20"/>
          <w:color w:val="auto"/>
        </w:rPr>
      </w:pPr>
    </w:p>
    <w:p>
      <w:pPr>
        <w:ind w:left="4"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means all damages, losses, claims, Liabilities, charges, fines, penalties, diminution in value, lost profits, judgments, amounts paid in settlement, costs and Expenses (including reasonable expenses of investigation and reasonable attorneys’ fees and expenses in connection with any Legal Proceeding, whether involving a Third-Party Claim or a claim solely between the parties hereto to enforce the provisions hereof).</w:t>
      </w:r>
    </w:p>
    <w:p>
      <w:pPr>
        <w:spacing w:after="0" w:line="149"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fact, event, change, development, condition, circumstance or effect that, individually or in the aggregate, (A) has, or would reasonably be expected to have, a material adverse effect on the Program, the Product and the Acquired Assets taken as a whole, or (B) prevents or materially impairs or delays, would be reasonably expected to prevent or materially impair or delay, the ability of Aeglea to perform its obligations hereunder, including the consummation of the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“Material Adverse Effect” shall not include any such fact, event, change, development, condition, circumstance or effect to the extent it results from (i) global or national political conditions, including the outbreak or escalation of war or terrorist activities, (ii) global or national economic, monetary, or financial conditions, including changes in prevailing interest rates, credit markets, or financial market conditions in or affecting the United States, (iii) changes in applicable Law (or the interpretations thereof) or GAAP (or the interpretations of), (iv) the taking of any action specifically required to be taken by this Agreement or taken by any Party or any of its Affiliates or any of their respective Affiliates with the prior written consent or at the written request of the other Party,</w:t>
      </w:r>
    </w:p>
    <w:p>
      <w:pPr>
        <w:spacing w:after="0" w:line="6" w:lineRule="exact"/>
        <w:rPr>
          <w:sz w:val="20"/>
          <w:szCs w:val="20"/>
          <w:color w:val="auto"/>
        </w:rPr>
      </w:pPr>
    </w:p>
    <w:p>
      <w:pPr>
        <w:ind w:left="4" w:hanging="4"/>
        <w:spacing w:after="0" w:line="252" w:lineRule="auto"/>
        <w:tabs>
          <w:tab w:leader="none" w:pos="259" w:val="left"/>
        </w:tabs>
        <w:numPr>
          <w:ilvl w:val="0"/>
          <w:numId w:val="728"/>
        </w:numPr>
        <w:rPr>
          <w:rFonts w:ascii="Arial" w:cs="Arial" w:eastAsia="Arial" w:hAnsi="Arial"/>
          <w:sz w:val="18"/>
          <w:szCs w:val="18"/>
          <w:color w:val="auto"/>
        </w:rPr>
      </w:pPr>
      <w:r>
        <w:rPr>
          <w:rFonts w:ascii="Arial" w:cs="Arial" w:eastAsia="Arial" w:hAnsi="Arial"/>
          <w:sz w:val="18"/>
          <w:szCs w:val="18"/>
          <w:color w:val="auto"/>
        </w:rPr>
        <w:t xml:space="preserve">earthquakes, hurricanes, tsunamis, typhoons, lightning, hailstorms, blizzards, tornadoes, droughts, floods, cyclones, arctic frosts, mudslides, wildfires and other natural disasters and weather conditions, (vi) impacts on relationships with suppliers, employees, labor organizations, or Governmental Authorities, in each case attributable to the execution, announcement or pendency of this Agreement or the Transaction, or (vii) changes generally in the life sciences and healthcare industries; except to the extent,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(vii), such fact, event, change, development, condition, circumstance or effect disproportionately affects the Program, the Product or the Acquired Assets, relative to other participants in the industry or industries in which the Program operates.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738" w:name="page739"/>
    <w:bookmarkEnd w:id="738"/>
    <w:p>
      <w:pPr>
        <w:ind w:right="7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injunction, judgment, decree, determination, ruling, writ, assessment or arbitration or other award of a Governmental Authority.</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any Person or business, the ordinary course of business of such Person and its Affiliates or such business, in each case, consistent with past practices.</w:t>
      </w:r>
    </w:p>
    <w:p>
      <w:pPr>
        <w:spacing w:after="0" w:line="170"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any and all patents (which shall include invention patents, utility models, design patents, industrial designs, and priority rights), applications for patents, invention disclosures, provisional applications, substitutions, supplementary protection certificates, reissues, reexaminations, renewals, revisions, extensions, divisionals, continuations, continuations-in-part, inventors’ certificates, utility certificates, patents or certificates of addition, inventors’ certificates of addition, and utility certificates of addition and other indices of invention ownership and the right to claim priority to any part of the foregoing.</w:t>
      </w:r>
    </w:p>
    <w:p>
      <w:pPr>
        <w:spacing w:after="0" w:line="188"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any approvals, authorizations, consents, licenses, permits or certificates (including certificates of occupancy) of a Governmental Authority.</w:t>
      </w:r>
    </w:p>
    <w:p>
      <w:pPr>
        <w:spacing w:after="0" w:line="170"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(i) Liens for Taxes, assessments or other governmental charges or levies not yet due or payable or that are being contested in good faith by appropriate Legal Proceedings and for which adequate reserves have been set aside in the relevant financial statements in accordance with generally applicable accounting principles; (ii) statutory Liens of landlords and mechanics’, carriers’, warehousemen’s, workers’, repairers’ and similar Liens imposed by applicable Law or arising or incurred in the Ordinary Course of Business with respect to amounts not yet due and payable or being contested in good faith by appropriate Legal Proceedings; (iii) Liens incurred or deposits made in the Ordinary Course of Business in connection with workers’ compensation, unemployment insurance or other types of social security; (iv) rights under the Specified Patents licensed to the U.S. Federal Government on a non-exclusive basis pursuant to the Bayh Dole Act; (v) rights under the CPRIT Technology licensed to the Cancer Prevention and Research Institute of Texas on a non-exclusive basis pursuant to that certain Cancer Research Grant Contract between AERase, Inc. and Cancer Prevention and Research Institute of Texas dated as of June 1, 2014; and (vi) non-exclusive licenses that were entered into by Aeglea or any of its Subsidiaries in the Ordinary Course of Business and where the grant of rights to use any Intellectual Property is solely for any performance of services under each such agreement.</w:t>
      </w:r>
    </w:p>
    <w:p>
      <w:pPr>
        <w:spacing w:after="0" w:line="182"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firm, joint venture, association, joint-stock company, trust, unincorporated organization, Governmental Authority or other entity.</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means any pharmaceutical product containing, incorporating or comprising pegzilarginase (CAS Registry Number: 1659310-95-8) whether as the sole pharmaceutical ingredient, or in combination with other active pharmaceutical ingredients, in any form, formulation, mode of administration, presentation or dosage form.</w:t>
      </w:r>
    </w:p>
    <w:p>
      <w:pPr>
        <w:spacing w:after="0" w:line="18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Product Registrations</w:t>
      </w:r>
      <w:r>
        <w:rPr>
          <w:rFonts w:ascii="Arial" w:cs="Arial" w:eastAsia="Arial" w:hAnsi="Arial"/>
          <w:sz w:val="17"/>
          <w:szCs w:val="17"/>
          <w:color w:val="auto"/>
        </w:rPr>
        <w:t>” means (i) any approvals, clearances, registrations, licenses, listings, permits, investigational new drug exemptions, orphan drug designations, rare pediatric disease designations, clinical trial authorizations or marketing authorizations, together with any supplements or amendments thereto (collectively, “</w:t>
      </w:r>
      <w:r>
        <w:rPr>
          <w:rFonts w:ascii="Arial" w:cs="Arial" w:eastAsia="Arial" w:hAnsi="Arial"/>
          <w:sz w:val="17"/>
          <w:szCs w:val="17"/>
          <w:u w:val="single" w:color="auto"/>
          <w:color w:val="auto"/>
        </w:rPr>
        <w:t>Approvals</w:t>
      </w:r>
      <w:r>
        <w:rPr>
          <w:rFonts w:ascii="Arial" w:cs="Arial" w:eastAsia="Arial" w:hAnsi="Arial"/>
          <w:sz w:val="17"/>
          <w:szCs w:val="17"/>
          <w:color w:val="auto"/>
        </w:rPr>
        <w:t>”), whether existing, pending or issued or in draft form, to Aeglea or an Affiliate of Aeglea by the relevant Governmental Authority prior to the Closing Date related to the research, development, manufacture, importation, distribution, marketing and/or sale of the Product, (ii) any rights that Aeglea or a Subsidiary of Aeglea has in any Approval referred to in clause (i) of this definition under any agreement pursuant to which any such Approval is held in the name of a third person,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440" w:top="274" w:right="479" w:bottom="1440" w:gutter="0" w:footer="0" w:header="0"/>
        </w:sectPr>
      </w:pPr>
    </w:p>
    <w:bookmarkStart w:id="739" w:name="page740"/>
    <w:bookmarkEnd w:id="739"/>
    <w:p>
      <w:pPr>
        <w:ind w:left="4" w:hanging="4"/>
        <w:spacing w:after="0" w:line="275" w:lineRule="auto"/>
        <w:tabs>
          <w:tab w:leader="none" w:pos="319" w:val="left"/>
        </w:tabs>
        <w:numPr>
          <w:ilvl w:val="0"/>
          <w:numId w:val="7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regulatory applications, submissions, dossiers, notifications, registrations, decisions, correspondence or other filings made to or with a Regulatory Authority with respect to the Product or the Program, (iv) supporting documentation in Aeglea’s or an Affiliate of Aeglea’s files with respect to any of the foregoing clauses (i)-(iii), including annual reports and adverse event reports and (v) as applicable, complete and accurate electronic copies of all items referred to in the foregoing clauses (i)-(iv). The Product Registrations shall include INDs, Regulatory Approvals and the pricing and reimbursement approval (if applicable or available) and all national drug code numbers (if any) assigned to the Product.</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Contract</w:t>
      </w:r>
      <w:r>
        <w:rPr>
          <w:rFonts w:ascii="Arial" w:cs="Arial" w:eastAsia="Arial" w:hAnsi="Arial"/>
          <w:sz w:val="18"/>
          <w:szCs w:val="18"/>
          <w:color w:val="auto"/>
        </w:rPr>
        <w:t>” means any Contract that is primarily related to, or otherwise material to, the Product or the Program.</w:t>
      </w:r>
    </w:p>
    <w:p>
      <w:pPr>
        <w:spacing w:after="0" w:line="225"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Approvals</w:t>
      </w:r>
      <w:r>
        <w:rPr>
          <w:rFonts w:ascii="Arial" w:cs="Arial" w:eastAsia="Arial" w:hAnsi="Arial"/>
          <w:sz w:val="18"/>
          <w:szCs w:val="18"/>
          <w:color w:val="auto"/>
        </w:rPr>
        <w:t>” means, with respect to the Product in any country or jurisdiction, any approval (including where required, pricing and reimbursement approvals), registration, license or authorization that is required by the applicable Governmental Authority to market and sell the Product in such country or jurisdiction.</w:t>
      </w:r>
    </w:p>
    <w:p>
      <w:pPr>
        <w:spacing w:after="0" w:line="184"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with respect to a country, any national (e.g., the FDA), supra-national (e.g., the European Commission, the Council of the European Union, or the European Medicines Agency), regional, state or local regulatory agency, department, bureau, commission, council or other Governmental Authority involved in the granting of a Regulatory Approval or, to the extent required in such country, price approval, for biological or pharmaceutical Product in such country.</w:t>
      </w:r>
    </w:p>
    <w:p>
      <w:pPr>
        <w:spacing w:after="0" w:line="187" w:lineRule="exact"/>
        <w:rPr>
          <w:sz w:val="20"/>
          <w:szCs w:val="20"/>
          <w:color w:val="auto"/>
        </w:rPr>
      </w:pPr>
    </w:p>
    <w:p>
      <w:pPr>
        <w:ind w:left="4"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directors, officers, employees, attorneys, counsel, consultants, advisors, financing sources, accountants, auditors, authorized representatives, agents or Affiliates.</w:t>
      </w:r>
    </w:p>
    <w:p>
      <w:pPr>
        <w:spacing w:after="0" w:line="170" w:lineRule="exact"/>
        <w:rPr>
          <w:sz w:val="20"/>
          <w:szCs w:val="20"/>
          <w:color w:val="auto"/>
        </w:rPr>
      </w:pPr>
    </w:p>
    <w:p>
      <w:pPr>
        <w:ind w:left="4"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entity of which securities or other ownership interests having ordinary voting power to elect a majority of the board of directors or other persons performing similar functions are at the time directly or indirectly owned by such first Person.</w:t>
      </w:r>
    </w:p>
    <w:p>
      <w:pPr>
        <w:spacing w:after="0" w:line="184" w:lineRule="exact"/>
        <w:rPr>
          <w:sz w:val="20"/>
          <w:szCs w:val="20"/>
          <w:color w:val="auto"/>
        </w:rPr>
      </w:pPr>
    </w:p>
    <w:p>
      <w:pPr>
        <w:ind w:left="4" w:righ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(including any information return), report, statement, schedule, notice, form or other document or information filed with or submitted to, or required to be filed with or submitted to, any Taxing Authority in connection with the determination, assessment, collection or payment of any Tax or in connection with the administration, implementation or enforcement of or compliance with any Law relating to any Tax.</w:t>
      </w:r>
    </w:p>
    <w:p>
      <w:pPr>
        <w:spacing w:after="0" w:line="187" w:lineRule="exact"/>
        <w:rPr>
          <w:sz w:val="20"/>
          <w:szCs w:val="20"/>
          <w:color w:val="auto"/>
        </w:rPr>
      </w:pPr>
    </w:p>
    <w:p>
      <w:pPr>
        <w:ind w:left="4"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means (I) any and all federal, state, local or foreign taxes, charges, fees, imposts, levies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charges of any kind whatsoever, together with any such Liabilities for any other Person, whether arising by reason of consolidated, combined, or similar Tax Returns, as a transferee, by contract, by operation of Law, or otherwise; and (ii) all interest, penalties, fines, additions to tax or additional amounts imposed by any Taxing Authority in connection with any item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Authority responsible for the administration of any Tax.</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the Parties or any of their respective Affiliates.</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4"/>
          </w:cols>
          <w:pgMar w:left="436" w:top="274" w:right="479" w:bottom="1440" w:gutter="0" w:footer="0" w:header="0"/>
        </w:sectPr>
      </w:pPr>
    </w:p>
    <w:bookmarkStart w:id="740" w:name="page741"/>
    <w:bookmarkEnd w:id="740"/>
    <w:p>
      <w:pPr>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Trademarks</w:t>
      </w:r>
      <w:r>
        <w:rPr>
          <w:rFonts w:ascii="Arial" w:cs="Arial" w:eastAsia="Arial" w:hAnsi="Arial"/>
          <w:sz w:val="18"/>
          <w:szCs w:val="18"/>
          <w:color w:val="auto"/>
        </w:rPr>
        <w:t>” means any and all trademarks, service marks, logos, slogans, trade names, trade dress, internet domain names, social media handles, and any other indicator of the source of origin of goods or services, including all applications and registrations of, and all goodwill associated with, the foregoing.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w:t>
      </w:r>
      <w:r>
        <w:rPr>
          <w:rFonts w:ascii="Arial" w:cs="Arial" w:eastAsia="Arial" w:hAnsi="Arial"/>
          <w:sz w:val="16"/>
          <w:szCs w:val="16"/>
          <w:color w:val="auto"/>
        </w:rPr>
        <w:t>” means the purchase and sale of the Acquired Assets and the assumption of the Assumed Liabilities as contemplated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any and all sale, use, stamp, documentary, filing, recording, transfer, gross receipts, registration, duty or similar fees or Taxes or governmental charges (together with any interest or penalty, addition to tax or additional amount imposed) as levied by any Taxing Authority on the purchase and sale of the Acquired Assets.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 and its territories, possessions and commonwealths.</w:t>
      </w:r>
    </w:p>
    <w:p>
      <w:pPr>
        <w:spacing w:after="0" w:line="225" w:lineRule="exact"/>
        <w:rPr>
          <w:sz w:val="20"/>
          <w:szCs w:val="20"/>
          <w:color w:val="auto"/>
        </w:rPr>
      </w:pPr>
    </w:p>
    <w:p>
      <w:pPr>
        <w:ind w:right="140" w:firstLine="987"/>
        <w:spacing w:after="0" w:line="277" w:lineRule="auto"/>
        <w:tabs>
          <w:tab w:leader="none" w:pos="1246" w:val="left"/>
        </w:tabs>
        <w:numPr>
          <w:ilvl w:val="0"/>
          <w:numId w:val="730"/>
        </w:numPr>
        <w:rPr>
          <w:rFonts w:ascii="Arial" w:cs="Arial" w:eastAsia="Arial" w:hAnsi="Arial"/>
          <w:sz w:val="18"/>
          <w:szCs w:val="18"/>
          <w:color w:val="auto"/>
        </w:rPr>
      </w:pPr>
      <w:r>
        <w:rPr>
          <w:rFonts w:ascii="Arial" w:cs="Arial" w:eastAsia="Arial" w:hAnsi="Arial"/>
          <w:sz w:val="18"/>
          <w:szCs w:val="18"/>
          <w:u w:val="single" w:color="auto"/>
          <w:color w:val="auto"/>
        </w:rPr>
        <w:t>Other Definitional and Interpretive Matters</w:t>
      </w:r>
      <w:r>
        <w:rPr>
          <w:rFonts w:ascii="Arial" w:cs="Arial" w:eastAsia="Arial" w:hAnsi="Arial"/>
          <w:sz w:val="18"/>
          <w:szCs w:val="18"/>
          <w:color w:val="auto"/>
        </w:rPr>
        <w:t>. Unless otherwise expressly provided, for purposes of this Agreement, the following rules of interpretation shall apply:</w:t>
      </w:r>
    </w:p>
    <w:p>
      <w:pPr>
        <w:spacing w:after="0" w:line="170" w:lineRule="exact"/>
        <w:rPr>
          <w:sz w:val="20"/>
          <w:szCs w:val="20"/>
          <w:color w:val="auto"/>
        </w:rPr>
      </w:pPr>
    </w:p>
    <w:p>
      <w:pPr>
        <w:ind w:firstLine="987"/>
        <w:spacing w:after="0" w:line="263" w:lineRule="auto"/>
        <w:tabs>
          <w:tab w:leader="none" w:pos="1206" w:val="left"/>
        </w:tabs>
        <w:numPr>
          <w:ilvl w:val="0"/>
          <w:numId w:val="731"/>
        </w:numPr>
        <w:rPr>
          <w:rFonts w:ascii="Arial" w:cs="Arial" w:eastAsia="Arial" w:hAnsi="Arial"/>
          <w:sz w:val="18"/>
          <w:szCs w:val="18"/>
          <w:color w:val="auto"/>
        </w:rPr>
      </w:pPr>
      <w:r>
        <w:rPr>
          <w:rFonts w:ascii="Arial" w:cs="Arial" w:eastAsia="Arial" w:hAnsi="Arial"/>
          <w:sz w:val="18"/>
          <w:szCs w:val="18"/>
          <w:u w:val="single" w:color="auto"/>
          <w:color w:val="auto"/>
        </w:rPr>
        <w:t>Calculation of Time Periods</w:t>
      </w:r>
      <w:r>
        <w:rPr>
          <w:rFonts w:ascii="Arial" w:cs="Arial" w:eastAsia="Arial" w:hAnsi="Arial"/>
          <w:sz w:val="18"/>
          <w:szCs w:val="18"/>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83" w:lineRule="exact"/>
        <w:rPr>
          <w:rFonts w:ascii="Arial" w:cs="Arial" w:eastAsia="Arial" w:hAnsi="Arial"/>
          <w:sz w:val="18"/>
          <w:szCs w:val="18"/>
          <w:color w:val="auto"/>
        </w:rPr>
      </w:pPr>
    </w:p>
    <w:p>
      <w:pPr>
        <w:ind w:left="1260" w:hanging="273"/>
        <w:spacing w:after="0"/>
        <w:tabs>
          <w:tab w:leader="none" w:pos="1260" w:val="left"/>
        </w:tabs>
        <w:numPr>
          <w:ilvl w:val="0"/>
          <w:numId w:val="731"/>
        </w:numPr>
        <w:rPr>
          <w:rFonts w:ascii="Arial" w:cs="Arial" w:eastAsia="Arial" w:hAnsi="Arial"/>
          <w:sz w:val="17"/>
          <w:szCs w:val="17"/>
          <w:color w:val="auto"/>
        </w:rPr>
      </w:pPr>
      <w:r>
        <w:rPr>
          <w:rFonts w:ascii="Arial" w:cs="Arial" w:eastAsia="Arial" w:hAnsi="Arial"/>
          <w:sz w:val="17"/>
          <w:szCs w:val="17"/>
          <w:u w:val="single" w:color="auto"/>
          <w:color w:val="auto"/>
        </w:rPr>
        <w:t>Currency</w:t>
      </w:r>
      <w:r>
        <w:rPr>
          <w:rFonts w:ascii="Arial" w:cs="Arial" w:eastAsia="Arial" w:hAnsi="Arial"/>
          <w:sz w:val="17"/>
          <w:szCs w:val="17"/>
          <w:color w:val="auto"/>
        </w:rPr>
        <w:t>. Unless otherwise specified in this Agreement, all references to “$” and dollars set forth herein shall mean United States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(U.S.) dollars.</w:t>
      </w:r>
    </w:p>
    <w:p>
      <w:pPr>
        <w:spacing w:after="0" w:line="210" w:lineRule="exact"/>
        <w:rPr>
          <w:rFonts w:ascii="Arial" w:cs="Arial" w:eastAsia="Arial" w:hAnsi="Arial"/>
          <w:sz w:val="17"/>
          <w:szCs w:val="17"/>
          <w:color w:val="auto"/>
        </w:rPr>
      </w:pPr>
    </w:p>
    <w:p>
      <w:pPr>
        <w:ind w:right="80" w:firstLine="987"/>
        <w:spacing w:after="0" w:line="287" w:lineRule="auto"/>
        <w:tabs>
          <w:tab w:leader="none" w:pos="1306" w:val="left"/>
        </w:tabs>
        <w:numPr>
          <w:ilvl w:val="0"/>
          <w:numId w:val="731"/>
        </w:numPr>
        <w:rPr>
          <w:rFonts w:ascii="Arial" w:cs="Arial" w:eastAsia="Arial" w:hAnsi="Arial"/>
          <w:sz w:val="16"/>
          <w:szCs w:val="16"/>
          <w:color w:val="auto"/>
        </w:rPr>
      </w:pPr>
      <w:r>
        <w:rPr>
          <w:rFonts w:ascii="Arial" w:cs="Arial" w:eastAsia="Arial" w:hAnsi="Arial"/>
          <w:sz w:val="16"/>
          <w:szCs w:val="16"/>
          <w:u w:val="single" w:color="auto"/>
          <w:color w:val="auto"/>
        </w:rPr>
        <w:t>Exhibits/Schedules</w:t>
      </w:r>
      <w:r>
        <w:rPr>
          <w:rFonts w:ascii="Arial" w:cs="Arial" w:eastAsia="Arial" w:hAnsi="Arial"/>
          <w:sz w:val="16"/>
          <w:szCs w:val="16"/>
          <w:color w:val="auto"/>
        </w:rPr>
        <w:t>. The Exhibits and Schedules to this Agreement are an integral part of this Agreement and are hereby incorporated herein and made a part hereof as if set forth herein. Any capitalized terms used in any Exhibit or Schedule but not otherwise defined therein shall be defined as set forth in this Agreement. The representations and warranties contained in Article IV are qualified by reference to the Schedules attached hereto and referred to in Article IV (collectively, the “</w:t>
      </w:r>
      <w:r>
        <w:rPr>
          <w:rFonts w:ascii="Arial" w:cs="Arial" w:eastAsia="Arial" w:hAnsi="Arial"/>
          <w:sz w:val="16"/>
          <w:szCs w:val="16"/>
          <w:u w:val="single" w:color="auto"/>
          <w:color w:val="auto"/>
        </w:rPr>
        <w:t>Disclosure Schedule</w:t>
      </w:r>
      <w:r>
        <w:rPr>
          <w:rFonts w:ascii="Arial" w:cs="Arial" w:eastAsia="Arial" w:hAnsi="Arial"/>
          <w:sz w:val="16"/>
          <w:szCs w:val="16"/>
          <w:color w:val="auto"/>
        </w:rPr>
        <w:t>”). The Parties acknowledge and agree that (i) the Disclosure Schedule may include items or information that Aeglea is not required to disclose under this Agreement, (ii) disclosure of such items or information shall not be deemed to expand the scope of the representations and warranties of Aeglea under this Agreement, (iii) inclusion of information in the Disclosure Schedule shall not be construed as an admission that such information is necessarily material in any respect and (iv) reference in a particular Section of the Disclosure Schedule shall only be deemed to be an exception to (or, as applicable, a disclosure for purposes of) (A) the representations and warranties (or covenants and agreements, as applicable) of Aeglea that are contained in the corresponding Section of this Agreement and (B) any other representation and warranty (or covenant and agreement, as applicable) of Aeglea that is contained in this Agreement, but only if the relevance of that reference as an exception to (or a disclosure for purposes of) such representation and warranty (or covenant and agreement, as applicable) would be reasonably apparent to a reasonable person without any independent knowledge regarding the matter(s) so disclosed.</w:t>
      </w:r>
    </w:p>
    <w:p>
      <w:pPr>
        <w:spacing w:after="0" w:line="167" w:lineRule="exact"/>
        <w:rPr>
          <w:rFonts w:ascii="Arial" w:cs="Arial" w:eastAsia="Arial" w:hAnsi="Arial"/>
          <w:sz w:val="16"/>
          <w:szCs w:val="16"/>
          <w:color w:val="auto"/>
        </w:rPr>
      </w:pPr>
    </w:p>
    <w:p>
      <w:pPr>
        <w:ind w:right="220" w:firstLine="987"/>
        <w:spacing w:after="0" w:line="277" w:lineRule="auto"/>
        <w:tabs>
          <w:tab w:leader="none" w:pos="1296" w:val="left"/>
        </w:tabs>
        <w:numPr>
          <w:ilvl w:val="0"/>
          <w:numId w:val="731"/>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Any reference in this Agreement to gender shall include all genders, and words imparting the singular number only shall include the plural and vice versa.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4" w:right="459" w:bottom="1440" w:gutter="0" w:footer="0" w:header="0"/>
        </w:sectPr>
      </w:pPr>
    </w:p>
    <w:bookmarkStart w:id="741" w:name="page742"/>
    <w:bookmarkEnd w:id="741"/>
    <w:p>
      <w:pPr>
        <w:jc w:val="both"/>
        <w:ind w:left="-40" w:firstLine="987"/>
        <w:spacing w:after="0" w:line="259" w:lineRule="auto"/>
        <w:tabs>
          <w:tab w:leader="none" w:pos="1206"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w:t>
      </w:r>
      <w:r>
        <w:rPr>
          <w:rFonts w:ascii="Arial" w:cs="Arial" w:eastAsia="Arial" w:hAnsi="Arial"/>
          <w:sz w:val="18"/>
          <w:szCs w:val="18"/>
          <w:color w:val="auto"/>
        </w:rPr>
        <w:t>. The provision of the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“Article,” “Section” or other subdivision are to the corresponding Article, Section or other subdivision of this Agreement unless otherwise specified.</w:t>
      </w:r>
    </w:p>
    <w:p>
      <w:pPr>
        <w:spacing w:after="0" w:line="186" w:lineRule="exact"/>
        <w:rPr>
          <w:rFonts w:ascii="Arial" w:cs="Arial" w:eastAsia="Arial" w:hAnsi="Arial"/>
          <w:sz w:val="18"/>
          <w:szCs w:val="18"/>
          <w:color w:val="auto"/>
        </w:rPr>
      </w:pPr>
    </w:p>
    <w:p>
      <w:pPr>
        <w:ind w:left="-40" w:right="100" w:firstLine="987"/>
        <w:spacing w:after="0" w:line="277" w:lineRule="auto"/>
        <w:tabs>
          <w:tab w:leader="none" w:pos="1256"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Herein</w:t>
      </w:r>
      <w:r>
        <w:rPr>
          <w:rFonts w:ascii="Arial" w:cs="Arial" w:eastAsia="Arial" w:hAnsi="Arial"/>
          <w:sz w:val="18"/>
          <w:szCs w:val="18"/>
          <w:color w:val="auto"/>
        </w:rPr>
        <w:t>. Words such as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hereinafter</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w:t>
      </w:r>
      <w:r>
        <w:rPr>
          <w:rFonts w:ascii="Arial" w:cs="Arial" w:eastAsia="Arial" w:hAnsi="Arial"/>
          <w:sz w:val="18"/>
          <w:szCs w:val="18"/>
          <w:u w:val="single" w:color="auto"/>
          <w:color w:val="auto"/>
        </w:rPr>
        <w:t>hereunder</w:t>
      </w:r>
      <w:r>
        <w:rPr>
          <w:rFonts w:ascii="Arial" w:cs="Arial" w:eastAsia="Arial" w:hAnsi="Arial"/>
          <w:sz w:val="18"/>
          <w:szCs w:val="18"/>
          <w:color w:val="auto"/>
        </w:rPr>
        <w:t>” and “</w:t>
      </w:r>
      <w:r>
        <w:rPr>
          <w:rFonts w:ascii="Arial" w:cs="Arial" w:eastAsia="Arial" w:hAnsi="Arial"/>
          <w:sz w:val="18"/>
          <w:szCs w:val="18"/>
          <w:u w:val="single" w:color="auto"/>
          <w:color w:val="auto"/>
        </w:rPr>
        <w:t>hereto</w:t>
      </w:r>
      <w:r>
        <w:rPr>
          <w:rFonts w:ascii="Arial" w:cs="Arial" w:eastAsia="Arial" w:hAnsi="Arial"/>
          <w:sz w:val="18"/>
          <w:szCs w:val="18"/>
          <w:color w:val="auto"/>
        </w:rPr>
        <w:t>” refer to this Agreement as a whole and not merely to a subdivision in which such words appear unless the context otherwise requires.</w:t>
      </w:r>
    </w:p>
    <w:p>
      <w:pPr>
        <w:spacing w:after="0" w:line="170" w:lineRule="exact"/>
        <w:rPr>
          <w:rFonts w:ascii="Arial" w:cs="Arial" w:eastAsia="Arial" w:hAnsi="Arial"/>
          <w:sz w:val="18"/>
          <w:szCs w:val="18"/>
          <w:color w:val="auto"/>
        </w:rPr>
      </w:pPr>
    </w:p>
    <w:p>
      <w:pPr>
        <w:ind w:left="-40" w:right="140" w:firstLine="987"/>
        <w:spacing w:after="0" w:line="277" w:lineRule="auto"/>
        <w:tabs>
          <w:tab w:leader="none" w:pos="1306"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Including</w:t>
      </w:r>
      <w:r>
        <w:rPr>
          <w:rFonts w:ascii="Arial" w:cs="Arial" w:eastAsia="Arial" w:hAnsi="Arial"/>
          <w:sz w:val="18"/>
          <w:szCs w:val="18"/>
          <w:color w:val="auto"/>
        </w:rPr>
        <w:t>. The word “</w:t>
      </w:r>
      <w:r>
        <w:rPr>
          <w:rFonts w:ascii="Arial" w:cs="Arial" w:eastAsia="Arial" w:hAnsi="Arial"/>
          <w:sz w:val="18"/>
          <w:szCs w:val="18"/>
          <w:u w:val="single" w:color="auto"/>
          <w:color w:val="auto"/>
        </w:rPr>
        <w:t>including</w:t>
      </w:r>
      <w:r>
        <w:rPr>
          <w:rFonts w:ascii="Arial" w:cs="Arial" w:eastAsia="Arial" w:hAnsi="Arial"/>
          <w:sz w:val="18"/>
          <w:szCs w:val="18"/>
          <w:color w:val="auto"/>
        </w:rPr>
        <w:t>” or any variation thereof means “including without limitation,” unless otherwise specified and shall not be construed to limit any general statement that it follows to the specific or similar items or matters immediately following it.</w:t>
      </w:r>
    </w:p>
    <w:p>
      <w:pPr>
        <w:spacing w:after="0" w:line="170" w:lineRule="exact"/>
        <w:rPr>
          <w:rFonts w:ascii="Arial" w:cs="Arial" w:eastAsia="Arial" w:hAnsi="Arial"/>
          <w:sz w:val="18"/>
          <w:szCs w:val="18"/>
          <w:color w:val="auto"/>
        </w:rPr>
      </w:pPr>
    </w:p>
    <w:p>
      <w:pPr>
        <w:ind w:left="-40" w:right="120" w:firstLine="987"/>
        <w:spacing w:after="0" w:line="259" w:lineRule="auto"/>
        <w:tabs>
          <w:tab w:leader="none" w:pos="1356"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word “or” shall be exclusive; references to “written” or “in writing” include in electronic form (including email); any reference to “days” means calendar days unless Business Days are expressly specified; and references to any statute, rule, regulation, law or applicable Law shall be deemed to refer to all applicable Laws as amended or supplemented from time to time and to any rules, regulations and interpretations promulgated thereunder.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40"/>
          </w:cols>
          <w:pgMar w:left="480" w:top="274" w:right="479" w:bottom="1440" w:gutter="0" w:footer="0" w:header="0"/>
        </w:sectPr>
      </w:pPr>
    </w:p>
    <w:bookmarkStart w:id="742" w:name="page743"/>
    <w:bookmarkEnd w:id="7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IP Assignment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0" w:right="1440" w:bottom="1440" w:gutter="0" w:footer="0" w:header="0"/>
        </w:sectPr>
      </w:pPr>
    </w:p>
    <w:bookmarkStart w:id="743" w:name="page744"/>
    <w:bookmarkEnd w:id="74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Specified Patent Assignment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0" w:right="1440" w:bottom="1440" w:gutter="0" w:footer="0" w:header="0"/>
        </w:sectPr>
      </w:pPr>
    </w:p>
    <w:bookmarkStart w:id="744" w:name="page745"/>
    <w:bookmarkEnd w:id="74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Specified Patent License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0" w:right="1440" w:bottom="1440" w:gutter="0" w:footer="0" w:header="0"/>
        </w:sectPr>
      </w:pPr>
    </w:p>
    <w:bookmarkStart w:id="745" w:name="page746"/>
    <w:bookmarkEnd w:id="7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hereby consent to the use in this Registration Statement on Form S-1 of Aeglea BioTherapeutics, Inc. of our report dated March 2, 2023, except for the effects of the reverse stock split discussed in Note 14 to the consolidated financial statements, as to which the date is November 15, 2023 relating to the financial statements of Aeglea BioTherapeutics, Inc., which appears in this Registration Statement. We also consent to the reference to us under the heading “Experts” in such Registration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2023</w:t>
      </w:r>
    </w:p>
    <w:p>
      <w:pPr>
        <w:sectPr>
          <w:pgSz w:w="11900" w:h="16838" w:orient="portrait"/>
          <w:cols w:equalWidth="0" w:num="1">
            <w:col w:w="11020"/>
          </w:cols>
          <w:pgMar w:left="440" w:top="122" w:right="439" w:bottom="1440" w:gutter="0" w:footer="0" w:header="0"/>
        </w:sectPr>
      </w:pPr>
    </w:p>
    <w:bookmarkStart w:id="746" w:name="page747"/>
    <w:bookmarkEnd w:id="746"/>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hereby consent to the use in this Registration Statement on Form S-1 of Aeglea BioTherapeutics, Inc. of our report dated October 6, 2023 relating to the Statement of Assets Acquired and Liabilities Assumed from Spyre Therapeutics, Inc. by Aeglea BioTherapeutics, Inc., which appears in this Registration Statement. We also consent to the reference to us under the heading “Experts” in such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2023</w:t>
      </w:r>
    </w:p>
    <w:p>
      <w:pPr>
        <w:sectPr>
          <w:pgSz w:w="11900" w:h="16838" w:orient="portrait"/>
          <w:cols w:equalWidth="0" w:num="1">
            <w:col w:w="11020"/>
          </w:cols>
          <w:pgMar w:left="440" w:top="122" w:right="439" w:bottom="1440" w:gutter="0" w:footer="0" w:header="0"/>
        </w:sectPr>
      </w:pPr>
    </w:p>
    <w:bookmarkStart w:id="747" w:name="page748"/>
    <w:bookmarkEnd w:id="74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Aeglea BioTherapeutics,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50" w:lineRule="exact"/>
        <w:rPr>
          <w:sz w:val="20"/>
          <w:szCs w:val="20"/>
          <w:color w:val="auto"/>
        </w:rPr>
      </w:pPr>
    </w:p>
    <w:tbl>
      <w:tblPr>
        <w:tblLayout w:type="fixed"/>
        <w:tblInd w:w="34" w:type="dxa"/>
        <w:tblCellMar>
          <w:top w:w="0" w:type="dxa"/>
          <w:left w:w="0" w:type="dxa"/>
          <w:bottom w:w="0" w:type="dxa"/>
          <w:right w:w="0" w:type="dxa"/>
        </w:tblCellMar>
      </w:tblPr>
      <w:tr>
        <w:trPr>
          <w:trHeight w:val="144"/>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Filing Fee</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Previously</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Paid</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In</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Connection</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with</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10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Proposed</w:t>
            </w:r>
          </w:p>
        </w:tc>
        <w:tc>
          <w:tcPr>
            <w:tcW w:w="14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Carry</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Unsold</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0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4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Carry</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Carry</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060" w:type="dxa"/>
            <w:vAlign w:val="bottom"/>
          </w:tcPr>
          <w:p>
            <w:pPr>
              <w:jc w:val="center"/>
              <w:ind w:left="100"/>
              <w:spacing w:after="0" w:line="135" w:lineRule="exact"/>
              <w:rPr>
                <w:sz w:val="20"/>
                <w:szCs w:val="20"/>
                <w:color w:val="auto"/>
              </w:rPr>
            </w:pPr>
            <w:r>
              <w:rPr>
                <w:rFonts w:ascii="Arial" w:cs="Arial" w:eastAsia="Arial" w:hAnsi="Arial"/>
                <w:sz w:val="13"/>
                <w:szCs w:val="13"/>
                <w:b w:val="1"/>
                <w:bCs w:val="1"/>
                <w:color w:val="auto"/>
                <w:w w:val="85"/>
              </w:rPr>
              <w:t>Security</w:t>
            </w: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10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Initial</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Security</w:t>
            </w:r>
          </w:p>
        </w:tc>
        <w:tc>
          <w:tcPr>
            <w:tcW w:w="1060" w:type="dxa"/>
            <w:vAlign w:val="bottom"/>
          </w:tcPr>
          <w:p>
            <w:pPr>
              <w:jc w:val="center"/>
              <w:ind w:left="100"/>
              <w:spacing w:after="0" w:line="135" w:lineRule="exact"/>
              <w:rPr>
                <w:sz w:val="20"/>
                <w:szCs w:val="20"/>
                <w:color w:val="auto"/>
              </w:rPr>
            </w:pPr>
            <w:r>
              <w:rPr>
                <w:rFonts w:ascii="Arial" w:cs="Arial" w:eastAsia="Arial" w:hAnsi="Arial"/>
                <w:sz w:val="13"/>
                <w:szCs w:val="13"/>
                <w:b w:val="1"/>
                <w:bCs w:val="1"/>
                <w:color w:val="auto"/>
                <w:w w:val="80"/>
              </w:rPr>
              <w:t>Class</w:t>
            </w:r>
          </w:p>
        </w:tc>
        <w:tc>
          <w:tcPr>
            <w:tcW w:w="1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Forward</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8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Form</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File</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effective</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Carried</w:t>
            </w:r>
          </w:p>
        </w:tc>
      </w:tr>
      <w:tr>
        <w:trPr>
          <w:trHeight w:val="165"/>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1060" w:type="dxa"/>
            <w:vAlign w:val="bottom"/>
            <w:tcBorders>
              <w:bottom w:val="single" w:sz="8" w:color="auto"/>
            </w:tcBorders>
          </w:tcPr>
          <w:p>
            <w:pPr>
              <w:jc w:val="center"/>
              <w:ind w:left="100"/>
              <w:spacing w:after="0"/>
              <w:rPr>
                <w:sz w:val="20"/>
                <w:szCs w:val="20"/>
                <w:color w:val="auto"/>
              </w:rPr>
            </w:pPr>
            <w:r>
              <w:rPr>
                <w:rFonts w:ascii="Arial" w:cs="Arial" w:eastAsia="Arial" w:hAnsi="Arial"/>
                <w:sz w:val="13"/>
                <w:szCs w:val="13"/>
                <w:b w:val="1"/>
                <w:bCs w:val="1"/>
                <w:color w:val="auto"/>
                <w:w w:val="89"/>
              </w:rPr>
              <w:t>Title</w:t>
            </w:r>
          </w:p>
        </w:tc>
        <w:tc>
          <w:tcPr>
            <w:tcW w:w="1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Unit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Fee Rate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Forward</w:t>
            </w:r>
          </w:p>
        </w:tc>
      </w:tr>
      <w:tr>
        <w:trPr>
          <w:trHeight w:val="233"/>
        </w:trPr>
        <w:tc>
          <w:tcPr>
            <w:tcW w:w="90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8"/>
                <w:szCs w:val="18"/>
                <w:b w:val="1"/>
                <w:bCs w:val="1"/>
                <w:color w:val="auto"/>
                <w:w w:val="88"/>
              </w:rPr>
              <w:t>Newly Registered Securities</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13"/>
        </w:trPr>
        <w:tc>
          <w:tcPr>
            <w:tcW w:w="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Common stock,</w:t>
            </w: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6"/>
              </w:rPr>
              <w:t>Fees to</w:t>
            </w:r>
          </w:p>
        </w:tc>
        <w:tc>
          <w:tcPr>
            <w:tcW w:w="560" w:type="dxa"/>
            <w:vAlign w:val="bottom"/>
            <w:tcBorders>
              <w:right w:val="single" w:sz="8" w:color="auto"/>
            </w:tcBorders>
          </w:tcPr>
          <w:p>
            <w:pPr>
              <w:spacing w:after="0"/>
              <w:rPr>
                <w:sz w:val="18"/>
                <w:szCs w:val="18"/>
                <w:color w:val="auto"/>
              </w:rPr>
            </w:pPr>
          </w:p>
        </w:tc>
        <w:tc>
          <w:tcPr>
            <w:tcW w:w="1060" w:type="dxa"/>
            <w:vAlign w:val="bottom"/>
          </w:tcPr>
          <w:p>
            <w:pPr>
              <w:jc w:val="center"/>
              <w:ind w:left="80"/>
              <w:spacing w:after="0"/>
              <w:rPr>
                <w:sz w:val="20"/>
                <w:szCs w:val="20"/>
                <w:color w:val="auto"/>
              </w:rPr>
            </w:pPr>
            <w:r>
              <w:rPr>
                <w:rFonts w:ascii="Arial" w:cs="Arial" w:eastAsia="Arial" w:hAnsi="Arial"/>
                <w:sz w:val="18"/>
                <w:szCs w:val="18"/>
                <w:color w:val="auto"/>
                <w:w w:val="89"/>
              </w:rPr>
              <w:t>par value</w:t>
            </w:r>
          </w:p>
        </w:tc>
        <w:tc>
          <w:tcPr>
            <w:tcW w:w="1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Be</w:t>
            </w:r>
          </w:p>
        </w:tc>
        <w:tc>
          <w:tcPr>
            <w:tcW w:w="560" w:type="dxa"/>
            <w:vAlign w:val="bottom"/>
            <w:tcBorders>
              <w:right w:val="single" w:sz="8" w:color="auto"/>
            </w:tcBorders>
          </w:tcPr>
          <w:p>
            <w:pPr>
              <w:spacing w:after="0"/>
              <w:rPr>
                <w:sz w:val="18"/>
                <w:szCs w:val="18"/>
                <w:color w:val="auto"/>
              </w:rPr>
            </w:pPr>
          </w:p>
        </w:tc>
        <w:tc>
          <w:tcPr>
            <w:tcW w:w="1060" w:type="dxa"/>
            <w:vAlign w:val="bottom"/>
          </w:tcPr>
          <w:p>
            <w:pPr>
              <w:jc w:val="center"/>
              <w:ind w:left="80"/>
              <w:spacing w:after="0"/>
              <w:rPr>
                <w:sz w:val="20"/>
                <w:szCs w:val="20"/>
                <w:color w:val="auto"/>
              </w:rPr>
            </w:pPr>
            <w:r>
              <w:rPr>
                <w:rFonts w:ascii="Arial" w:cs="Arial" w:eastAsia="Arial" w:hAnsi="Arial"/>
                <w:sz w:val="18"/>
                <w:szCs w:val="18"/>
                <w:color w:val="auto"/>
                <w:w w:val="89"/>
              </w:rPr>
              <w:t>$0.0001</w:t>
            </w:r>
          </w:p>
        </w:tc>
        <w:tc>
          <w:tcPr>
            <w:tcW w:w="1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57"/>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bottom w:val="single" w:sz="8" w:color="auto"/>
            </w:tcBorders>
          </w:tcPr>
          <w:p>
            <w:pPr>
              <w:jc w:val="center"/>
              <w:ind w:left="80"/>
              <w:spacing w:after="0" w:line="257" w:lineRule="exact"/>
              <w:rPr>
                <w:sz w:val="20"/>
                <w:szCs w:val="20"/>
                <w:color w:val="auto"/>
              </w:rPr>
            </w:pPr>
            <w:r>
              <w:rPr>
                <w:rFonts w:ascii="Arial" w:cs="Arial" w:eastAsia="Arial" w:hAnsi="Arial"/>
                <w:sz w:val="18"/>
                <w:szCs w:val="18"/>
                <w:color w:val="auto"/>
                <w:w w:val="84"/>
              </w:rPr>
              <w:t>per share</w:t>
            </w:r>
            <w:r>
              <w:rPr>
                <w:rFonts w:ascii="Arial" w:cs="Arial" w:eastAsia="Arial" w:hAnsi="Arial"/>
                <w:sz w:val="26"/>
                <w:szCs w:val="26"/>
                <w:color w:val="auto"/>
                <w:w w:val="84"/>
                <w:vertAlign w:val="superscript"/>
              </w:rPr>
              <w:t>(1)</w:t>
            </w:r>
          </w:p>
        </w:tc>
        <w:tc>
          <w:tcPr>
            <w:tcW w:w="14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Rule 457(c)</w:t>
            </w:r>
          </w:p>
        </w:tc>
        <w:tc>
          <w:tcPr>
            <w:tcW w:w="104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18,809,064</w:t>
            </w:r>
            <w:r>
              <w:rPr>
                <w:rFonts w:ascii="Arial" w:cs="Arial" w:eastAsia="Arial" w:hAnsi="Arial"/>
                <w:sz w:val="26"/>
                <w:szCs w:val="26"/>
                <w:color w:val="auto"/>
                <w:w w:val="86"/>
                <w:vertAlign w:val="superscript"/>
              </w:rPr>
              <w:t>(2)</w:t>
            </w:r>
          </w:p>
        </w:tc>
        <w:tc>
          <w:tcPr>
            <w:tcW w:w="64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$8.96</w:t>
            </w:r>
            <w:r>
              <w:rPr>
                <w:rFonts w:ascii="Arial" w:cs="Arial" w:eastAsia="Arial" w:hAnsi="Arial"/>
                <w:sz w:val="26"/>
                <w:szCs w:val="26"/>
                <w:color w:val="auto"/>
                <w:w w:val="87"/>
                <w:vertAlign w:val="superscript"/>
              </w:rPr>
              <w:t>(3)</w:t>
            </w:r>
          </w:p>
        </w:tc>
        <w:tc>
          <w:tcPr>
            <w:tcW w:w="146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89"/>
              </w:rPr>
              <w:t>$168,529,213.44</w:t>
            </w:r>
            <w:r>
              <w:rPr>
                <w:rFonts w:ascii="Arial" w:cs="Arial" w:eastAsia="Arial" w:hAnsi="Arial"/>
                <w:sz w:val="26"/>
                <w:szCs w:val="26"/>
                <w:color w:val="auto"/>
                <w:w w:val="89"/>
                <w:vertAlign w:val="superscript"/>
              </w:rPr>
              <w:t>(3)</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1"/>
              </w:rPr>
              <w:t>0.0001476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$24,874.91</w:t>
            </w:r>
          </w:p>
        </w:tc>
        <w:tc>
          <w:tcPr>
            <w:tcW w:w="54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r>
      <w:tr>
        <w:trPr>
          <w:trHeight w:val="232"/>
        </w:trPr>
        <w:tc>
          <w:tcPr>
            <w:tcW w:w="90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8"/>
                <w:szCs w:val="18"/>
                <w:b w:val="1"/>
                <w:bCs w:val="1"/>
                <w:color w:val="auto"/>
                <w:w w:val="92"/>
              </w:rPr>
              <w:t>Carry Forward Securities</w:t>
            </w:r>
          </w:p>
        </w:tc>
        <w:tc>
          <w:tcPr>
            <w:tcW w:w="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13"/>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Carry</w:t>
            </w:r>
          </w:p>
        </w:tc>
        <w:tc>
          <w:tcPr>
            <w:tcW w:w="5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Forward</w:t>
            </w:r>
          </w:p>
        </w:tc>
        <w:tc>
          <w:tcPr>
            <w:tcW w:w="5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5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Securities</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060" w:type="dxa"/>
            <w:vAlign w:val="bottom"/>
            <w:tcBorders>
              <w:bottom w:val="single" w:sz="8" w:color="auto"/>
            </w:tcBorders>
          </w:tcPr>
          <w:p>
            <w:pPr>
              <w:jc w:val="center"/>
              <w:ind w:left="10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39"/>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Total Offering Amounts</w:t>
            </w: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60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$24,874.91</w:t>
            </w: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41"/>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Total Fees Previously Paid</w:t>
            </w: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line="241" w:lineRule="exact"/>
              <w:rPr>
                <w:sz w:val="20"/>
                <w:szCs w:val="20"/>
                <w:color w:val="auto"/>
              </w:rPr>
            </w:pPr>
            <w:r>
              <w:rPr>
                <w:rFonts w:ascii="Arial" w:cs="Arial" w:eastAsia="Arial" w:hAnsi="Arial"/>
                <w:sz w:val="18"/>
                <w:szCs w:val="18"/>
                <w:color w:val="auto"/>
                <w:w w:val="88"/>
              </w:rPr>
              <w:t>$60,570.57</w:t>
            </w:r>
            <w:r>
              <w:rPr>
                <w:rFonts w:ascii="Arial" w:cs="Arial" w:eastAsia="Arial" w:hAnsi="Arial"/>
                <w:sz w:val="26"/>
                <w:szCs w:val="26"/>
                <w:color w:val="auto"/>
                <w:w w:val="88"/>
                <w:vertAlign w:val="superscript"/>
              </w:rPr>
              <w:t>(4)</w:t>
            </w: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32"/>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Fee Offsets</w:t>
            </w: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37"/>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Net Fee Due</w:t>
            </w:r>
          </w:p>
        </w:tc>
        <w:tc>
          <w:tcPr>
            <w:tcW w:w="6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w:t>
            </w: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424" w:right="60" w:hanging="424"/>
        <w:spacing w:after="0" w:line="274" w:lineRule="auto"/>
        <w:tabs>
          <w:tab w:leader="none" w:pos="424" w:val="left"/>
        </w:tabs>
        <w:numPr>
          <w:ilvl w:val="0"/>
          <w:numId w:val="733"/>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this registration statement also covers such an indeterminate amount of shares of common stock as may become issuable to prevent dilution resulting from stock splits, stock dividends and similar events.</w:t>
      </w:r>
    </w:p>
    <w:p>
      <w:pPr>
        <w:ind w:left="424" w:right="600" w:hanging="424"/>
        <w:spacing w:after="0" w:line="250" w:lineRule="auto"/>
        <w:tabs>
          <w:tab w:leader="none" w:pos="424"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The amount registered consists of up to (i) 8,864 shares of Common Stock, and (ii) 18,800,200 shares of Common Stock issuable upon the conversion of 470,005 shares of Series A Preferred Stock.</w:t>
      </w:r>
    </w:p>
    <w:p>
      <w:pPr>
        <w:ind w:left="424" w:right="80" w:hanging="424"/>
        <w:spacing w:after="0" w:line="281" w:lineRule="auto"/>
        <w:tabs>
          <w:tab w:leader="none" w:pos="424" w:val="left"/>
        </w:tabs>
        <w:numPr>
          <w:ilvl w:val="0"/>
          <w:numId w:val="733"/>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based on the average of the high and low prices of the shares of common stock on The Nasdaq Capital Market on November 10, 2023 (such date being within five business days of the date that this registration statement was first filed with the Securities and Exchange Commission, in accordance with Rule 457(c) under the Securities Act).</w:t>
      </w:r>
    </w:p>
    <w:p>
      <w:pPr>
        <w:spacing w:after="0" w:line="1"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The registrant previously paid $60,570.57 in connection with the initial filing of this registration statement on Form S-1 (333-273769) originally filed on Form S-3 with the Securities and Exchange Commission on August 7, 2023.</w:t>
      </w:r>
    </w:p>
    <w:sectPr>
      <w:pgSz w:w="11900" w:h="16838" w:orient="portrait"/>
      <w:cols w:equalWidth="0" w:num="1">
        <w:col w:w="11024"/>
      </w:cols>
      <w:pgMar w:left="436"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19B33"/>
    <w:multiLevelType w:val="hybridMultilevel"/>
    <w:lvl w:ilvl="0">
      <w:lvlJc w:val="left"/>
      <w:lvlText w:val="•"/>
      <w:numFmt w:val="bullet"/>
      <w:start w:val="1"/>
    </w:lvl>
  </w:abstractNum>
  <w:abstractNum w:abstractNumId="1">
    <w:nsid w:val="773BFBDD"/>
    <w:multiLevelType w:val="hybridMultilevel"/>
    <w:lvl w:ilvl="0">
      <w:lvlJc w:val="left"/>
      <w:lvlText w:val="•"/>
      <w:numFmt w:val="bullet"/>
      <w:start w:val="1"/>
    </w:lvl>
  </w:abstractNum>
  <w:abstractNum w:abstractNumId="2">
    <w:nsid w:val="2C7C62C2"/>
    <w:multiLevelType w:val="hybridMultilevel"/>
    <w:lvl w:ilvl="0">
      <w:lvlJc w:val="left"/>
      <w:lvlText w:val="•"/>
      <w:numFmt w:val="bullet"/>
      <w:start w:val="1"/>
    </w:lvl>
  </w:abstractNum>
  <w:abstractNum w:abstractNumId="3">
    <w:nsid w:val="1A54D7BC"/>
    <w:multiLevelType w:val="hybridMultilevel"/>
    <w:lvl w:ilvl="0">
      <w:lvlJc w:val="left"/>
      <w:lvlText w:val="•"/>
      <w:numFmt w:val="bullet"/>
      <w:start w:val="1"/>
    </w:lvl>
  </w:abstractNum>
  <w:abstractNum w:abstractNumId="4">
    <w:nsid w:val="42E57EF7"/>
    <w:multiLevelType w:val="hybridMultilevel"/>
    <w:lvl w:ilvl="0">
      <w:lvlJc w:val="left"/>
      <w:lvlText w:val="•"/>
      <w:numFmt w:val="bullet"/>
      <w:start w:val="1"/>
    </w:lvl>
  </w:abstractNum>
  <w:abstractNum w:abstractNumId="5">
    <w:nsid w:val="33537CED"/>
    <w:multiLevelType w:val="hybridMultilevel"/>
    <w:lvl w:ilvl="0">
      <w:lvlJc w:val="left"/>
      <w:lvlText w:val="•"/>
      <w:numFmt w:val="bullet"/>
      <w:start w:val="1"/>
    </w:lvl>
  </w:abstractNum>
  <w:abstractNum w:abstractNumId="6">
    <w:nsid w:val="27514ADE"/>
    <w:multiLevelType w:val="hybridMultilevel"/>
    <w:lvl w:ilvl="0">
      <w:lvlJc w:val="left"/>
      <w:lvlText w:val="•"/>
      <w:numFmt w:val="bullet"/>
      <w:start w:val="1"/>
    </w:lvl>
  </w:abstractNum>
  <w:abstractNum w:abstractNumId="7">
    <w:nsid w:val="57071613"/>
    <w:multiLevelType w:val="hybridMultilevel"/>
    <w:lvl w:ilvl="0">
      <w:lvlJc w:val="left"/>
      <w:lvlText w:val="•"/>
      <w:numFmt w:val="bullet"/>
      <w:start w:val="1"/>
    </w:lvl>
  </w:abstractNum>
  <w:abstractNum w:abstractNumId="8">
    <w:nsid w:val="5293BFEF"/>
    <w:multiLevelType w:val="hybridMultilevel"/>
    <w:lvl w:ilvl="0">
      <w:lvlJc w:val="left"/>
      <w:lvlText w:val="•"/>
      <w:numFmt w:val="bullet"/>
      <w:start w:val="1"/>
    </w:lvl>
  </w:abstractNum>
  <w:abstractNum w:abstractNumId="9">
    <w:nsid w:val="38BF53E5"/>
    <w:multiLevelType w:val="hybridMultilevel"/>
    <w:lvl w:ilvl="0">
      <w:lvlJc w:val="left"/>
      <w:lvlText w:val="•"/>
      <w:numFmt w:val="bullet"/>
      <w:start w:val="1"/>
    </w:lvl>
  </w:abstractNum>
  <w:abstractNum w:abstractNumId="10">
    <w:nsid w:val="226F5320"/>
    <w:multiLevelType w:val="hybridMultilevel"/>
    <w:lvl w:ilvl="0">
      <w:lvlJc w:val="left"/>
      <w:lvlText w:val="•"/>
      <w:numFmt w:val="bullet"/>
      <w:start w:val="1"/>
    </w:lvl>
  </w:abstractNum>
  <w:abstractNum w:abstractNumId="11">
    <w:nsid w:val="5A0201C7"/>
    <w:multiLevelType w:val="hybridMultilevel"/>
    <w:lvl w:ilvl="0">
      <w:lvlJc w:val="left"/>
      <w:lvlText w:val="•"/>
      <w:numFmt w:val="bullet"/>
      <w:start w:val="1"/>
    </w:lvl>
  </w:abstractNum>
  <w:abstractNum w:abstractNumId="12">
    <w:nsid w:val="2A9C34E2"/>
    <w:multiLevelType w:val="hybridMultilevel"/>
    <w:lvl w:ilvl="0">
      <w:lvlJc w:val="left"/>
      <w:lvlText w:val="•"/>
      <w:numFmt w:val="bullet"/>
      <w:start w:val="1"/>
    </w:lvl>
  </w:abstractNum>
  <w:abstractNum w:abstractNumId="13">
    <w:nsid w:val="1B7585AB"/>
    <w:multiLevelType w:val="hybridMultilevel"/>
    <w:lvl w:ilvl="0">
      <w:lvlJc w:val="left"/>
      <w:lvlText w:val="•"/>
      <w:numFmt w:val="bullet"/>
      <w:start w:val="1"/>
    </w:lvl>
  </w:abstractNum>
  <w:abstractNum w:abstractNumId="14">
    <w:nsid w:val="612DBDDD"/>
    <w:multiLevelType w:val="hybridMultilevel"/>
    <w:lvl w:ilvl="0">
      <w:lvlJc w:val="left"/>
      <w:lvlText w:val="•"/>
      <w:numFmt w:val="bullet"/>
      <w:start w:val="1"/>
    </w:lvl>
  </w:abstractNum>
  <w:abstractNum w:abstractNumId="15">
    <w:nsid w:val="2109CDA4"/>
    <w:multiLevelType w:val="hybridMultilevel"/>
    <w:lvl w:ilvl="0">
      <w:lvlJc w:val="left"/>
      <w:lvlText w:val="\endash "/>
      <w:numFmt w:val="bullet"/>
      <w:start w:val="1"/>
    </w:lvl>
  </w:abstractNum>
  <w:abstractNum w:abstractNumId="16">
    <w:nsid w:val="577F5A4D"/>
    <w:multiLevelType w:val="hybridMultilevel"/>
    <w:lvl w:ilvl="0">
      <w:lvlJc w:val="left"/>
      <w:lvlText w:val="•"/>
      <w:numFmt w:val="bullet"/>
      <w:start w:val="1"/>
    </w:lvl>
  </w:abstractNum>
  <w:abstractNum w:abstractNumId="17">
    <w:nsid w:val="2121A81"/>
    <w:multiLevelType w:val="hybridMultilevel"/>
    <w:lvl w:ilvl="0">
      <w:lvlJc w:val="left"/>
      <w:lvlText w:val="•"/>
      <w:numFmt w:val="bullet"/>
      <w:start w:val="1"/>
    </w:lvl>
  </w:abstractNum>
  <w:abstractNum w:abstractNumId="18">
    <w:nsid w:val="6C2CFC88"/>
    <w:multiLevelType w:val="hybridMultilevel"/>
    <w:lvl w:ilvl="0">
      <w:lvlJc w:val="left"/>
      <w:lvlText w:val="•"/>
      <w:numFmt w:val="bullet"/>
      <w:start w:val="1"/>
    </w:lvl>
  </w:abstractNum>
  <w:abstractNum w:abstractNumId="19">
    <w:nsid w:val="6D1BCF1C"/>
    <w:multiLevelType w:val="hybridMultilevel"/>
    <w:lvl w:ilvl="0">
      <w:lvlJc w:val="left"/>
      <w:lvlText w:val="•"/>
      <w:numFmt w:val="bullet"/>
      <w:start w:val="1"/>
    </w:lvl>
  </w:abstractNum>
  <w:abstractNum w:abstractNumId="20">
    <w:nsid w:val="4CE5CA53"/>
    <w:multiLevelType w:val="hybridMultilevel"/>
    <w:lvl w:ilvl="0">
      <w:lvlJc w:val="left"/>
      <w:lvlText w:val="•"/>
      <w:numFmt w:val="bullet"/>
      <w:start w:val="1"/>
    </w:lvl>
  </w:abstractNum>
  <w:abstractNum w:abstractNumId="21">
    <w:nsid w:val="29262D1A"/>
    <w:multiLevelType w:val="hybridMultilevel"/>
    <w:lvl w:ilvl="0">
      <w:lvlJc w:val="left"/>
      <w:lvlText w:val="•"/>
      <w:numFmt w:val="bullet"/>
      <w:start w:val="1"/>
    </w:lvl>
  </w:abstractNum>
  <w:abstractNum w:abstractNumId="22">
    <w:nsid w:val="557FB7EE"/>
    <w:multiLevelType w:val="hybridMultilevel"/>
    <w:lvl w:ilvl="0">
      <w:lvlJc w:val="left"/>
      <w:lvlText w:val="•"/>
      <w:numFmt w:val="bullet"/>
      <w:start w:val="1"/>
    </w:lvl>
  </w:abstractNum>
  <w:abstractNum w:abstractNumId="23">
    <w:nsid w:val="436F2BEB"/>
    <w:multiLevelType w:val="hybridMultilevel"/>
    <w:lvl w:ilvl="0">
      <w:lvlJc w:val="left"/>
      <w:lvlText w:val="•"/>
      <w:numFmt w:val="bullet"/>
      <w:start w:val="1"/>
    </w:lvl>
  </w:abstractNum>
  <w:abstractNum w:abstractNumId="24">
    <w:nsid w:val="6C8B4466"/>
    <w:multiLevelType w:val="hybridMultilevel"/>
    <w:lvl w:ilvl="0">
      <w:lvlJc w:val="left"/>
      <w:lvlText w:val="1"/>
      <w:numFmt w:val="bullet"/>
      <w:start w:val="1"/>
    </w:lvl>
  </w:abstractNum>
  <w:abstractNum w:abstractNumId="25">
    <w:nsid w:val="2006E424"/>
    <w:multiLevelType w:val="hybridMultilevel"/>
    <w:lvl w:ilvl="0">
      <w:lvlJc w:val="left"/>
      <w:lvlText w:val="•"/>
      <w:numFmt w:val="bullet"/>
      <w:start w:val="1"/>
    </w:lvl>
  </w:abstractNum>
  <w:abstractNum w:abstractNumId="26">
    <w:nsid w:val="20CC134C"/>
    <w:multiLevelType w:val="hybridMultilevel"/>
    <w:lvl w:ilvl="0">
      <w:lvlJc w:val="left"/>
      <w:lvlText w:val="•"/>
      <w:numFmt w:val="bullet"/>
      <w:start w:val="1"/>
    </w:lvl>
  </w:abstractNum>
  <w:abstractNum w:abstractNumId="27">
    <w:nsid w:val="95FC93B"/>
    <w:multiLevelType w:val="hybridMultilevel"/>
    <w:lvl w:ilvl="0">
      <w:lvlJc w:val="left"/>
      <w:lvlText w:val="•"/>
      <w:numFmt w:val="bullet"/>
      <w:start w:val="1"/>
    </w:lvl>
  </w:abstractNum>
  <w:abstractNum w:abstractNumId="28">
    <w:nsid w:val="41D74679"/>
    <w:multiLevelType w:val="hybridMultilevel"/>
    <w:lvl w:ilvl="0">
      <w:lvlJc w:val="left"/>
      <w:lvlText w:val="•"/>
      <w:numFmt w:val="bullet"/>
      <w:start w:val="1"/>
    </w:lvl>
  </w:abstractNum>
  <w:abstractNum w:abstractNumId="29">
    <w:nsid w:val="71E5621E"/>
    <w:multiLevelType w:val="hybridMultilevel"/>
    <w:lvl w:ilvl="0">
      <w:lvlJc w:val="left"/>
      <w:lvlText w:val="•"/>
      <w:numFmt w:val="bullet"/>
      <w:start w:val="1"/>
    </w:lvl>
  </w:abstractNum>
  <w:abstractNum w:abstractNumId="30">
    <w:nsid w:val="4E42B6A8"/>
    <w:multiLevelType w:val="hybridMultilevel"/>
    <w:lvl w:ilvl="0">
      <w:lvlJc w:val="left"/>
      <w:lvlText w:val="(%1)"/>
      <w:numFmt w:val="decimal"/>
      <w:start w:val="1"/>
    </w:lvl>
  </w:abstractNum>
  <w:abstractNum w:abstractNumId="31">
    <w:nsid w:val="43F8E1AC"/>
    <w:multiLevelType w:val="hybridMultilevel"/>
    <w:lvl w:ilvl="0">
      <w:lvlJc w:val="left"/>
      <w:lvlText w:val="•"/>
      <w:numFmt w:val="bullet"/>
      <w:start w:val="1"/>
    </w:lvl>
  </w:abstractNum>
  <w:abstractNum w:abstractNumId="32">
    <w:nsid w:val="69215DFB"/>
    <w:multiLevelType w:val="hybridMultilevel"/>
    <w:lvl w:ilvl="0">
      <w:lvlJc w:val="left"/>
      <w:lvlText w:val="•"/>
      <w:numFmt w:val="bullet"/>
      <w:start w:val="1"/>
    </w:lvl>
  </w:abstractNum>
  <w:abstractNum w:abstractNumId="33">
    <w:nsid w:val="7ABF196A"/>
    <w:multiLevelType w:val="hybridMultilevel"/>
    <w:lvl w:ilvl="0">
      <w:lvlJc w:val="left"/>
      <w:lvlText w:val="(%1)"/>
      <w:numFmt w:val="decimal"/>
      <w:start w:val="1"/>
    </w:lvl>
  </w:abstractNum>
  <w:abstractNum w:abstractNumId="34">
    <w:nsid w:val="5E4DB968"/>
    <w:multiLevelType w:val="hybridMultilevel"/>
    <w:lvl w:ilvl="0">
      <w:lvlJc w:val="left"/>
      <w:lvlText w:val="(%1)"/>
      <w:numFmt w:val="decimal"/>
      <w:start w:val="6"/>
    </w:lvl>
  </w:abstractNum>
  <w:abstractNum w:abstractNumId="35">
    <w:nsid w:val="2C06DCF3"/>
    <w:multiLevelType w:val="hybridMultilevel"/>
    <w:lvl w:ilvl="0">
      <w:lvlJc w:val="left"/>
      <w:lvlText w:val="(%1)"/>
      <w:numFmt w:val="decimal"/>
      <w:start w:val="1"/>
    </w:lvl>
  </w:abstractNum>
  <w:abstractNum w:abstractNumId="36">
    <w:nsid w:val="2E129658"/>
    <w:multiLevelType w:val="hybridMultilevel"/>
    <w:lvl w:ilvl="0">
      <w:lvlJc w:val="left"/>
      <w:lvlText w:val="(%1)"/>
      <w:numFmt w:val="decimal"/>
      <w:start w:val="3"/>
    </w:lvl>
  </w:abstractNum>
  <w:abstractNum w:abstractNumId="37">
    <w:nsid w:val="59F0446"/>
    <w:multiLevelType w:val="hybridMultilevel"/>
    <w:lvl w:ilvl="0">
      <w:lvlJc w:val="left"/>
      <w:lvlText w:val="(%1)"/>
      <w:numFmt w:val="lowerRoman"/>
      <w:start w:val="2"/>
    </w:lvl>
  </w:abstractNum>
  <w:abstractNum w:abstractNumId="38">
    <w:nsid w:val="30DF306"/>
    <w:multiLevelType w:val="hybridMultilevel"/>
    <w:lvl w:ilvl="0">
      <w:lvlJc w:val="left"/>
      <w:lvlText w:val="(%1)"/>
      <w:numFmt w:val="decimal"/>
      <w:start w:val="1"/>
    </w:lvl>
  </w:abstractNum>
  <w:abstractNum w:abstractNumId="39">
    <w:nsid w:val="A65647"/>
    <w:multiLevelType w:val="hybridMultilevel"/>
    <w:lvl w:ilvl="0">
      <w:lvlJc w:val="left"/>
      <w:lvlText w:val="(%1)"/>
      <w:numFmt w:val="decimal"/>
      <w:start w:val="1"/>
    </w:lvl>
  </w:abstractNum>
  <w:abstractNum w:abstractNumId="40">
    <w:nsid w:val="3E5E582B"/>
    <w:multiLevelType w:val="hybridMultilevel"/>
    <w:lvl w:ilvl="0">
      <w:lvlJc w:val="left"/>
      <w:lvlText w:val="%1."/>
      <w:numFmt w:val="lowerLetter"/>
      <w:start w:val="1"/>
    </w:lvl>
  </w:abstractNum>
  <w:abstractNum w:abstractNumId="41">
    <w:nsid w:val="257D4626"/>
    <w:multiLevelType w:val="hybridMultilevel"/>
    <w:lvl w:ilvl="0">
      <w:lvlJc w:val="left"/>
      <w:lvlText w:val="+"/>
      <w:numFmt w:val="bullet"/>
      <w:start w:val="1"/>
    </w:lvl>
  </w:abstractNum>
  <w:abstractNum w:abstractNumId="42">
    <w:nsid w:val="5AA8580E"/>
    <w:multiLevelType w:val="hybridMultilevel"/>
    <w:lvl w:ilvl="0">
      <w:lvlJc w:val="left"/>
      <w:lvlText w:val="(%1)"/>
      <w:numFmt w:val="decimal"/>
      <w:start w:val="3"/>
    </w:lvl>
    <w:lvl w:ilvl="1">
      <w:lvlJc w:val="left"/>
      <w:lvlText w:val="%2."/>
      <w:numFmt w:val="lowerLetter"/>
      <w:start w:val="1"/>
    </w:lvl>
  </w:abstractNum>
  <w:abstractNum w:abstractNumId="43">
    <w:nsid w:val="68FA8D0D"/>
    <w:multiLevelType w:val="hybridMultilevel"/>
    <w:lvl w:ilvl="0">
      <w:lvlJc w:val="left"/>
      <w:lvlText w:val="(%1)"/>
      <w:numFmt w:val="decimal"/>
      <w:start w:val="5"/>
    </w:lvl>
  </w:abstractNum>
  <w:abstractNum w:abstractNumId="44">
    <w:nsid w:val="40F2CBD2"/>
    <w:multiLevelType w:val="hybridMultilevel"/>
    <w:lvl w:ilvl="0">
      <w:lvlJc w:val="left"/>
      <w:lvlText w:val="(%1)"/>
      <w:numFmt w:val="decimal"/>
      <w:start w:val="6"/>
    </w:lvl>
  </w:abstractNum>
  <w:abstractNum w:abstractNumId="45">
    <w:nsid w:val="3BD615EB"/>
    <w:multiLevelType w:val="hybridMultilevel"/>
    <w:lvl w:ilvl="0">
      <w:lvlJc w:val="left"/>
      <w:lvlText w:val="•"/>
      <w:numFmt w:val="bullet"/>
      <w:start w:val="1"/>
    </w:lvl>
  </w:abstractNum>
  <w:abstractNum w:abstractNumId="46">
    <w:nsid w:val="A045AB2"/>
    <w:multiLevelType w:val="hybridMultilevel"/>
    <w:lvl w:ilvl="0">
      <w:lvlJc w:val="left"/>
      <w:lvlText w:val="*"/>
      <w:numFmt w:val="bullet"/>
      <w:start w:val="1"/>
    </w:lvl>
  </w:abstractNum>
  <w:abstractNum w:abstractNumId="47">
    <w:nsid w:val="1872261F"/>
    <w:multiLevelType w:val="hybridMultilevel"/>
    <w:lvl w:ilvl="0">
      <w:lvlJc w:val="left"/>
      <w:lvlText w:val="(%1)"/>
      <w:numFmt w:val="decimal"/>
      <w:start w:val="1"/>
    </w:lvl>
  </w:abstractNum>
  <w:abstractNum w:abstractNumId="48">
    <w:nsid w:val="3DE8306C"/>
    <w:multiLevelType w:val="hybridMultilevel"/>
    <w:lvl w:ilvl="0">
      <w:lvlJc w:val="left"/>
      <w:lvlText w:val="(%1)"/>
      <w:numFmt w:val="decimal"/>
      <w:start w:val="8"/>
    </w:lvl>
  </w:abstractNum>
  <w:abstractNum w:abstractNumId="49">
    <w:nsid w:val="7631573A"/>
    <w:multiLevelType w:val="hybridMultilevel"/>
    <w:lvl w:ilvl="0">
      <w:lvlJc w:val="left"/>
      <w:lvlText w:val="•"/>
      <w:numFmt w:val="bullet"/>
      <w:start w:val="1"/>
    </w:lvl>
    <w:lvl w:ilvl="1">
      <w:lvlJc w:val="left"/>
      <w:lvlText w:val="%2."/>
      <w:numFmt w:val="lowerRoman"/>
      <w:start w:val="1"/>
    </w:lvl>
  </w:abstractNum>
  <w:abstractNum w:abstractNumId="50">
    <w:nsid w:val="58DF53B"/>
    <w:multiLevelType w:val="hybridMultilevel"/>
    <w:lvl w:ilvl="0">
      <w:lvlJc w:val="left"/>
      <w:lvlText w:val="•"/>
      <w:numFmt w:val="bullet"/>
      <w:start w:val="1"/>
    </w:lvl>
  </w:abstractNum>
  <w:abstractNum w:abstractNumId="51">
    <w:nsid w:val="ACDFAC0"/>
    <w:multiLevelType w:val="hybridMultilevel"/>
    <w:lvl w:ilvl="0">
      <w:lvlJc w:val="left"/>
      <w:lvlText w:val="•"/>
      <w:numFmt w:val="bullet"/>
      <w:start w:val="1"/>
    </w:lvl>
  </w:abstractNum>
  <w:abstractNum w:abstractNumId="52">
    <w:nsid w:val="1F578454"/>
    <w:multiLevelType w:val="hybridMultilevel"/>
    <w:lvl w:ilvl="0">
      <w:lvlJc w:val="left"/>
      <w:lvlText w:val="*"/>
      <w:numFmt w:val="bullet"/>
      <w:start w:val="1"/>
    </w:lvl>
  </w:abstractNum>
  <w:abstractNum w:abstractNumId="53">
    <w:nsid w:val="5B0DAD2A"/>
    <w:multiLevelType w:val="hybridMultilevel"/>
    <w:lvl w:ilvl="0">
      <w:lvlJc w:val="left"/>
      <w:lvlText w:val="(%1)"/>
      <w:numFmt w:val="decimal"/>
      <w:start w:val="1"/>
    </w:lvl>
  </w:abstractNum>
  <w:abstractNum w:abstractNumId="54">
    <w:nsid w:val="4E3D26AB"/>
    <w:multiLevelType w:val="hybridMultilevel"/>
    <w:lvl w:ilvl="0">
      <w:lvlJc w:val="left"/>
      <w:lvlText w:val="%1"/>
      <w:numFmt w:val="decimal"/>
      <w:start w:val="1"/>
    </w:lvl>
    <w:lvl w:ilvl="1">
      <w:lvlJc w:val="left"/>
      <w:lvlText w:val="(%2)"/>
      <w:numFmt w:val="lowerRoman"/>
      <w:start w:val="2"/>
    </w:lvl>
  </w:abstractNum>
  <w:abstractNum w:abstractNumId="55">
    <w:nsid w:val="BE2C8BA"/>
    <w:multiLevelType w:val="hybridMultilevel"/>
    <w:lvl w:ilvl="0">
      <w:lvlJc w:val="left"/>
      <w:lvlText w:val="(%1)"/>
      <w:numFmt w:val="decimal"/>
      <w:start w:val="3"/>
    </w:lvl>
    <w:lvl w:ilvl="1">
      <w:lvlJc w:val="left"/>
      <w:lvlText w:val="%2"/>
      <w:numFmt w:val="lowerRoman"/>
      <w:start w:val="1"/>
    </w:lvl>
  </w:abstractNum>
  <w:abstractNum w:abstractNumId="56">
    <w:nsid w:val="7B14914E"/>
    <w:multiLevelType w:val="hybridMultilevel"/>
    <w:lvl w:ilvl="0">
      <w:lvlJc w:val="left"/>
      <w:lvlText w:val="(%1)"/>
      <w:numFmt w:val="decimal"/>
      <w:start w:val="6"/>
    </w:lvl>
  </w:abstractNum>
  <w:abstractNum w:abstractNumId="57">
    <w:nsid w:val="6F0939F8"/>
    <w:multiLevelType w:val="hybridMultilevel"/>
    <w:lvl w:ilvl="0">
      <w:lvlJc w:val="left"/>
      <w:lvlText w:val="(%1)"/>
      <w:numFmt w:val="decimal"/>
      <w:start w:val="11"/>
    </w:lvl>
  </w:abstractNum>
  <w:abstractNum w:abstractNumId="58">
    <w:nsid w:val="154291F6"/>
    <w:multiLevelType w:val="hybridMultilevel"/>
    <w:lvl w:ilvl="0">
      <w:lvlJc w:val="left"/>
      <w:lvlText w:val="(%1)"/>
      <w:numFmt w:val="decimal"/>
      <w:start w:val="15"/>
    </w:lvl>
  </w:abstractNum>
  <w:abstractNum w:abstractNumId="59">
    <w:nsid w:val="3CEBD7C7"/>
    <w:multiLevelType w:val="hybridMultilevel"/>
    <w:lvl w:ilvl="0">
      <w:lvlJc w:val="left"/>
      <w:lvlText w:val="(%1)"/>
      <w:numFmt w:val="decimal"/>
      <w:start w:val="19"/>
    </w:lvl>
    <w:lvl w:ilvl="1">
      <w:lvlJc w:val="left"/>
      <w:lvlText w:val="(%2)"/>
      <w:numFmt w:val="lowerRoman"/>
      <w:start w:val="3"/>
    </w:lvl>
  </w:abstractNum>
  <w:abstractNum w:abstractNumId="60">
    <w:nsid w:val="60EE9C16"/>
    <w:multiLevelType w:val="hybridMultilevel"/>
    <w:lvl w:ilvl="0">
      <w:lvlJc w:val="left"/>
      <w:lvlText w:val="(%1)"/>
      <w:numFmt w:val="decimal"/>
      <w:start w:val="26"/>
    </w:lvl>
  </w:abstractNum>
  <w:abstractNum w:abstractNumId="61">
    <w:nsid w:val="6385489E"/>
    <w:multiLevelType w:val="hybridMultilevel"/>
    <w:lvl w:ilvl="0">
      <w:lvlJc w:val="left"/>
      <w:lvlText w:val="•"/>
      <w:numFmt w:val="bullet"/>
      <w:start w:val="1"/>
    </w:lvl>
  </w:abstractNum>
  <w:abstractNum w:abstractNumId="62">
    <w:nsid w:val="E4B973"/>
    <w:multiLevelType w:val="hybridMultilevel"/>
    <w:lvl w:ilvl="0">
      <w:lvlJc w:val="left"/>
      <w:lvlText w:val="•"/>
      <w:numFmt w:val="bullet"/>
      <w:start w:val="1"/>
    </w:lvl>
  </w:abstractNum>
  <w:abstractNum w:abstractNumId="63">
    <w:nsid w:val="4A0FFA11"/>
    <w:multiLevelType w:val="hybridMultilevel"/>
    <w:lvl w:ilvl="0">
      <w:lvlJc w:val="left"/>
      <w:lvlText w:val="•"/>
      <w:numFmt w:val="bullet"/>
      <w:start w:val="1"/>
    </w:lvl>
  </w:abstractNum>
  <w:abstractNum w:abstractNumId="64">
    <w:nsid w:val="5E446208"/>
    <w:multiLevelType w:val="hybridMultilevel"/>
    <w:lvl w:ilvl="0">
      <w:lvlJc w:val="left"/>
      <w:lvlText w:val="•"/>
      <w:numFmt w:val="bullet"/>
      <w:start w:val="1"/>
    </w:lvl>
  </w:abstractNum>
  <w:abstractNum w:abstractNumId="65">
    <w:nsid w:val="5F3272DB"/>
    <w:multiLevelType w:val="hybridMultilevel"/>
    <w:lvl w:ilvl="0">
      <w:lvlJc w:val="left"/>
      <w:lvlText w:val="(%1)"/>
      <w:numFmt w:val="lowerRoman"/>
      <w:start w:val="2"/>
    </w:lvl>
  </w:abstractNum>
  <w:abstractNum w:abstractNumId="66">
    <w:nsid w:val="7616D704"/>
    <w:multiLevelType w:val="hybridMultilevel"/>
    <w:lvl w:ilvl="0">
      <w:lvlJc w:val="left"/>
      <w:lvlText w:val="(%1)"/>
      <w:numFmt w:val="lowerRoman"/>
      <w:start w:val="1"/>
    </w:lvl>
  </w:abstractNum>
  <w:abstractNum w:abstractNumId="67">
    <w:nsid w:val="C56F860"/>
    <w:multiLevelType w:val="hybridMultilevel"/>
    <w:lvl w:ilvl="0">
      <w:lvlJc w:val="left"/>
      <w:lvlText w:val="%1."/>
      <w:numFmt w:val="lowerRoman"/>
      <w:start w:val="1"/>
    </w:lvl>
  </w:abstractNum>
  <w:abstractNum w:abstractNumId="68">
    <w:nsid w:val="64D17722"/>
    <w:multiLevelType w:val="hybridMultilevel"/>
    <w:lvl w:ilvl="0">
      <w:lvlJc w:val="left"/>
      <w:lvlText w:val="•"/>
      <w:numFmt w:val="bullet"/>
      <w:start w:val="1"/>
    </w:lvl>
  </w:abstractNum>
  <w:abstractNum w:abstractNumId="69">
    <w:nsid w:val="7924CA0A"/>
    <w:multiLevelType w:val="hybridMultilevel"/>
    <w:lvl w:ilvl="0">
      <w:lvlJc w:val="left"/>
      <w:lvlText w:val="•"/>
      <w:numFmt w:val="bullet"/>
      <w:start w:val="1"/>
    </w:lvl>
  </w:abstractNum>
  <w:abstractNum w:abstractNumId="70">
    <w:nsid w:val="CFD4EA7"/>
    <w:multiLevelType w:val="hybridMultilevel"/>
    <w:lvl w:ilvl="0">
      <w:lvlJc w:val="left"/>
      <w:lvlText w:val="(%1)"/>
      <w:numFmt w:val="lowerRoman"/>
      <w:start w:val="2"/>
    </w:lvl>
  </w:abstractNum>
  <w:abstractNum w:abstractNumId="71">
    <w:nsid w:val="232FCF4D"/>
    <w:multiLevelType w:val="hybridMultilevel"/>
    <w:lvl w:ilvl="0">
      <w:lvlJc w:val="left"/>
      <w:lvlText w:val="•"/>
      <w:numFmt w:val="bullet"/>
      <w:start w:val="1"/>
    </w:lvl>
  </w:abstractNum>
  <w:abstractNum w:abstractNumId="72">
    <w:nsid w:val="1EA21031"/>
    <w:multiLevelType w:val="hybridMultilevel"/>
    <w:lvl w:ilvl="0">
      <w:lvlJc w:val="left"/>
      <w:lvlText w:val="(%1)"/>
      <w:numFmt w:val="decimal"/>
      <w:start w:val="1"/>
    </w:lvl>
  </w:abstractNum>
  <w:abstractNum w:abstractNumId="73">
    <w:nsid w:val="67A5A6B5"/>
    <w:multiLevelType w:val="hybridMultilevel"/>
    <w:lvl w:ilvl="0">
      <w:lvlJc w:val="left"/>
      <w:lvlText w:val="(%1)"/>
      <w:numFmt w:val="decimal"/>
      <w:start w:val="1"/>
    </w:lvl>
  </w:abstractNum>
  <w:abstractNum w:abstractNumId="74">
    <w:nsid w:val="C2A5C5B"/>
    <w:multiLevelType w:val="hybridMultilevel"/>
    <w:lvl w:ilvl="0">
      <w:lvlJc w:val="left"/>
      <w:lvlText w:val="%1."/>
      <w:numFmt w:val="lowerRoman"/>
      <w:start w:val="1"/>
    </w:lvl>
  </w:abstractNum>
  <w:abstractNum w:abstractNumId="75">
    <w:nsid w:val="5F94DC03"/>
    <w:multiLevelType w:val="hybridMultilevel"/>
    <w:lvl w:ilvl="0">
      <w:lvlJc w:val="left"/>
      <w:lvlText w:val="%1."/>
      <w:numFmt w:val="lowerRoman"/>
      <w:start w:val="3"/>
    </w:lvl>
  </w:abstractNum>
  <w:abstractNum w:abstractNumId="76">
    <w:nsid w:val="237BBCA0"/>
    <w:multiLevelType w:val="hybridMultilevel"/>
    <w:lvl w:ilvl="0">
      <w:lvlJc w:val="left"/>
      <w:lvlText w:val="•"/>
      <w:numFmt w:val="bullet"/>
      <w:start w:val="1"/>
    </w:lvl>
  </w:abstractNum>
  <w:abstractNum w:abstractNumId="77">
    <w:nsid w:val="162EB70D"/>
    <w:multiLevelType w:val="hybridMultilevel"/>
    <w:lvl w:ilvl="0">
      <w:lvlJc w:val="left"/>
      <w:lvlText w:val="•"/>
      <w:numFmt w:val="bullet"/>
      <w:start w:val="1"/>
    </w:lvl>
  </w:abstractNum>
  <w:abstractNum w:abstractNumId="78">
    <w:nsid w:val="78070222"/>
    <w:multiLevelType w:val="hybridMultilevel"/>
    <w:lvl w:ilvl="0">
      <w:lvlJc w:val="left"/>
      <w:lvlText w:val="•"/>
      <w:numFmt w:val="bullet"/>
      <w:start w:val="1"/>
    </w:lvl>
  </w:abstractNum>
  <w:abstractNum w:abstractNumId="79">
    <w:nsid w:val="6163ED0D"/>
    <w:multiLevelType w:val="hybridMultilevel"/>
    <w:lvl w:ilvl="0">
      <w:lvlJc w:val="left"/>
      <w:lvlText w:val="%1"/>
      <w:numFmt w:val="decimal"/>
      <w:start w:val="107"/>
    </w:lvl>
  </w:abstractNum>
  <w:abstractNum w:abstractNumId="80">
    <w:nsid w:val="C600E47"/>
    <w:multiLevelType w:val="hybridMultilevel"/>
    <w:lvl w:ilvl="0">
      <w:lvlJc w:val="left"/>
      <w:lvlText w:val="(%1)"/>
      <w:numFmt w:val="lowerLetter"/>
      <w:start w:val="2"/>
    </w:lvl>
  </w:abstractNum>
  <w:abstractNum w:abstractNumId="81">
    <w:nsid w:val="7D94F75D"/>
    <w:multiLevelType w:val="hybridMultilevel"/>
    <w:lvl w:ilvl="0">
      <w:lvlJc w:val="left"/>
      <w:lvlText w:val="(%1)"/>
      <w:numFmt w:val="decimal"/>
      <w:start w:val="1"/>
    </w:lvl>
  </w:abstractNum>
  <w:abstractNum w:abstractNumId="82">
    <w:nsid w:val="6C31E7CD"/>
    <w:multiLevelType w:val="hybridMultilevel"/>
    <w:lvl w:ilvl="0">
      <w:lvlJc w:val="left"/>
      <w:lvlText w:val="(%1)"/>
      <w:numFmt w:val="lowerRoman"/>
      <w:start w:val="2"/>
    </w:lvl>
  </w:abstractNum>
  <w:abstractNum w:abstractNumId="83">
    <w:nsid w:val="2BB7929B"/>
    <w:multiLevelType w:val="hybridMultilevel"/>
    <w:lvl w:ilvl="0">
      <w:lvlJc w:val="left"/>
      <w:lvlText w:val="(%1)"/>
      <w:numFmt w:val="decimal"/>
      <w:start w:val="2"/>
    </w:lvl>
  </w:abstractNum>
  <w:abstractNum w:abstractNumId="84">
    <w:nsid w:val="58A2A487"/>
    <w:multiLevelType w:val="hybridMultilevel"/>
    <w:lvl w:ilvl="0">
      <w:lvlJc w:val="left"/>
      <w:lvlText w:val="(%1)"/>
      <w:numFmt w:val="lowerRoman"/>
      <w:start w:val="3"/>
    </w:lvl>
    <w:lvl w:ilvl="1">
      <w:lvlJc w:val="left"/>
      <w:lvlText w:val="%2."/>
      <w:numFmt w:val="upperLetter"/>
      <w:start w:val="6"/>
    </w:lvl>
  </w:abstractNum>
  <w:abstractNum w:abstractNumId="85">
    <w:nsid w:val="3A6F0E78"/>
    <w:multiLevelType w:val="hybridMultilevel"/>
    <w:lvl w:ilvl="0">
      <w:lvlJc w:val="left"/>
      <w:lvlText w:val="(%1)"/>
      <w:numFmt w:val="lowerRoman"/>
      <w:start w:val="3"/>
    </w:lvl>
    <w:lvl w:ilvl="1">
      <w:lvlJc w:val="left"/>
      <w:lvlText w:val="%2."/>
      <w:numFmt w:val="upperLetter"/>
      <w:start w:val="8"/>
    </w:lvl>
  </w:abstractNum>
  <w:abstractNum w:abstractNumId="86">
    <w:nsid w:val="379A5B56"/>
    <w:multiLevelType w:val="hybridMultilevel"/>
    <w:lvl w:ilvl="0">
      <w:lvlJc w:val="left"/>
      <w:lvlText w:val="(%1)"/>
      <w:numFmt w:val="lowerLetter"/>
      <w:start w:val="2"/>
    </w:lvl>
    <w:lvl w:ilvl="1">
      <w:lvlJc w:val="left"/>
      <w:lvlText w:val="(%2)"/>
      <w:numFmt w:val="lowerRoman"/>
      <w:start w:val="1"/>
    </w:lvl>
  </w:abstractNum>
  <w:abstractNum w:abstractNumId="87">
    <w:nsid w:val="53B735D5"/>
    <w:multiLevelType w:val="hybridMultilevel"/>
    <w:lvl w:ilvl="0">
      <w:lvlJc w:val="left"/>
      <w:lvlText w:val="(%1)"/>
      <w:numFmt w:val="lowerLetter"/>
      <w:start w:val="1"/>
    </w:lvl>
    <w:lvl w:ilvl="1">
      <w:lvlJc w:val="left"/>
      <w:lvlText w:val="(%2)"/>
      <w:numFmt w:val="lowerRoman"/>
      <w:start w:val="1"/>
    </w:lvl>
  </w:abstractNum>
  <w:abstractNum w:abstractNumId="88">
    <w:nsid w:val="29784870"/>
    <w:multiLevelType w:val="hybridMultilevel"/>
    <w:lvl w:ilvl="0">
      <w:lvlJc w:val="left"/>
      <w:lvlText w:val="(%1)"/>
      <w:numFmt w:val="lowerLetter"/>
      <w:start w:val="5"/>
    </w:lvl>
  </w:abstractNum>
  <w:abstractNum w:abstractNumId="89">
    <w:nsid w:val="4CDCED4C"/>
    <w:multiLevelType w:val="hybridMultilevel"/>
    <w:lvl w:ilvl="0">
      <w:lvlJc w:val="left"/>
      <w:lvlText w:val="(%1)"/>
      <w:numFmt w:val="lowerLetter"/>
      <w:start w:val="1"/>
    </w:lvl>
  </w:abstractNum>
  <w:abstractNum w:abstractNumId="90">
    <w:nsid w:val="10A30D9C"/>
    <w:multiLevelType w:val="hybridMultilevel"/>
    <w:lvl w:ilvl="0">
      <w:lvlJc w:val="left"/>
      <w:lvlText w:val="(%1)"/>
      <w:numFmt w:val="lowerLetter"/>
      <w:start w:val="3"/>
    </w:lvl>
  </w:abstractNum>
  <w:abstractNum w:abstractNumId="91">
    <w:nsid w:val="A66E486"/>
    <w:multiLevelType w:val="hybridMultilevel"/>
    <w:lvl w:ilvl="0">
      <w:lvlJc w:val="left"/>
      <w:lvlText w:val="%1"/>
      <w:numFmt w:val="lowerLetter"/>
      <w:start w:val="1"/>
    </w:lvl>
    <w:lvl w:ilvl="1">
      <w:lvlJc w:val="left"/>
      <w:lvlText w:val="(%2)"/>
      <w:numFmt w:val="lowerLetter"/>
      <w:start w:val="1"/>
    </w:lvl>
  </w:abstractNum>
  <w:abstractNum w:abstractNumId="92">
    <w:nsid w:val="306235EA"/>
    <w:multiLevelType w:val="hybridMultilevel"/>
    <w:lvl w:ilvl="0">
      <w:lvlJc w:val="left"/>
      <w:lvlText w:val="(%1)"/>
      <w:numFmt w:val="lowerLetter"/>
      <w:start w:val="61"/>
    </w:lvl>
    <w:lvl w:ilvl="1">
      <w:lvlJc w:val="left"/>
      <w:lvlText w:val="%2"/>
      <w:numFmt w:val="lowerLetter"/>
      <w:start w:val="1"/>
    </w:lvl>
  </w:abstractNum>
  <w:abstractNum w:abstractNumId="93">
    <w:nsid w:val="1187C70F"/>
    <w:multiLevelType w:val="hybridMultilevel"/>
    <w:lvl w:ilvl="0">
      <w:lvlJc w:val="left"/>
      <w:lvlText w:val="(%1)"/>
      <w:numFmt w:val="lowerLetter"/>
      <w:start w:val="2"/>
    </w:lvl>
  </w:abstractNum>
  <w:abstractNum w:abstractNumId="94">
    <w:nsid w:val="5476DE98"/>
    <w:multiLevelType w:val="hybridMultilevel"/>
    <w:lvl w:ilvl="0">
      <w:lvlJc w:val="left"/>
      <w:lvlText w:val="(%1)"/>
      <w:numFmt w:val="lowerLetter"/>
      <w:start w:val="1"/>
    </w:lvl>
  </w:abstractNum>
  <w:abstractNum w:abstractNumId="95">
    <w:nsid w:val="EA697F2"/>
    <w:multiLevelType w:val="hybridMultilevel"/>
    <w:lvl w:ilvl="0">
      <w:lvlJc w:val="left"/>
      <w:lvlText w:val="(%1)"/>
      <w:numFmt w:val="lowerLetter"/>
      <w:start w:val="1"/>
    </w:lvl>
  </w:abstractNum>
  <w:abstractNum w:abstractNumId="96">
    <w:nsid w:val="70BA39EB"/>
    <w:multiLevelType w:val="hybridMultilevel"/>
    <w:lvl w:ilvl="0">
      <w:lvlJc w:val="left"/>
      <w:lvlText w:val="%1"/>
      <w:numFmt w:val="lowerLetter"/>
      <w:start w:val="1"/>
    </w:lvl>
    <w:lvl w:ilvl="1">
      <w:lvlJc w:val="left"/>
      <w:lvlText w:val="(%2)"/>
      <w:numFmt w:val="lowerLetter"/>
      <w:start w:val="1"/>
    </w:lvl>
  </w:abstractNum>
  <w:abstractNum w:abstractNumId="97">
    <w:nsid w:val="4A8DB59C"/>
    <w:multiLevelType w:val="hybridMultilevel"/>
    <w:lvl w:ilvl="0">
      <w:lvlJc w:val="left"/>
      <w:lvlText w:val="(%1)"/>
      <w:numFmt w:val="lowerLetter"/>
      <w:start w:val="61"/>
    </w:lvl>
    <w:lvl w:ilvl="1">
      <w:lvlJc w:val="left"/>
      <w:lvlText w:val="(%2)"/>
      <w:numFmt w:val="lowerLetter"/>
      <w:start w:val="2"/>
    </w:lvl>
  </w:abstractNum>
  <w:abstractNum w:abstractNumId="98">
    <w:nsid w:val="1AFD9053"/>
    <w:multiLevelType w:val="hybridMultilevel"/>
    <w:lvl w:ilvl="0">
      <w:lvlJc w:val="left"/>
      <w:lvlText w:val="(%1)"/>
      <w:numFmt w:val="lowerLetter"/>
      <w:start w:val="1"/>
    </w:lvl>
  </w:abstractNum>
  <w:abstractNum w:abstractNumId="99">
    <w:nsid w:val="558BB10D"/>
    <w:multiLevelType w:val="hybridMultilevel"/>
    <w:lvl w:ilvl="0">
      <w:lvlJc w:val="left"/>
      <w:lvlText w:val="(%1)"/>
      <w:numFmt w:val="lowerLetter"/>
      <w:start w:val="1"/>
    </w:lvl>
  </w:abstractNum>
  <w:abstractNum w:abstractNumId="100">
    <w:nsid w:val="43B27FA7"/>
    <w:multiLevelType w:val="hybridMultilevel"/>
    <w:lvl w:ilvl="0">
      <w:lvlJc w:val="left"/>
      <w:lvlText w:val="(%1)"/>
      <w:numFmt w:val="lowerRoman"/>
      <w:start w:val="8"/>
    </w:lvl>
    <w:lvl w:ilvl="1">
      <w:lvlJc w:val="left"/>
      <w:lvlText w:val="(%2)"/>
      <w:numFmt w:val="lowerLetter"/>
      <w:start w:val="4"/>
    </w:lvl>
  </w:abstractNum>
  <w:abstractNum w:abstractNumId="101">
    <w:nsid w:val="27FADEFA"/>
    <w:multiLevelType w:val="hybridMultilevel"/>
    <w:lvl w:ilvl="0">
      <w:lvlJc w:val="left"/>
      <w:lvlText w:val="(%1)"/>
      <w:numFmt w:val="lowerLetter"/>
      <w:start w:val="1"/>
    </w:lvl>
  </w:abstractNum>
  <w:abstractNum w:abstractNumId="102">
    <w:nsid w:val="78BB805A"/>
    <w:multiLevelType w:val="hybridMultilevel"/>
    <w:lvl w:ilvl="0">
      <w:lvlJc w:val="left"/>
      <w:lvlText w:val="(%1)"/>
      <w:numFmt w:val="lowerLetter"/>
      <w:start w:val="2"/>
    </w:lvl>
  </w:abstractNum>
  <w:abstractNum w:abstractNumId="103">
    <w:nsid w:val="62548FD8"/>
    <w:multiLevelType w:val="hybridMultilevel"/>
    <w:lvl w:ilvl="0">
      <w:lvlJc w:val="left"/>
      <w:lvlText w:val="(%1)"/>
      <w:numFmt w:val="lowerLetter"/>
      <w:start w:val="2"/>
    </w:lvl>
    <w:lvl w:ilvl="1">
      <w:lvlJc w:val="left"/>
      <w:lvlText w:val="(%2)"/>
      <w:numFmt w:val="lowerLetter"/>
      <w:start w:val="1"/>
    </w:lvl>
  </w:abstractNum>
  <w:abstractNum w:abstractNumId="104">
    <w:nsid w:val="FA085B0"/>
    <w:multiLevelType w:val="hybridMultilevel"/>
    <w:lvl w:ilvl="0">
      <w:lvlJc w:val="left"/>
      <w:lvlText w:val="(%1)"/>
      <w:numFmt w:val="lowerLetter"/>
      <w:start w:val="5"/>
    </w:lvl>
  </w:abstractNum>
  <w:abstractNum w:abstractNumId="105">
    <w:nsid w:val="4E5DCB5"/>
    <w:multiLevelType w:val="hybridMultilevel"/>
    <w:lvl w:ilvl="0">
      <w:lvlJc w:val="left"/>
      <w:lvlText w:val="(%1)"/>
      <w:numFmt w:val="lowerLetter"/>
      <w:start w:val="11"/>
    </w:lvl>
  </w:abstractNum>
  <w:abstractNum w:abstractNumId="106">
    <w:nsid w:val="41E96BDB"/>
    <w:multiLevelType w:val="hybridMultilevel"/>
    <w:lvl w:ilvl="0">
      <w:lvlJc w:val="left"/>
      <w:lvlText w:val="(%1)"/>
      <w:numFmt w:val="lowerLetter"/>
      <w:start w:val="13"/>
    </w:lvl>
  </w:abstractNum>
  <w:abstractNum w:abstractNumId="107">
    <w:nsid w:val="331C4250"/>
    <w:multiLevelType w:val="hybridMultilevel"/>
    <w:lvl w:ilvl="0">
      <w:lvlJc w:val="left"/>
      <w:lvlText w:val="(%1)"/>
      <w:numFmt w:val="lowerLetter"/>
      <w:start w:val="2"/>
    </w:lvl>
  </w:abstractNum>
  <w:abstractNum w:abstractNumId="108">
    <w:nsid w:val="1B1493C2"/>
    <w:multiLevelType w:val="hybridMultilevel"/>
    <w:lvl w:ilvl="0">
      <w:lvlJc w:val="left"/>
      <w:lvlText w:val="(%1)"/>
      <w:numFmt w:val="lowerLetter"/>
      <w:start w:val="1"/>
    </w:lvl>
  </w:abstractNum>
  <w:abstractNum w:abstractNumId="109">
    <w:nsid w:val="39F06DFD"/>
    <w:multiLevelType w:val="hybridMultilevel"/>
    <w:lvl w:ilvl="0">
      <w:lvlJc w:val="left"/>
      <w:lvlText w:val="(%1)"/>
      <w:numFmt w:val="lowerLetter"/>
      <w:start w:val="2"/>
    </w:lvl>
  </w:abstractNum>
  <w:abstractNum w:abstractNumId="110">
    <w:nsid w:val="14802F5D"/>
    <w:multiLevelType w:val="hybridMultilevel"/>
    <w:lvl w:ilvl="0">
      <w:lvlJc w:val="left"/>
      <w:lvlText w:val="(%1)"/>
      <w:numFmt w:val="lowerLetter"/>
      <w:start w:val="6"/>
    </w:lvl>
  </w:abstractNum>
  <w:abstractNum w:abstractNumId="111">
    <w:nsid w:val="2774A209"/>
    <w:multiLevelType w:val="hybridMultilevel"/>
    <w:lvl w:ilvl="0">
      <w:lvlJc w:val="left"/>
      <w:lvlText w:val="(%1)"/>
      <w:numFmt w:val="lowerLetter"/>
      <w:start w:val="1"/>
    </w:lvl>
    <w:lvl w:ilvl="1">
      <w:lvlJc w:val="left"/>
      <w:lvlText w:val="(%2)"/>
      <w:numFmt w:val="lowerRoman"/>
      <w:start w:val="1"/>
    </w:lvl>
  </w:abstractNum>
  <w:abstractNum w:abstractNumId="112">
    <w:nsid w:val="3785655A"/>
    <w:multiLevelType w:val="hybridMultilevel"/>
    <w:lvl w:ilvl="0">
      <w:lvlJc w:val="left"/>
      <w:lvlText w:val="(%1)"/>
      <w:numFmt w:val="lowerRoman"/>
      <w:start w:val="4"/>
    </w:lvl>
  </w:abstractNum>
  <w:abstractNum w:abstractNumId="113">
    <w:nsid w:val="B2172A"/>
    <w:multiLevelType w:val="hybridMultilevel"/>
    <w:lvl w:ilvl="0">
      <w:lvlJc w:val="left"/>
      <w:lvlText w:val="%1"/>
      <w:numFmt w:val="lowerLetter"/>
      <w:start w:val="1"/>
    </w:lvl>
    <w:lvl w:ilvl="1">
      <w:lvlJc w:val="left"/>
      <w:lvlText w:val="(%2)"/>
      <w:numFmt w:val="lowerRoman"/>
      <w:start w:val="15"/>
    </w:lvl>
  </w:abstractNum>
  <w:abstractNum w:abstractNumId="114">
    <w:nsid w:val="532C34A5"/>
    <w:multiLevelType w:val="hybridMultilevel"/>
    <w:lvl w:ilvl="0">
      <w:lvlJc w:val="left"/>
      <w:lvlText w:val="(%1)"/>
      <w:numFmt w:val="lowerLetter"/>
      <w:start w:val="2"/>
    </w:lvl>
    <w:lvl w:ilvl="1">
      <w:lvlJc w:val="left"/>
      <w:lvlText w:val="%2"/>
      <w:numFmt w:val="lowerRoman"/>
      <w:start w:val="1"/>
    </w:lvl>
  </w:abstractNum>
  <w:abstractNum w:abstractNumId="115">
    <w:nsid w:val="102809E2"/>
    <w:multiLevelType w:val="hybridMultilevel"/>
    <w:lvl w:ilvl="0">
      <w:lvlJc w:val="left"/>
      <w:lvlText w:val="(%1)"/>
      <w:numFmt w:val="lowerLetter"/>
      <w:start w:val="1"/>
    </w:lvl>
  </w:abstractNum>
  <w:abstractNum w:abstractNumId="116">
    <w:nsid w:val="3B2125A3"/>
    <w:multiLevelType w:val="hybridMultilevel"/>
    <w:lvl w:ilvl="0">
      <w:lvlJc w:val="left"/>
      <w:lvlText w:val="(%1)"/>
      <w:numFmt w:val="lowerLetter"/>
      <w:start w:val="1"/>
    </w:lvl>
  </w:abstractNum>
  <w:abstractNum w:abstractNumId="117">
    <w:nsid w:val="AC68FFB"/>
    <w:multiLevelType w:val="hybridMultilevel"/>
    <w:lvl w:ilvl="0">
      <w:lvlJc w:val="left"/>
      <w:lvlText w:val="(%1)"/>
      <w:numFmt w:val="lowerLetter"/>
      <w:start w:val="9"/>
    </w:lvl>
  </w:abstractNum>
  <w:abstractNum w:abstractNumId="118">
    <w:nsid w:val="63DF3FB7"/>
    <w:multiLevelType w:val="hybridMultilevel"/>
    <w:lvl w:ilvl="0">
      <w:lvlJc w:val="left"/>
      <w:lvlText w:val="%1"/>
      <w:numFmt w:val="lowerRoman"/>
      <w:start w:val="1"/>
    </w:lvl>
    <w:lvl w:ilvl="1">
      <w:lvlJc w:val="left"/>
      <w:lvlText w:val="(%2)"/>
      <w:numFmt w:val="lowerLetter"/>
      <w:start w:val="1"/>
    </w:lvl>
  </w:abstractNum>
  <w:abstractNum w:abstractNumId="119">
    <w:nsid w:val="64996E13"/>
    <w:multiLevelType w:val="hybridMultilevel"/>
    <w:lvl w:ilvl="0">
      <w:lvlJc w:val="left"/>
      <w:lvlText w:val="(%1)"/>
      <w:numFmt w:val="lowerRoman"/>
      <w:start w:val="4"/>
    </w:lvl>
    <w:lvl w:ilvl="1">
      <w:lvlJc w:val="left"/>
      <w:lvlText w:val="%2"/>
      <w:numFmt w:val="lowerLetter"/>
      <w:start w:val="1"/>
    </w:lvl>
  </w:abstractNum>
  <w:abstractNum w:abstractNumId="120">
    <w:nsid w:val="57A37D47"/>
    <w:multiLevelType w:val="hybridMultilevel"/>
    <w:lvl w:ilvl="0">
      <w:lvlJc w:val="left"/>
      <w:lvlText w:val="(%1)"/>
      <w:numFmt w:val="lowerLetter"/>
      <w:start w:val="3"/>
    </w:lvl>
  </w:abstractNum>
  <w:abstractNum w:abstractNumId="121">
    <w:nsid w:val="74824D54"/>
    <w:multiLevelType w:val="hybridMultilevel"/>
    <w:lvl w:ilvl="0">
      <w:lvlJc w:val="left"/>
      <w:lvlText w:val="%1"/>
      <w:numFmt w:val="lowerLetter"/>
      <w:start w:val="1"/>
    </w:lvl>
    <w:lvl w:ilvl="1">
      <w:lvlJc w:val="left"/>
      <w:lvlText w:val="(%2)"/>
      <w:numFmt w:val="lowerLetter"/>
      <w:start w:val="9"/>
    </w:lvl>
  </w:abstractNum>
  <w:abstractNum w:abstractNumId="122">
    <w:nsid w:val="6F00529A"/>
    <w:multiLevelType w:val="hybridMultilevel"/>
    <w:lvl w:ilvl="0">
      <w:lvlJc w:val="left"/>
      <w:lvlText w:val="(%1)"/>
      <w:numFmt w:val="lowerLetter"/>
      <w:start w:val="61"/>
    </w:lvl>
    <w:lvl w:ilvl="1">
      <w:lvlJc w:val="left"/>
      <w:lvlText w:val="(%2)"/>
      <w:numFmt w:val="lowerLetter"/>
      <w:start w:val="14"/>
    </w:lvl>
  </w:abstractNum>
  <w:abstractNum w:abstractNumId="123">
    <w:nsid w:val="805B331"/>
    <w:multiLevelType w:val="hybridMultilevel"/>
    <w:lvl w:ilvl="0">
      <w:lvlJc w:val="left"/>
      <w:lvlText w:val="(%1)"/>
      <w:numFmt w:val="lowerLetter"/>
      <w:start w:val="16"/>
    </w:lvl>
  </w:abstractNum>
  <w:abstractNum w:abstractNumId="124">
    <w:nsid w:val="60A1463"/>
    <w:multiLevelType w:val="hybridMultilevel"/>
    <w:lvl w:ilvl="0">
      <w:lvlJc w:val="left"/>
      <w:lvlText w:val="(%1)"/>
      <w:numFmt w:val="lowerLetter"/>
      <w:start w:val="1"/>
    </w:lvl>
  </w:abstractNum>
  <w:abstractNum w:abstractNumId="125">
    <w:nsid w:val="43773132"/>
    <w:multiLevelType w:val="hybridMultilevel"/>
    <w:lvl w:ilvl="0">
      <w:lvlJc w:val="left"/>
      <w:lvlText w:val="(%1)"/>
      <w:numFmt w:val="lowerLetter"/>
      <w:start w:val="1"/>
    </w:lvl>
  </w:abstractNum>
  <w:abstractNum w:abstractNumId="126">
    <w:nsid w:val="16AC4B23"/>
    <w:multiLevelType w:val="hybridMultilevel"/>
    <w:lvl w:ilvl="0">
      <w:lvlJc w:val="left"/>
      <w:lvlText w:val="(%1)"/>
      <w:numFmt w:val="lowerLetter"/>
      <w:start w:val="1"/>
    </w:lvl>
  </w:abstractNum>
  <w:abstractNum w:abstractNumId="127">
    <w:nsid w:val="76C44E4E"/>
    <w:multiLevelType w:val="hybridMultilevel"/>
    <w:lvl w:ilvl="0">
      <w:lvlJc w:val="left"/>
      <w:lvlText w:val="(%1)"/>
      <w:numFmt w:val="lowerLetter"/>
      <w:start w:val="1"/>
    </w:lvl>
  </w:abstractNum>
  <w:abstractNum w:abstractNumId="128">
    <w:nsid w:val="E04E6CE"/>
    <w:multiLevelType w:val="hybridMultilevel"/>
    <w:lvl w:ilvl="0">
      <w:lvlJc w:val="left"/>
      <w:lvlText w:val="(%1)"/>
      <w:numFmt w:val="lowerLetter"/>
      <w:start w:val="2"/>
    </w:lvl>
  </w:abstractNum>
  <w:abstractNum w:abstractNumId="129">
    <w:nsid w:val="31A9DB76"/>
    <w:multiLevelType w:val="hybridMultilevel"/>
    <w:lvl w:ilvl="0">
      <w:lvlJc w:val="left"/>
      <w:lvlText w:val="(%1)"/>
      <w:numFmt w:val="lowerLetter"/>
      <w:start w:val="4"/>
    </w:lvl>
  </w:abstractNum>
  <w:abstractNum w:abstractNumId="130">
    <w:nsid w:val="4C4FFF5B"/>
    <w:multiLevelType w:val="hybridMultilevel"/>
    <w:lvl w:ilvl="0">
      <w:lvlJc w:val="left"/>
      <w:lvlText w:val="(%1)"/>
      <w:numFmt w:val="upperLetter"/>
      <w:start w:val="1"/>
    </w:lvl>
  </w:abstractNum>
  <w:abstractNum w:abstractNumId="131">
    <w:nsid w:val="51B76675"/>
    <w:multiLevelType w:val="hybridMultilevel"/>
    <w:lvl w:ilvl="0">
      <w:lvlJc w:val="left"/>
      <w:lvlText w:val="(%1)"/>
      <w:numFmt w:val="lowerLetter"/>
      <w:start w:val="1"/>
    </w:lvl>
  </w:abstractNum>
  <w:abstractNum w:abstractNumId="132">
    <w:nsid w:val="59A4BA71"/>
    <w:multiLevelType w:val="hybridMultilevel"/>
    <w:lvl w:ilvl="0">
      <w:lvlJc w:val="left"/>
      <w:lvlText w:val="(%1)"/>
      <w:numFmt w:val="lowerLetter"/>
      <w:start w:val="3"/>
    </w:lvl>
  </w:abstractNum>
  <w:abstractNum w:abstractNumId="133">
    <w:nsid w:val="450B7FB6"/>
    <w:multiLevelType w:val="hybridMultilevel"/>
    <w:lvl w:ilvl="0">
      <w:lvlJc w:val="left"/>
      <w:lvlText w:val="(%1)"/>
      <w:numFmt w:val="lowerLetter"/>
      <w:start w:val="6"/>
    </w:lvl>
  </w:abstractNum>
  <w:abstractNum w:abstractNumId="134">
    <w:nsid w:val="340BF64D"/>
    <w:multiLevelType w:val="hybridMultilevel"/>
    <w:lvl w:ilvl="0">
      <w:lvlJc w:val="left"/>
      <w:lvlText w:val="(%1)"/>
      <w:numFmt w:val="lowerLetter"/>
      <w:start w:val="1"/>
    </w:lvl>
  </w:abstractNum>
  <w:abstractNum w:abstractNumId="135">
    <w:nsid w:val="69454021"/>
    <w:multiLevelType w:val="hybridMultilevel"/>
    <w:lvl w:ilvl="0">
      <w:lvlJc w:val="left"/>
      <w:lvlText w:val="(%1)"/>
      <w:numFmt w:val="lowerLetter"/>
      <w:start w:val="3"/>
    </w:lvl>
  </w:abstractNum>
  <w:abstractNum w:abstractNumId="136">
    <w:nsid w:val="49F15C6B"/>
    <w:multiLevelType w:val="hybridMultilevel"/>
    <w:lvl w:ilvl="0">
      <w:lvlJc w:val="left"/>
      <w:lvlText w:val="(%1)"/>
      <w:numFmt w:val="lowerLetter"/>
      <w:start w:val="8"/>
    </w:lvl>
  </w:abstractNum>
  <w:abstractNum w:abstractNumId="137">
    <w:nsid w:val="75F56228"/>
    <w:multiLevelType w:val="hybridMultilevel"/>
    <w:lvl w:ilvl="0">
      <w:lvlJc w:val="left"/>
      <w:lvlText w:val="(%1)"/>
      <w:numFmt w:val="lowerLetter"/>
      <w:start w:val="2"/>
    </w:lvl>
    <w:lvl w:ilvl="1">
      <w:lvlJc w:val="left"/>
      <w:lvlText w:val="(%2)"/>
      <w:numFmt w:val="lowerLetter"/>
      <w:start w:val="1"/>
    </w:lvl>
  </w:abstractNum>
  <w:abstractNum w:abstractNumId="138">
    <w:nsid w:val="1C618271"/>
    <w:multiLevelType w:val="hybridMultilevel"/>
    <w:lvl w:ilvl="0">
      <w:lvlJc w:val="left"/>
      <w:lvlText w:val="%1"/>
      <w:numFmt w:val="upperLetter"/>
      <w:start w:val="1"/>
    </w:lvl>
    <w:lvl w:ilvl="1">
      <w:lvlJc w:val="left"/>
      <w:lvlText w:val="(%2)"/>
      <w:numFmt w:val="lowerLetter"/>
      <w:start w:val="5"/>
    </w:lvl>
  </w:abstractNum>
  <w:abstractNum w:abstractNumId="139">
    <w:nsid w:val="6505F02E"/>
    <w:multiLevelType w:val="hybridMultilevel"/>
    <w:lvl w:ilvl="0">
      <w:lvlJc w:val="left"/>
      <w:lvlText w:val="(%1)"/>
      <w:numFmt w:val="upperLetter"/>
      <w:start w:val="3"/>
    </w:lvl>
    <w:lvl w:ilvl="1">
      <w:lvlJc w:val="left"/>
      <w:lvlText w:val="%2"/>
      <w:numFmt w:val="lowerLetter"/>
      <w:start w:val="1"/>
    </w:lvl>
  </w:abstractNum>
  <w:abstractNum w:abstractNumId="140">
    <w:nsid w:val="2FE5D025"/>
    <w:multiLevelType w:val="hybridMultilevel"/>
    <w:lvl w:ilvl="0">
      <w:lvlJc w:val="left"/>
      <w:lvlText w:val="(%1)"/>
      <w:numFmt w:val="upperLetter"/>
      <w:start w:val="5"/>
    </w:lvl>
    <w:lvl w:ilvl="1">
      <w:lvlJc w:val="left"/>
      <w:lvlText w:val="(%2)"/>
      <w:numFmt w:val="lowerLetter"/>
      <w:start w:val="7"/>
    </w:lvl>
  </w:abstractNum>
  <w:abstractNum w:abstractNumId="141">
    <w:nsid w:val="30E1B1CF"/>
    <w:multiLevelType w:val="hybridMultilevel"/>
    <w:lvl w:ilvl="0">
      <w:lvlJc w:val="left"/>
      <w:lvlText w:val="(%1)"/>
      <w:numFmt w:val="lowerLetter"/>
      <w:start w:val="11"/>
    </w:lvl>
  </w:abstractNum>
  <w:abstractNum w:abstractNumId="142">
    <w:nsid w:val="C7A9237"/>
    <w:multiLevelType w:val="hybridMultilevel"/>
    <w:lvl w:ilvl="0">
      <w:lvlJc w:val="left"/>
      <w:lvlText w:val="(%1)"/>
      <w:numFmt w:val="lowerLetter"/>
      <w:start w:val="5"/>
    </w:lvl>
  </w:abstractNum>
  <w:abstractNum w:abstractNumId="143">
    <w:nsid w:val="676B3580"/>
    <w:multiLevelType w:val="hybridMultilevel"/>
    <w:lvl w:ilvl="0">
      <w:lvlJc w:val="left"/>
      <w:lvlText w:val="%1"/>
      <w:numFmt w:val="lowerLetter"/>
      <w:start w:val="1"/>
    </w:lvl>
    <w:lvl w:ilvl="1">
      <w:lvlJc w:val="left"/>
      <w:lvlText w:val="(%2)"/>
      <w:numFmt w:val="lowerLetter"/>
      <w:start w:val="1"/>
    </w:lvl>
  </w:abstractNum>
  <w:abstractNum w:abstractNumId="144">
    <w:nsid w:val="3193C8F9"/>
    <w:multiLevelType w:val="hybridMultilevel"/>
    <w:lvl w:ilvl="0">
      <w:lvlJc w:val="left"/>
      <w:lvlText w:val="(%1)"/>
      <w:numFmt w:val="lowerLetter"/>
      <w:start w:val="35"/>
    </w:lvl>
    <w:lvl w:ilvl="1">
      <w:lvlJc w:val="left"/>
      <w:lvlText w:val="%2"/>
      <w:numFmt w:val="lowerLetter"/>
      <w:start w:val="1"/>
    </w:lvl>
  </w:abstractNum>
  <w:abstractNum w:abstractNumId="145">
    <w:nsid w:val="5FA6C6DC"/>
    <w:multiLevelType w:val="hybridMultilevel"/>
    <w:lvl w:ilvl="0">
      <w:lvlJc w:val="left"/>
      <w:lvlText w:val="(%1)"/>
      <w:numFmt w:val="lowerLetter"/>
      <w:start w:val="2"/>
    </w:lvl>
  </w:abstractNum>
  <w:abstractNum w:abstractNumId="146">
    <w:nsid w:val="77933F62"/>
    <w:multiLevelType w:val="hybridMultilevel"/>
    <w:lvl w:ilvl="0">
      <w:lvlJc w:val="left"/>
      <w:lvlText w:val="(%1)"/>
      <w:numFmt w:val="lowerLetter"/>
      <w:start w:val="7"/>
    </w:lvl>
  </w:abstractNum>
  <w:abstractNum w:abstractNumId="147">
    <w:nsid w:val="6CB4EE9C"/>
    <w:multiLevelType w:val="hybridMultilevel"/>
    <w:lvl w:ilvl="0">
      <w:lvlJc w:val="left"/>
      <w:lvlText w:val="(%1)"/>
      <w:numFmt w:val="lowerLetter"/>
      <w:start w:val="1"/>
    </w:lvl>
    <w:lvl w:ilvl="1">
      <w:lvlJc w:val="left"/>
      <w:lvlText w:val="(%2)"/>
      <w:numFmt w:val="lowerRoman"/>
      <w:start w:val="1"/>
    </w:lvl>
  </w:abstractNum>
  <w:abstractNum w:abstractNumId="148">
    <w:nsid w:val="6A6D56D7"/>
    <w:multiLevelType w:val="hybridMultilevel"/>
    <w:lvl w:ilvl="0">
      <w:lvlJc w:val="left"/>
      <w:lvlText w:val="(%1)"/>
      <w:numFmt w:val="lowerRoman"/>
      <w:start w:val="5"/>
    </w:lvl>
  </w:abstractNum>
  <w:abstractNum w:abstractNumId="149">
    <w:nsid w:val="5B727F19"/>
    <w:multiLevelType w:val="hybridMultilevel"/>
    <w:lvl w:ilvl="0">
      <w:lvlJc w:val="left"/>
      <w:lvlText w:val="%1"/>
      <w:numFmt w:val="lowerLetter"/>
      <w:start w:val="1"/>
    </w:lvl>
    <w:lvl w:ilvl="1">
      <w:lvlJc w:val="left"/>
      <w:lvlText w:val="(%2)"/>
      <w:numFmt w:val="lowerRoman"/>
      <w:start w:val="16"/>
    </w:lvl>
  </w:abstractNum>
  <w:abstractNum w:abstractNumId="150">
    <w:nsid w:val="514E5CB0"/>
    <w:multiLevelType w:val="hybridMultilevel"/>
    <w:lvl w:ilvl="0">
      <w:lvlJc w:val="left"/>
      <w:lvlText w:val="(%1)"/>
      <w:numFmt w:val="lowerLetter"/>
      <w:start w:val="2"/>
    </w:lvl>
    <w:lvl w:ilvl="1">
      <w:lvlJc w:val="left"/>
      <w:lvlText w:val="%2"/>
      <w:numFmt w:val="lowerRoman"/>
      <w:start w:val="1"/>
    </w:lvl>
  </w:abstractNum>
  <w:abstractNum w:abstractNumId="151">
    <w:nsid w:val="4210D41E"/>
    <w:multiLevelType w:val="hybridMultilevel"/>
    <w:lvl w:ilvl="0">
      <w:lvlJc w:val="left"/>
      <w:lvlText w:val="(%1)"/>
      <w:numFmt w:val="lowerLetter"/>
      <w:start w:val="1"/>
    </w:lvl>
  </w:abstractNum>
  <w:abstractNum w:abstractNumId="152">
    <w:nsid w:val="4FF4CC6D"/>
    <w:multiLevelType w:val="hybridMultilevel"/>
    <w:lvl w:ilvl="0">
      <w:lvlJc w:val="left"/>
      <w:lvlText w:val="%1"/>
      <w:numFmt w:val="lowerRoman"/>
      <w:start w:val="1"/>
    </w:lvl>
    <w:lvl w:ilvl="1">
      <w:lvlJc w:val="left"/>
      <w:lvlText w:val="(%2)"/>
      <w:numFmt w:val="lowerLetter"/>
      <w:start w:val="1"/>
    </w:lvl>
  </w:abstractNum>
  <w:abstractNum w:abstractNumId="153">
    <w:nsid w:val="404EAF4A"/>
    <w:multiLevelType w:val="hybridMultilevel"/>
    <w:lvl w:ilvl="0">
      <w:lvlJc w:val="left"/>
      <w:lvlText w:val="(%1)"/>
      <w:numFmt w:val="lowerRoman"/>
      <w:start w:val="6"/>
    </w:lvl>
    <w:lvl w:ilvl="1">
      <w:lvlJc w:val="left"/>
      <w:lvlText w:val="%2"/>
      <w:numFmt w:val="lowerLetter"/>
      <w:start w:val="1"/>
    </w:lvl>
  </w:abstractNum>
  <w:abstractNum w:abstractNumId="154">
    <w:nsid w:val="4A16874F"/>
    <w:multiLevelType w:val="hybridMultilevel"/>
    <w:lvl w:ilvl="0">
      <w:lvlJc w:val="left"/>
      <w:lvlText w:val="(%1)"/>
      <w:numFmt w:val="lowerLetter"/>
      <w:start w:val="9"/>
    </w:lvl>
  </w:abstractNum>
  <w:abstractNum w:abstractNumId="155">
    <w:nsid w:val="55FEE0D1"/>
    <w:multiLevelType w:val="hybridMultilevel"/>
    <w:lvl w:ilvl="0">
      <w:lvlJc w:val="left"/>
      <w:lvlText w:val="(%1)"/>
      <w:numFmt w:val="lowerLetter"/>
      <w:start w:val="1"/>
    </w:lvl>
  </w:abstractNum>
  <w:abstractNum w:abstractNumId="156">
    <w:nsid w:val="3C5E07C"/>
    <w:multiLevelType w:val="hybridMultilevel"/>
    <w:lvl w:ilvl="0">
      <w:lvlJc w:val="left"/>
      <w:lvlText w:val="%1"/>
      <w:numFmt w:val="lowerLetter"/>
      <w:start w:val="1"/>
    </w:lvl>
    <w:lvl w:ilvl="1">
      <w:lvlJc w:val="left"/>
      <w:lvlText w:val="(%2)"/>
      <w:numFmt w:val="lowerLetter"/>
      <w:start w:val="2"/>
    </w:lvl>
  </w:abstractNum>
  <w:abstractNum w:abstractNumId="157">
    <w:nsid w:val="60C2D273"/>
    <w:multiLevelType w:val="hybridMultilevel"/>
    <w:lvl w:ilvl="0">
      <w:lvlJc w:val="left"/>
      <w:lvlText w:val="(%1)"/>
      <w:numFmt w:val="lowerLetter"/>
      <w:start w:val="61"/>
    </w:lvl>
    <w:lvl w:ilvl="1">
      <w:lvlJc w:val="left"/>
      <w:lvlText w:val="(%2)"/>
      <w:numFmt w:val="lowerLetter"/>
      <w:start w:val="6"/>
    </w:lvl>
  </w:abstractNum>
  <w:abstractNum w:abstractNumId="158">
    <w:nsid w:val="4CC32F1F"/>
    <w:multiLevelType w:val="hybridMultilevel"/>
    <w:lvl w:ilvl="0">
      <w:lvlJc w:val="left"/>
      <w:lvlText w:val="%1"/>
      <w:numFmt w:val="lowerRoman"/>
      <w:start w:val="1"/>
    </w:lvl>
    <w:lvl w:ilvl="1">
      <w:lvlJc w:val="left"/>
      <w:lvlText w:val="(%2)"/>
      <w:numFmt w:val="lowerLetter"/>
      <w:start w:val="8"/>
    </w:lvl>
  </w:abstractNum>
  <w:abstractNum w:abstractNumId="159">
    <w:nsid w:val="11CAC74A"/>
    <w:multiLevelType w:val="hybridMultilevel"/>
    <w:lvl w:ilvl="0">
      <w:lvlJc w:val="left"/>
      <w:lvlText w:val="(%1)"/>
      <w:numFmt w:val="lowerRoman"/>
      <w:start w:val="4"/>
    </w:lvl>
    <w:lvl w:ilvl="1">
      <w:lvlJc w:val="left"/>
      <w:lvlText w:val="(%2)"/>
      <w:numFmt w:val="lowerLetter"/>
      <w:start w:val="10"/>
    </w:lvl>
  </w:abstractNum>
  <w:abstractNum w:abstractNumId="160">
    <w:nsid w:val="126CADE9"/>
    <w:multiLevelType w:val="hybridMultilevel"/>
    <w:lvl w:ilvl="0">
      <w:lvlJc w:val="left"/>
      <w:lvlText w:val="(%1)"/>
      <w:numFmt w:val="lowerRoman"/>
      <w:start w:val="3"/>
    </w:lvl>
    <w:lvl w:ilvl="1">
      <w:lvlJc w:val="left"/>
      <w:lvlText w:val="%2"/>
      <w:numFmt w:val="lowerLetter"/>
      <w:start w:val="1"/>
    </w:lvl>
  </w:abstractNum>
  <w:abstractNum w:abstractNumId="161">
    <w:nsid w:val="19132E7B"/>
    <w:multiLevelType w:val="hybridMultilevel"/>
    <w:lvl w:ilvl="0">
      <w:lvlJc w:val="left"/>
      <w:lvlText w:val="(%1)"/>
      <w:numFmt w:val="lowerLetter"/>
      <w:start w:val="15"/>
    </w:lvl>
  </w:abstractNum>
  <w:abstractNum w:abstractNumId="162">
    <w:nsid w:val="63822DC0"/>
    <w:multiLevelType w:val="hybridMultilevel"/>
    <w:lvl w:ilvl="0">
      <w:lvlJc w:val="left"/>
      <w:lvlText w:val="(%1)"/>
      <w:numFmt w:val="lowerLetter"/>
      <w:start w:val="2"/>
    </w:lvl>
  </w:abstractNum>
  <w:abstractNum w:abstractNumId="163">
    <w:nsid w:val="6C11685A"/>
    <w:multiLevelType w:val="hybridMultilevel"/>
    <w:lvl w:ilvl="0">
      <w:lvlJc w:val="left"/>
      <w:lvlText w:val="(%1)"/>
      <w:numFmt w:val="lowerLetter"/>
      <w:start w:val="1"/>
    </w:lvl>
  </w:abstractNum>
  <w:abstractNum w:abstractNumId="164">
    <w:nsid w:val="5E1EAE31"/>
    <w:multiLevelType w:val="hybridMultilevel"/>
    <w:lvl w:ilvl="0">
      <w:lvlJc w:val="left"/>
      <w:lvlText w:val="(%1)"/>
      <w:numFmt w:val="lowerLetter"/>
      <w:start w:val="2"/>
    </w:lvl>
  </w:abstractNum>
  <w:abstractNum w:abstractNumId="165">
    <w:nsid w:val="178E24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6">
    <w:nsid w:val="5556A87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67">
    <w:nsid w:val="28100A9C"/>
    <w:multiLevelType w:val="hybridMultilevel"/>
    <w:lvl w:ilvl="0">
      <w:lvlJc w:val="left"/>
      <w:lvlText w:val="(%1)"/>
      <w:numFmt w:val="lowerLetter"/>
      <w:start w:val="4"/>
    </w:lvl>
  </w:abstractNum>
  <w:abstractNum w:abstractNumId="168">
    <w:nsid w:val="D838636"/>
    <w:multiLevelType w:val="hybridMultilevel"/>
    <w:lvl w:ilvl="0">
      <w:lvlJc w:val="left"/>
      <w:lvlText w:val="%1"/>
      <w:numFmt w:val="upperLetter"/>
      <w:start w:val="1"/>
    </w:lvl>
    <w:lvl w:ilvl="1">
      <w:lvlJc w:val="left"/>
      <w:lvlText w:val="(%2)"/>
      <w:numFmt w:val="lowerLetter"/>
      <w:start w:val="1"/>
    </w:lvl>
  </w:abstractNum>
  <w:abstractNum w:abstractNumId="169">
    <w:nsid w:val="71B82AED"/>
    <w:multiLevelType w:val="hybridMultilevel"/>
    <w:lvl w:ilvl="0">
      <w:lvlJc w:val="left"/>
      <w:lvlText w:val="(%1)"/>
      <w:numFmt w:val="upperLetter"/>
      <w:start w:val="1"/>
    </w:lvl>
    <w:lvl w:ilvl="1">
      <w:lvlJc w:val="left"/>
      <w:lvlText w:val="%2"/>
      <w:numFmt w:val="lowerLetter"/>
      <w:start w:val="1"/>
    </w:lvl>
  </w:abstractNum>
  <w:abstractNum w:abstractNumId="170">
    <w:nsid w:val="D15FACA"/>
    <w:multiLevelType w:val="hybridMultilevel"/>
    <w:lvl w:ilvl="0">
      <w:lvlJc w:val="left"/>
      <w:lvlText w:val="%1"/>
      <w:numFmt w:val="lowerLetter"/>
      <w:start w:val="1"/>
    </w:lvl>
    <w:lvl w:ilvl="1">
      <w:lvlJc w:val="left"/>
      <w:lvlText w:val="(%2)"/>
      <w:numFmt w:val="lowerLetter"/>
      <w:start w:val="1"/>
    </w:lvl>
  </w:abstractNum>
  <w:abstractNum w:abstractNumId="171">
    <w:nsid w:val="3D69565B"/>
    <w:multiLevelType w:val="hybridMultilevel"/>
    <w:lvl w:ilvl="0">
      <w:lvlJc w:val="left"/>
      <w:lvlText w:val="(%1)"/>
      <w:numFmt w:val="lowerLetter"/>
      <w:start w:val="9"/>
    </w:lvl>
    <w:lvl w:ilvl="1">
      <w:lvlJc w:val="left"/>
      <w:lvlText w:val="%2"/>
      <w:numFmt w:val="lowerLetter"/>
      <w:start w:val="1"/>
    </w:lvl>
  </w:abstractNum>
  <w:abstractNum w:abstractNumId="172">
    <w:nsid w:val="2299DCBC"/>
    <w:multiLevelType w:val="hybridMultilevel"/>
    <w:lvl w:ilvl="0">
      <w:lvlJc w:val="left"/>
      <w:lvlText w:val="(%1)"/>
      <w:numFmt w:val="lowerLetter"/>
      <w:start w:val="1"/>
    </w:lvl>
  </w:abstractNum>
  <w:abstractNum w:abstractNumId="173">
    <w:nsid w:val="19908D02"/>
    <w:multiLevelType w:val="hybridMultilevel"/>
    <w:lvl w:ilvl="0">
      <w:lvlJc w:val="left"/>
      <w:lvlText w:val="(%1)"/>
      <w:numFmt w:val="lowerLetter"/>
      <w:start w:val="2"/>
    </w:lvl>
  </w:abstractNum>
  <w:abstractNum w:abstractNumId="174">
    <w:nsid w:val="24D48BDB"/>
    <w:multiLevelType w:val="hybridMultilevel"/>
    <w:lvl w:ilvl="0">
      <w:lvlJc w:val="left"/>
      <w:lvlText w:val="(%1)"/>
      <w:numFmt w:val="lowerLetter"/>
      <w:start w:val="2"/>
    </w:lvl>
  </w:abstractNum>
  <w:abstractNum w:abstractNumId="175">
    <w:nsid w:val="542DA5B5"/>
    <w:multiLevelType w:val="hybridMultilevel"/>
    <w:lvl w:ilvl="0">
      <w:lvlJc w:val="left"/>
      <w:lvlText w:val="(%1)"/>
      <w:numFmt w:val="lowerLetter"/>
      <w:start w:val="1"/>
    </w:lvl>
  </w:abstractNum>
  <w:abstractNum w:abstractNumId="176">
    <w:nsid w:val="793753DE"/>
    <w:multiLevelType w:val="hybridMultilevel"/>
    <w:lvl w:ilvl="0">
      <w:lvlJc w:val="left"/>
      <w:lvlText w:val="(%1)"/>
      <w:numFmt w:val="lowerLetter"/>
      <w:start w:val="1"/>
    </w:lvl>
  </w:abstractNum>
  <w:abstractNum w:abstractNumId="177">
    <w:nsid w:val="1C67CB3D"/>
    <w:multiLevelType w:val="hybridMultilevel"/>
    <w:lvl w:ilvl="0">
      <w:lvlJc w:val="left"/>
      <w:lvlText w:val="(%1)"/>
      <w:numFmt w:val="lowerLetter"/>
      <w:start w:val="1"/>
    </w:lvl>
  </w:abstractNum>
  <w:abstractNum w:abstractNumId="178">
    <w:nsid w:val="40E29452"/>
    <w:multiLevelType w:val="hybridMultilevel"/>
    <w:lvl w:ilvl="0">
      <w:lvlJc w:val="left"/>
      <w:lvlText w:val="(%1)"/>
      <w:numFmt w:val="lowerLetter"/>
      <w:start w:val="1"/>
    </w:lvl>
  </w:abstractNum>
  <w:abstractNum w:abstractNumId="179">
    <w:nsid w:val="63A4AAB6"/>
    <w:multiLevelType w:val="hybridMultilevel"/>
    <w:lvl w:ilvl="0">
      <w:lvlJc w:val="left"/>
      <w:lvlText w:val="(%1)"/>
      <w:numFmt w:val="lowerLetter"/>
      <w:start w:val="1"/>
    </w:lvl>
  </w:abstractNum>
  <w:abstractNum w:abstractNumId="180">
    <w:nsid w:val="77DA4A57"/>
    <w:multiLevelType w:val="hybridMultilevel"/>
    <w:lvl w:ilvl="0">
      <w:lvlJc w:val="left"/>
      <w:lvlText w:val="(%1)"/>
      <w:numFmt w:val="lowerLetter"/>
      <w:start w:val="3"/>
    </w:lvl>
  </w:abstractNum>
  <w:abstractNum w:abstractNumId="181">
    <w:nsid w:val="1230F102"/>
    <w:multiLevelType w:val="hybridMultilevel"/>
    <w:lvl w:ilvl="0">
      <w:lvlJc w:val="left"/>
      <w:lvlText w:val="%1)"/>
      <w:numFmt w:val="lowerLetter"/>
      <w:start w:val="1"/>
    </w:lvl>
  </w:abstractNum>
  <w:abstractNum w:abstractNumId="182">
    <w:nsid w:val="25B57ED4"/>
    <w:multiLevelType w:val="hybridMultilevel"/>
    <w:lvl w:ilvl="0">
      <w:lvlJc w:val="left"/>
      <w:lvlText w:val="(%1)"/>
      <w:numFmt w:val="lowerLetter"/>
      <w:start w:val="8"/>
    </w:lvl>
  </w:abstractNum>
  <w:abstractNum w:abstractNumId="183">
    <w:nsid w:val="47CF16C4"/>
    <w:multiLevelType w:val="hybridMultilevel"/>
    <w:lvl w:ilvl="0">
      <w:lvlJc w:val="left"/>
      <w:lvlText w:val="(%1)"/>
      <w:numFmt w:val="lowerLetter"/>
      <w:start w:val="4"/>
    </w:lvl>
  </w:abstractNum>
  <w:abstractNum w:abstractNumId="184">
    <w:nsid w:val="527FA04C"/>
    <w:multiLevelType w:val="hybridMultilevel"/>
    <w:lvl w:ilvl="0">
      <w:lvlJc w:val="left"/>
      <w:lvlText w:val="%1."/>
      <w:numFmt w:val="decimal"/>
      <w:start w:val="1"/>
    </w:lvl>
    <w:lvl w:ilvl="1">
      <w:lvlJc w:val="left"/>
      <w:lvlText w:val="(%2)"/>
      <w:numFmt w:val="lowerRoman"/>
      <w:start w:val="1"/>
    </w:lvl>
  </w:abstractNum>
  <w:abstractNum w:abstractNumId="185">
    <w:nsid w:val="6FCC062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6">
    <w:nsid w:val="1DCDF795"/>
    <w:multiLevelType w:val="hybridMultilevel"/>
    <w:lvl w:ilvl="0">
      <w:lvlJc w:val="left"/>
      <w:lvlText w:val="(%1)"/>
      <w:numFmt w:val="lowerLetter"/>
      <w:start w:val="2"/>
    </w:lvl>
  </w:abstractNum>
  <w:abstractNum w:abstractNumId="187">
    <w:nsid w:val="564580C8"/>
    <w:multiLevelType w:val="hybridMultilevel"/>
    <w:lvl w:ilvl="0">
      <w:lvlJc w:val="left"/>
      <w:lvlText w:val="(%1)"/>
      <w:numFmt w:val="lowerLetter"/>
      <w:start w:val="6"/>
    </w:lvl>
  </w:abstractNum>
  <w:abstractNum w:abstractNumId="188">
    <w:nsid w:val="508ED897"/>
    <w:multiLevelType w:val="hybridMultilevel"/>
    <w:lvl w:ilvl="0">
      <w:lvlJc w:val="left"/>
      <w:lvlText w:val="(%1)"/>
      <w:numFmt w:val="lowerRoman"/>
      <w:start w:val="1"/>
    </w:lvl>
  </w:abstractNum>
  <w:abstractNum w:abstractNumId="189">
    <w:nsid w:val="6A9126B5"/>
    <w:multiLevelType w:val="hybridMultilevel"/>
    <w:lvl w:ilvl="0">
      <w:lvlJc w:val="left"/>
      <w:lvlText w:val="%1."/>
      <w:numFmt w:val="decimal"/>
      <w:start w:val="3"/>
    </w:lvl>
  </w:abstractNum>
  <w:abstractNum w:abstractNumId="190">
    <w:nsid w:val="68104812"/>
    <w:multiLevelType w:val="hybridMultilevel"/>
    <w:lvl w:ilvl="0">
      <w:lvlJc w:val="left"/>
      <w:lvlText w:val="%1."/>
      <w:numFmt w:val="decimal"/>
      <w:start w:val="4"/>
    </w:lvl>
  </w:abstractNum>
  <w:abstractNum w:abstractNumId="191">
    <w:nsid w:val="62FB8680"/>
    <w:multiLevelType w:val="hybridMultilevel"/>
    <w:lvl w:ilvl="0">
      <w:lvlJc w:val="left"/>
      <w:lvlText w:val="%1."/>
      <w:numFmt w:val="decimal"/>
      <w:start w:val="5"/>
    </w:lvl>
  </w:abstractNum>
  <w:abstractNum w:abstractNumId="192">
    <w:nsid w:val="3A45530"/>
    <w:multiLevelType w:val="hybridMultilevel"/>
    <w:lvl w:ilvl="0">
      <w:lvlJc w:val="left"/>
      <w:lvlText w:val="%1."/>
      <w:numFmt w:val="decimal"/>
      <w:start w:val="11"/>
    </w:lvl>
  </w:abstractNum>
  <w:abstractNum w:abstractNumId="193">
    <w:nsid w:val="4B9275D2"/>
    <w:multiLevelType w:val="hybridMultilevel"/>
    <w:lvl w:ilvl="0">
      <w:lvlJc w:val="left"/>
      <w:lvlText w:val="%1."/>
      <w:numFmt w:val="decimal"/>
      <w:start w:val="2"/>
    </w:lvl>
  </w:abstractNum>
  <w:abstractNum w:abstractNumId="194">
    <w:nsid w:val="4F0CEEDB"/>
    <w:multiLevelType w:val="hybridMultilevel"/>
    <w:lvl w:ilvl="0">
      <w:lvlJc w:val="left"/>
      <w:lvlText w:val="%1."/>
      <w:numFmt w:val="decimal"/>
      <w:start w:val="5"/>
    </w:lvl>
  </w:abstractNum>
  <w:abstractNum w:abstractNumId="195">
    <w:nsid w:val="61C30361"/>
    <w:multiLevelType w:val="hybridMultilevel"/>
    <w:lvl w:ilvl="0">
      <w:lvlJc w:val="left"/>
      <w:lvlText w:val="%1."/>
      <w:numFmt w:val="decimal"/>
      <w:start w:val="6"/>
    </w:lvl>
  </w:abstractNum>
  <w:abstractNum w:abstractNumId="196">
    <w:nsid w:val="632099E0"/>
    <w:multiLevelType w:val="hybridMultilevel"/>
    <w:lvl w:ilvl="0">
      <w:lvlJc w:val="left"/>
      <w:lvlText w:val="(%1)"/>
      <w:numFmt w:val="decimal"/>
      <w:start w:val="2"/>
    </w:lvl>
  </w:abstractNum>
  <w:abstractNum w:abstractNumId="197">
    <w:nsid w:val="24639756"/>
    <w:multiLevelType w:val="hybridMultilevel"/>
    <w:lvl w:ilvl="0">
      <w:lvlJc w:val="left"/>
      <w:lvlText w:val="(%1)"/>
      <w:numFmt w:val="lowerLetter"/>
      <w:start w:val="2"/>
    </w:lvl>
  </w:abstractNum>
  <w:abstractNum w:abstractNumId="198">
    <w:nsid w:val="9D30DFD"/>
    <w:multiLevelType w:val="hybridMultilevel"/>
    <w:lvl w:ilvl="0">
      <w:lvlJc w:val="left"/>
      <w:lvlText w:val="%1."/>
      <w:numFmt w:val="decimal"/>
      <w:start w:val="7"/>
    </w:lvl>
  </w:abstractNum>
  <w:abstractNum w:abstractNumId="199">
    <w:nsid w:val="70A42016"/>
    <w:multiLevelType w:val="hybridMultilevel"/>
    <w:lvl w:ilvl="0">
      <w:lvlJc w:val="left"/>
      <w:lvlText w:val="(%1)"/>
      <w:numFmt w:val="upperLetter"/>
      <w:start w:val="1"/>
    </w:lvl>
  </w:abstractNum>
  <w:abstractNum w:abstractNumId="200">
    <w:nsid w:val="161BC243"/>
    <w:multiLevelType w:val="hybridMultilevel"/>
    <w:lvl w:ilvl="0">
      <w:lvlJc w:val="left"/>
      <w:lvlText w:val="(%1)"/>
      <w:numFmt w:val="upperLetter"/>
      <w:start w:val="4"/>
    </w:lvl>
  </w:abstractNum>
  <w:abstractNum w:abstractNumId="201">
    <w:nsid w:val="16E908C8"/>
    <w:multiLevelType w:val="hybridMultilevel"/>
    <w:lvl w:ilvl="0">
      <w:lvlJc w:val="left"/>
      <w:lvlText w:val="%1."/>
      <w:numFmt w:val="decimal"/>
      <w:start w:val="8"/>
    </w:lvl>
  </w:abstractNum>
  <w:abstractNum w:abstractNumId="202">
    <w:nsid w:val="2E0D7671"/>
    <w:multiLevelType w:val="hybridMultilevel"/>
    <w:lvl w:ilvl="0">
      <w:lvlJc w:val="left"/>
      <w:lvlText w:val="%1."/>
      <w:numFmt w:val="decimal"/>
      <w:start w:val="14"/>
    </w:lvl>
  </w:abstractNum>
  <w:abstractNum w:abstractNumId="203">
    <w:nsid w:val="38B59EFF"/>
    <w:multiLevelType w:val="hybridMultilevel"/>
    <w:lvl w:ilvl="0">
      <w:lvlJc w:val="left"/>
      <w:lvlText w:val="(%1)"/>
      <w:numFmt w:val="lowerLetter"/>
      <w:start w:val="1"/>
    </w:lvl>
  </w:abstractNum>
  <w:abstractNum w:abstractNumId="204">
    <w:nsid w:val="307995CA"/>
    <w:multiLevelType w:val="hybridMultilevel"/>
    <w:lvl w:ilvl="0">
      <w:lvlJc w:val="left"/>
      <w:lvlText w:val="(%1)"/>
      <w:numFmt w:val="lowerLetter"/>
      <w:start w:val="5"/>
    </w:lvl>
  </w:abstractNum>
  <w:abstractNum w:abstractNumId="205">
    <w:nsid w:val="52E2024D"/>
    <w:multiLevelType w:val="hybridMultilevel"/>
    <w:lvl w:ilvl="0">
      <w:lvlJc w:val="left"/>
      <w:lvlText w:val="(%1)"/>
      <w:numFmt w:val="lowerLetter"/>
      <w:start w:val="1"/>
    </w:lvl>
  </w:abstractNum>
  <w:abstractNum w:abstractNumId="206">
    <w:nsid w:val="CE344B5"/>
    <w:multiLevelType w:val="hybridMultilevel"/>
    <w:lvl w:ilvl="0">
      <w:lvlJc w:val="left"/>
      <w:lvlText w:val="(%1)"/>
      <w:numFmt w:val="lowerLetter"/>
      <w:start w:val="1"/>
    </w:lvl>
  </w:abstractNum>
  <w:abstractNum w:abstractNumId="207">
    <w:nsid w:val="29B0E9A8"/>
    <w:multiLevelType w:val="hybridMultilevel"/>
    <w:lvl w:ilvl="0">
      <w:lvlJc w:val="left"/>
      <w:lvlText w:val="(%1)"/>
      <w:numFmt w:val="lowerLetter"/>
      <w:start w:val="5"/>
    </w:lvl>
  </w:abstractNum>
  <w:abstractNum w:abstractNumId="208">
    <w:nsid w:val="6F49CD8A"/>
    <w:multiLevelType w:val="hybridMultilevel"/>
    <w:lvl w:ilvl="0">
      <w:lvlJc w:val="left"/>
      <w:lvlText w:val="(%1)"/>
      <w:numFmt w:val="lowerLetter"/>
      <w:start w:val="1"/>
    </w:lvl>
  </w:abstractNum>
  <w:abstractNum w:abstractNumId="209">
    <w:nsid w:val="4DC5D907"/>
    <w:multiLevelType w:val="hybridMultilevel"/>
    <w:lvl w:ilvl="0">
      <w:lvlJc w:val="left"/>
      <w:lvlText w:val="(%1)"/>
      <w:numFmt w:val="lowerLetter"/>
      <w:start w:val="3"/>
    </w:lvl>
  </w:abstractNum>
  <w:abstractNum w:abstractNumId="210">
    <w:nsid w:val="D55945E"/>
    <w:multiLevelType w:val="hybridMultilevel"/>
    <w:lvl w:ilvl="0">
      <w:lvlJc w:val="left"/>
      <w:lvlText w:val="(%1)"/>
      <w:numFmt w:val="lowerLetter"/>
      <w:start w:val="1"/>
    </w:lvl>
  </w:abstractNum>
  <w:abstractNum w:abstractNumId="211">
    <w:nsid w:val="672417E1"/>
    <w:multiLevelType w:val="hybridMultilevel"/>
    <w:lvl w:ilvl="0">
      <w:lvlJc w:val="left"/>
      <w:lvlText w:val="(%1)"/>
      <w:numFmt w:val="lowerLetter"/>
      <w:start w:val="2"/>
    </w:lvl>
  </w:abstractNum>
  <w:abstractNum w:abstractNumId="212">
    <w:nsid w:val="5FF6CA09"/>
    <w:multiLevelType w:val="hybridMultilevel"/>
    <w:lvl w:ilvl="0">
      <w:lvlJc w:val="left"/>
      <w:lvlText w:val="(%1)"/>
      <w:numFmt w:val="lowerLetter"/>
      <w:start w:val="1"/>
    </w:lvl>
  </w:abstractNum>
  <w:abstractNum w:abstractNumId="213">
    <w:nsid w:val="330B1333"/>
    <w:multiLevelType w:val="hybridMultilevel"/>
    <w:lvl w:ilvl="0">
      <w:lvlJc w:val="left"/>
      <w:lvlText w:val="(%1)"/>
      <w:numFmt w:val="lowerLetter"/>
      <w:start w:val="1"/>
    </w:lvl>
  </w:abstractNum>
  <w:abstractNum w:abstractNumId="214">
    <w:nsid w:val="2EF32EA6"/>
    <w:multiLevelType w:val="hybridMultilevel"/>
    <w:lvl w:ilvl="0">
      <w:lvlJc w:val="left"/>
      <w:lvlText w:val="(%1)"/>
      <w:numFmt w:val="lowerLetter"/>
      <w:start w:val="8"/>
    </w:lvl>
  </w:abstractNum>
  <w:abstractNum w:abstractNumId="215">
    <w:nsid w:val="32766A55"/>
    <w:multiLevelType w:val="hybridMultilevel"/>
    <w:lvl w:ilvl="0">
      <w:lvlJc w:val="left"/>
      <w:lvlText w:val="(%1)"/>
      <w:numFmt w:val="lowerLetter"/>
      <w:start w:val="14"/>
    </w:lvl>
  </w:abstractNum>
  <w:abstractNum w:abstractNumId="216">
    <w:nsid w:val="22D71957"/>
    <w:multiLevelType w:val="hybridMultilevel"/>
    <w:lvl w:ilvl="0">
      <w:lvlJc w:val="left"/>
      <w:lvlText w:val="(%1)"/>
      <w:numFmt w:val="lowerLetter"/>
      <w:start w:val="1"/>
    </w:lvl>
  </w:abstractNum>
  <w:abstractNum w:abstractNumId="217">
    <w:nsid w:val="4CC1263B"/>
    <w:multiLevelType w:val="hybridMultilevel"/>
    <w:lvl w:ilvl="0">
      <w:lvlJc w:val="left"/>
      <w:lvlText w:val="(%1)"/>
      <w:numFmt w:val="lowerLetter"/>
      <w:start w:val="5"/>
    </w:lvl>
  </w:abstractNum>
  <w:abstractNum w:abstractNumId="218">
    <w:nsid w:val="8BBEB1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19">
    <w:nsid w:val="7365F1E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8"/>
    </w:lvl>
  </w:abstractNum>
  <w:abstractNum w:abstractNumId="220">
    <w:nsid w:val="37524CF0"/>
    <w:multiLevelType w:val="hybridMultilevel"/>
    <w:lvl w:ilvl="0">
      <w:lvlJc w:val="left"/>
      <w:lvlText w:val="(%1)"/>
      <w:numFmt w:val="lowerLetter"/>
      <w:start w:val="2"/>
    </w:lvl>
  </w:abstractNum>
  <w:abstractNum w:abstractNumId="221">
    <w:nsid w:val="70CC332F"/>
    <w:multiLevelType w:val="hybridMultilevel"/>
    <w:lvl w:ilvl="0">
      <w:lvlJc w:val="left"/>
      <w:lvlText w:val="(%1)"/>
      <w:numFmt w:val="lowerLetter"/>
      <w:start w:val="1"/>
    </w:lvl>
  </w:abstractNum>
  <w:abstractNum w:abstractNumId="222">
    <w:nsid w:val="5661786E"/>
    <w:multiLevelType w:val="hybridMultilevel"/>
    <w:lvl w:ilvl="0">
      <w:lvlJc w:val="left"/>
      <w:lvlText w:val="(%1)"/>
      <w:numFmt w:val="lowerLetter"/>
      <w:start w:val="1"/>
    </w:lvl>
  </w:abstractNum>
  <w:abstractNum w:abstractNumId="223">
    <w:nsid w:val="3AF6A220"/>
    <w:multiLevelType w:val="hybridMultilevel"/>
    <w:lvl w:ilvl="0">
      <w:lvlJc w:val="left"/>
      <w:lvlText w:val="(%1)"/>
      <w:numFmt w:val="lowerLetter"/>
      <w:start w:val="1"/>
    </w:lvl>
  </w:abstractNum>
  <w:abstractNum w:abstractNumId="224">
    <w:nsid w:val="3C5EA902"/>
    <w:multiLevelType w:val="hybridMultilevel"/>
    <w:lvl w:ilvl="0">
      <w:lvlJc w:val="left"/>
      <w:lvlText w:val="(%1)"/>
      <w:numFmt w:val="lowerLetter"/>
      <w:start w:val="4"/>
    </w:lvl>
  </w:abstractNum>
  <w:abstractNum w:abstractNumId="225">
    <w:nsid w:val="256E6749"/>
    <w:multiLevelType w:val="hybridMultilevel"/>
    <w:lvl w:ilvl="0">
      <w:lvlJc w:val="left"/>
      <w:lvlText w:val="%1)"/>
      <w:numFmt w:val="decimal"/>
      <w:start w:val="1"/>
    </w:lvl>
    <w:lvl w:ilvl="1">
      <w:lvlJc w:val="left"/>
      <w:lvlText w:val="%2)"/>
      <w:numFmt w:val="lowerLetter"/>
      <w:start w:val="1"/>
    </w:lvl>
  </w:abstractNum>
  <w:abstractNum w:abstractNumId="226">
    <w:nsid w:val="1CB9A581"/>
    <w:multiLevelType w:val="hybridMultilevel"/>
    <w:lvl w:ilvl="0">
      <w:lvlJc w:val="left"/>
      <w:lvlText w:val="%1)"/>
      <w:numFmt w:val="decimal"/>
      <w:start w:val="2"/>
    </w:lvl>
  </w:abstractNum>
  <w:abstractNum w:abstractNumId="227">
    <w:nsid w:val="1F7F42E2"/>
    <w:multiLevelType w:val="hybridMultilevel"/>
    <w:lvl w:ilvl="0">
      <w:lvlJc w:val="left"/>
      <w:lvlText w:val="%1)"/>
      <w:numFmt w:val="lowerLetter"/>
      <w:start w:val="1"/>
    </w:lvl>
  </w:abstractNum>
  <w:abstractNum w:abstractNumId="228">
    <w:nsid w:val="49D1FEA0"/>
    <w:multiLevelType w:val="hybridMultilevel"/>
    <w:lvl w:ilvl="0">
      <w:lvlJc w:val="left"/>
      <w:lvlText w:val="%1"/>
      <w:numFmt w:val="decimal"/>
      <w:start w:val="1"/>
    </w:lvl>
    <w:lvl w:ilvl="1">
      <w:lvlJc w:val="left"/>
      <w:lvlText w:val="%2)"/>
      <w:numFmt w:val="lowerLetter"/>
      <w:start w:val="2"/>
    </w:lvl>
  </w:abstractNum>
  <w:abstractNum w:abstractNumId="229">
    <w:nsid w:val="268CB37F"/>
    <w:multiLevelType w:val="hybridMultilevel"/>
    <w:lvl w:ilvl="0">
      <w:lvlJc w:val="left"/>
      <w:lvlText w:val="%1)"/>
      <w:numFmt w:val="decimal"/>
      <w:start w:val="6"/>
    </w:lvl>
    <w:lvl w:ilvl="1">
      <w:lvlJc w:val="left"/>
      <w:lvlText w:val="%2"/>
      <w:numFmt w:val="lowerLetter"/>
      <w:start w:val="1"/>
    </w:lvl>
  </w:abstractNum>
  <w:abstractNum w:abstractNumId="230">
    <w:nsid w:val="102362F8"/>
    <w:multiLevelType w:val="hybridMultilevel"/>
    <w:lvl w:ilvl="0">
      <w:lvlJc w:val="left"/>
      <w:lvlText w:val="%1)"/>
      <w:numFmt w:val="decimal"/>
      <w:start w:val="7"/>
    </w:lvl>
  </w:abstractNum>
  <w:abstractNum w:abstractNumId="231">
    <w:nsid w:val="5FEDC0E3"/>
    <w:multiLevelType w:val="hybridMultilevel"/>
    <w:lvl w:ilvl="0">
      <w:lvlJc w:val="left"/>
      <w:lvlText w:val="%1)"/>
      <w:numFmt w:val="decimal"/>
      <w:start w:val="13"/>
    </w:lvl>
  </w:abstractNum>
  <w:abstractNum w:abstractNumId="232">
    <w:nsid w:val="3D75BC47"/>
    <w:multiLevelType w:val="hybridMultilevel"/>
    <w:lvl w:ilvl="0">
      <w:lvlJc w:val="left"/>
      <w:lvlText w:val="%1)"/>
      <w:numFmt w:val="decimal"/>
      <w:start w:val="18"/>
    </w:lvl>
    <w:lvl w:ilvl="1">
      <w:lvlJc w:val="left"/>
      <w:lvlText w:val="%2)"/>
      <w:numFmt w:val="lowerLetter"/>
      <w:start w:val="1"/>
    </w:lvl>
  </w:abstractNum>
  <w:abstractNum w:abstractNumId="233">
    <w:nsid w:val="3E30D969"/>
    <w:multiLevelType w:val="hybridMultilevel"/>
    <w:lvl w:ilvl="0">
      <w:lvlJc w:val="left"/>
      <w:lvlText w:val="%1)"/>
      <w:numFmt w:val="lowerLetter"/>
      <w:start w:val="4"/>
    </w:lvl>
  </w:abstractNum>
  <w:abstractNum w:abstractNumId="234">
    <w:nsid w:val="18A35FE3"/>
    <w:multiLevelType w:val="hybridMultilevel"/>
    <w:lvl w:ilvl="0">
      <w:lvlJc w:val="left"/>
      <w:lvlText w:val="%1."/>
      <w:numFmt w:val="decimal"/>
      <w:start w:val="1"/>
    </w:lvl>
  </w:abstractNum>
  <w:abstractNum w:abstractNumId="235">
    <w:nsid w:val="6DEF5211"/>
    <w:multiLevelType w:val="hybridMultilevel"/>
    <w:lvl w:ilvl="0">
      <w:lvlJc w:val="left"/>
      <w:lvlText w:val="%1."/>
      <w:numFmt w:val="decimal"/>
      <w:start w:val="1"/>
    </w:lvl>
  </w:abstractNum>
  <w:abstractNum w:abstractNumId="236">
    <w:nsid w:val="1112DBB6"/>
    <w:multiLevelType w:val="hybridMultilevel"/>
    <w:lvl w:ilvl="0">
      <w:lvlJc w:val="left"/>
      <w:lvlText w:val="%1."/>
      <w:numFmt w:val="decimal"/>
      <w:start w:val="1"/>
    </w:lvl>
  </w:abstractNum>
  <w:abstractNum w:abstractNumId="237">
    <w:nsid w:val="2586A498"/>
    <w:multiLevelType w:val="hybridMultilevel"/>
    <w:lvl w:ilvl="0">
      <w:lvlJc w:val="left"/>
      <w:lvlText w:val="%1."/>
      <w:numFmt w:val="decimal"/>
      <w:start w:val="4"/>
    </w:lvl>
  </w:abstractNum>
  <w:abstractNum w:abstractNumId="238">
    <w:nsid w:val="17A03BB9"/>
    <w:multiLevelType w:val="hybridMultilevel"/>
    <w:lvl w:ilvl="0">
      <w:lvlJc w:val="left"/>
      <w:lvlText w:val="%1."/>
      <w:numFmt w:val="decimal"/>
      <w:start w:val="1"/>
    </w:lvl>
  </w:abstractNum>
  <w:abstractNum w:abstractNumId="239">
    <w:nsid w:val="5CA941"/>
    <w:multiLevelType w:val="hybridMultilevel"/>
    <w:lvl w:ilvl="0">
      <w:lvlJc w:val="left"/>
      <w:lvlText w:val="%1."/>
      <w:numFmt w:val="decimal"/>
      <w:start w:val="1"/>
    </w:lvl>
  </w:abstractNum>
  <w:abstractNum w:abstractNumId="240">
    <w:nsid w:val="734C7D9F"/>
    <w:multiLevelType w:val="hybridMultilevel"/>
    <w:lvl w:ilvl="0">
      <w:lvlJc w:val="left"/>
      <w:lvlText w:val="%1."/>
      <w:numFmt w:val="decimal"/>
      <w:start w:val="2"/>
    </w:lvl>
  </w:abstractNum>
  <w:abstractNum w:abstractNumId="241">
    <w:nsid w:val="24F5D018"/>
    <w:multiLevelType w:val="hybridMultilevel"/>
    <w:lvl w:ilvl="0">
      <w:lvlJc w:val="left"/>
      <w:lvlText w:val="(%1)"/>
      <w:numFmt w:val="lowerRoman"/>
      <w:start w:val="2"/>
    </w:lvl>
  </w:abstractNum>
  <w:abstractNum w:abstractNumId="242">
    <w:nsid w:val="6780C122"/>
    <w:multiLevelType w:val="hybridMultilevel"/>
    <w:lvl w:ilvl="0">
      <w:lvlJc w:val="left"/>
      <w:lvlText w:val="(%1)"/>
      <w:numFmt w:val="lowerRoman"/>
      <w:start w:val="1"/>
    </w:lvl>
  </w:abstractNum>
  <w:abstractNum w:abstractNumId="243">
    <w:nsid w:val="534347A8"/>
    <w:multiLevelType w:val="hybridMultilevel"/>
    <w:lvl w:ilvl="0">
      <w:lvlJc w:val="left"/>
      <w:lvlText w:val="(%1)"/>
      <w:numFmt w:val="decimal"/>
      <w:start w:val="60"/>
    </w:lvl>
  </w:abstractNum>
  <w:abstractNum w:abstractNumId="244">
    <w:nsid w:val="5800E34B"/>
    <w:multiLevelType w:val="hybridMultilevel"/>
    <w:lvl w:ilvl="0">
      <w:lvlJc w:val="left"/>
      <w:lvlText w:val="(%1)"/>
      <w:numFmt w:val="lowerLetter"/>
      <w:start w:val="4"/>
    </w:lvl>
  </w:abstractNum>
  <w:abstractNum w:abstractNumId="245">
    <w:nsid w:val="1673EFC8"/>
    <w:multiLevelType w:val="hybridMultilevel"/>
    <w:lvl w:ilvl="0">
      <w:lvlJc w:val="left"/>
      <w:lvlText w:val="(%1)"/>
      <w:numFmt w:val="lowerRoman"/>
      <w:start w:val="1"/>
    </w:lvl>
  </w:abstractNum>
  <w:abstractNum w:abstractNumId="246">
    <w:nsid w:val="5B9B1FD"/>
    <w:multiLevelType w:val="hybridMultilevel"/>
    <w:lvl w:ilvl="0">
      <w:lvlJc w:val="left"/>
      <w:lvlText w:val="(%1)"/>
      <w:numFmt w:val="decimal"/>
      <w:start w:val="30"/>
    </w:lvl>
  </w:abstractNum>
  <w:abstractNum w:abstractNumId="247">
    <w:nsid w:val="7AD7FCA2"/>
    <w:multiLevelType w:val="hybridMultilevel"/>
    <w:lvl w:ilvl="0">
      <w:lvlJc w:val="left"/>
      <w:lvlText w:val="(%1)"/>
      <w:numFmt w:val="lowerLetter"/>
      <w:start w:val="24"/>
    </w:lvl>
  </w:abstractNum>
  <w:abstractNum w:abstractNumId="248">
    <w:nsid w:val="63351604"/>
    <w:multiLevelType w:val="hybridMultilevel"/>
    <w:lvl w:ilvl="0">
      <w:lvlJc w:val="left"/>
      <w:lvlText w:val="(%1)"/>
      <w:numFmt w:val="lowerLetter"/>
      <w:start w:val="4"/>
    </w:lvl>
  </w:abstractNum>
  <w:abstractNum w:abstractNumId="249">
    <w:nsid w:val="E759D1A"/>
    <w:multiLevelType w:val="hybridMultilevel"/>
    <w:lvl w:ilvl="0">
      <w:lvlJc w:val="left"/>
      <w:lvlText w:val="(%1)"/>
      <w:numFmt w:val="lowerLetter"/>
      <w:start w:val="6"/>
    </w:lvl>
  </w:abstractNum>
  <w:abstractNum w:abstractNumId="250">
    <w:nsid w:val="6E3DEE90"/>
    <w:multiLevelType w:val="hybridMultilevel"/>
    <w:lvl w:ilvl="0">
      <w:lvlJc w:val="left"/>
      <w:lvlText w:val="(%1)"/>
      <w:numFmt w:val="lowerLetter"/>
      <w:start w:val="2"/>
    </w:lvl>
  </w:abstractNum>
  <w:abstractNum w:abstractNumId="251">
    <w:nsid w:val="1A8762F4"/>
    <w:multiLevelType w:val="hybridMultilevel"/>
    <w:lvl w:ilvl="0">
      <w:lvlJc w:val="left"/>
      <w:lvlText w:val="(%1)"/>
      <w:numFmt w:val="lowerLetter"/>
      <w:start w:val="1"/>
    </w:lvl>
  </w:abstractNum>
  <w:abstractNum w:abstractNumId="252">
    <w:nsid w:val="7F41D049"/>
    <w:multiLevelType w:val="hybridMultilevel"/>
    <w:lvl w:ilvl="0">
      <w:lvlJc w:val="left"/>
      <w:lvlText w:val="%1"/>
      <w:numFmt w:val="decimal"/>
      <w:start w:val="1"/>
    </w:lvl>
    <w:lvl w:ilvl="1">
      <w:lvlJc w:val="left"/>
      <w:lvlText w:val="(%2)"/>
      <w:numFmt w:val="lowerRoman"/>
      <w:start w:val="2"/>
    </w:lvl>
  </w:abstractNum>
  <w:abstractNum w:abstractNumId="253">
    <w:nsid w:val="449F66FE"/>
    <w:multiLevelType w:val="hybridMultilevel"/>
    <w:lvl w:ilvl="0">
      <w:lvlJc w:val="left"/>
      <w:lvlText w:val="(%1)"/>
      <w:numFmt w:val="decimal"/>
      <w:start w:val="10"/>
    </w:lvl>
    <w:lvl w:ilvl="1">
      <w:lvlJc w:val="left"/>
      <w:lvlText w:val="%2"/>
      <w:numFmt w:val="lowerRoman"/>
      <w:start w:val="1"/>
    </w:lvl>
  </w:abstractNum>
  <w:abstractNum w:abstractNumId="254">
    <w:nsid w:val="557E0515"/>
    <w:multiLevelType w:val="hybridMultilevel"/>
    <w:lvl w:ilvl="0">
      <w:lvlJc w:val="left"/>
      <w:lvlText w:val="(%1)"/>
      <w:numFmt w:val="upperLetter"/>
      <w:start w:val="1"/>
    </w:lvl>
  </w:abstractNum>
  <w:abstractNum w:abstractNumId="255">
    <w:nsid w:val="3BA0794B"/>
    <w:multiLevelType w:val="hybridMultilevel"/>
    <w:lvl w:ilvl="0">
      <w:lvlJc w:val="left"/>
      <w:lvlText w:val="(%1)"/>
      <w:numFmt w:val="upperLetter"/>
      <w:start w:val="3"/>
    </w:lvl>
  </w:abstractNum>
  <w:abstractNum w:abstractNumId="256">
    <w:nsid w:val="6A0DCE48"/>
    <w:multiLevelType w:val="hybridMultilevel"/>
    <w:lvl w:ilvl="0">
      <w:lvlJc w:val="left"/>
      <w:lvlText w:val="%1."/>
      <w:numFmt w:val="decimal"/>
      <w:start w:val="2"/>
    </w:lvl>
  </w:abstractNum>
  <w:abstractNum w:abstractNumId="257">
    <w:nsid w:val="7237AA96"/>
    <w:multiLevelType w:val="hybridMultilevel"/>
    <w:lvl w:ilvl="0">
      <w:lvlJc w:val="left"/>
      <w:lvlText w:val="%1."/>
      <w:numFmt w:val="decimal"/>
      <w:start w:val="5"/>
    </w:lvl>
  </w:abstractNum>
  <w:abstractNum w:abstractNumId="258">
    <w:nsid w:val="5B1FBC2D"/>
    <w:multiLevelType w:val="hybridMultilevel"/>
    <w:lvl w:ilvl="0">
      <w:lvlJc w:val="left"/>
      <w:lvlText w:val="%1."/>
      <w:numFmt w:val="decimal"/>
      <w:start w:val="6"/>
    </w:lvl>
  </w:abstractNum>
  <w:abstractNum w:abstractNumId="259">
    <w:nsid w:val="33DFCCE8"/>
    <w:multiLevelType w:val="hybridMultilevel"/>
    <w:lvl w:ilvl="0">
      <w:lvlJc w:val="left"/>
      <w:lvlText w:val="(%1)"/>
      <w:numFmt w:val="decimal"/>
      <w:start w:val="2"/>
    </w:lvl>
  </w:abstractNum>
  <w:abstractNum w:abstractNumId="260">
    <w:nsid w:val="18C45E15"/>
    <w:multiLevelType w:val="hybridMultilevel"/>
    <w:lvl w:ilvl="0">
      <w:lvlJc w:val="left"/>
      <w:lvlText w:val="(%1)"/>
      <w:numFmt w:val="lowerLetter"/>
      <w:start w:val="2"/>
    </w:lvl>
  </w:abstractNum>
  <w:abstractNum w:abstractNumId="261">
    <w:nsid w:val="6B431F25"/>
    <w:multiLevelType w:val="hybridMultilevel"/>
    <w:lvl w:ilvl="0">
      <w:lvlJc w:val="left"/>
      <w:lvlText w:val="%1."/>
      <w:numFmt w:val="decimal"/>
      <w:start w:val="7"/>
    </w:lvl>
  </w:abstractNum>
  <w:abstractNum w:abstractNumId="262">
    <w:nsid w:val="13CD8DCB"/>
    <w:multiLevelType w:val="hybridMultilevel"/>
    <w:lvl w:ilvl="0">
      <w:lvlJc w:val="left"/>
      <w:lvlText w:val="(%1)"/>
      <w:numFmt w:val="upperLetter"/>
      <w:start w:val="1"/>
    </w:lvl>
  </w:abstractNum>
  <w:abstractNum w:abstractNumId="263">
    <w:nsid w:val="563A1A5C"/>
    <w:multiLevelType w:val="hybridMultilevel"/>
    <w:lvl w:ilvl="0">
      <w:lvlJc w:val="left"/>
      <w:lvlText w:val="(%1)"/>
      <w:numFmt w:val="upperLetter"/>
      <w:start w:val="4"/>
    </w:lvl>
  </w:abstractNum>
  <w:abstractNum w:abstractNumId="264">
    <w:nsid w:val="2973F88F"/>
    <w:multiLevelType w:val="hybridMultilevel"/>
    <w:lvl w:ilvl="0">
      <w:lvlJc w:val="left"/>
      <w:lvlText w:val="%1."/>
      <w:numFmt w:val="decimal"/>
      <w:start w:val="8"/>
    </w:lvl>
  </w:abstractNum>
  <w:abstractNum w:abstractNumId="265">
    <w:nsid w:val="2C70EDAE"/>
    <w:multiLevelType w:val="hybridMultilevel"/>
    <w:lvl w:ilvl="0">
      <w:lvlJc w:val="left"/>
      <w:lvlText w:val="%1."/>
      <w:numFmt w:val="decimal"/>
      <w:start w:val="14"/>
    </w:lvl>
  </w:abstractNum>
  <w:abstractNum w:abstractNumId="266">
    <w:nsid w:val="44296C6D"/>
    <w:multiLevelType w:val="hybridMultilevel"/>
    <w:lvl w:ilvl="0">
      <w:lvlJc w:val="left"/>
      <w:lvlText w:val="%1."/>
      <w:numFmt w:val="upperLetter"/>
      <w:start w:val="1"/>
    </w:lvl>
  </w:abstractNum>
  <w:abstractNum w:abstractNumId="267">
    <w:nsid w:val="3A86D445"/>
    <w:multiLevelType w:val="hybridMultilevel"/>
    <w:lvl w:ilvl="0">
      <w:lvlJc w:val="left"/>
      <w:lvlText w:val="(%1)"/>
      <w:numFmt w:val="lowerLetter"/>
      <w:start w:val="1"/>
    </w:lvl>
  </w:abstractNum>
  <w:abstractNum w:abstractNumId="268">
    <w:nsid w:val="51F79246"/>
    <w:multiLevelType w:val="hybridMultilevel"/>
    <w:lvl w:ilvl="0">
      <w:lvlJc w:val="left"/>
      <w:lvlText w:val="(%1)"/>
      <w:numFmt w:val="lowerLetter"/>
      <w:start w:val="1"/>
    </w:lvl>
    <w:lvl w:ilvl="1">
      <w:lvlJc w:val="left"/>
      <w:lvlText w:val="(%2)"/>
      <w:numFmt w:val="lowerLetter"/>
      <w:start w:val="9"/>
    </w:lvl>
  </w:abstractNum>
  <w:abstractNum w:abstractNumId="269">
    <w:nsid w:val="5BC9A82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0">
    <w:nsid w:val="3AE37D8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0"/>
    </w:lvl>
  </w:abstractNum>
  <w:abstractNum w:abstractNumId="271">
    <w:nsid w:val="45440F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2">
    <w:nsid w:val="BF783F"/>
    <w:multiLevelType w:val="hybridMultilevel"/>
    <w:lvl w:ilvl="0">
      <w:lvlJc w:val="left"/>
      <w:lvlText w:val="(%1)"/>
      <w:numFmt w:val="lowerRoman"/>
      <w:start w:val="3"/>
    </w:lvl>
  </w:abstractNum>
  <w:abstractNum w:abstractNumId="273">
    <w:nsid w:val="22643EA9"/>
    <w:multiLevelType w:val="hybridMultilevel"/>
    <w:lvl w:ilvl="0">
      <w:lvlJc w:val="left"/>
      <w:lvlText w:val="(%1)"/>
      <w:numFmt w:val="lowerLetter"/>
      <w:start w:val="1"/>
    </w:lvl>
  </w:abstractNum>
  <w:abstractNum w:abstractNumId="274">
    <w:nsid w:val="1887578D"/>
    <w:multiLevelType w:val="hybridMultilevel"/>
    <w:lvl w:ilvl="0">
      <w:lvlJc w:val="left"/>
      <w:lvlText w:val="(%1)"/>
      <w:numFmt w:val="lowerLetter"/>
      <w:start w:val="9"/>
    </w:lvl>
    <w:lvl w:ilvl="1">
      <w:lvlJc w:val="left"/>
      <w:lvlText w:val="(%2)"/>
      <w:numFmt w:val="lowerLetter"/>
      <w:start w:val="4"/>
    </w:lvl>
  </w:abstractNum>
  <w:abstractNum w:abstractNumId="275">
    <w:nsid w:val="58C05B8A"/>
    <w:multiLevelType w:val="hybridMultilevel"/>
    <w:lvl w:ilvl="0">
      <w:lvlJc w:val="left"/>
      <w:lvlText w:val="(%1)"/>
      <w:numFmt w:val="lowerLetter"/>
      <w:start w:val="6"/>
    </w:lvl>
    <w:lvl w:ilvl="1">
      <w:lvlJc w:val="left"/>
      <w:lvlText w:val="(%2)"/>
      <w:numFmt w:val="lowerRoman"/>
      <w:start w:val="1"/>
    </w:lvl>
  </w:abstractNum>
  <w:abstractNum w:abstractNumId="276">
    <w:nsid w:val="38D82E71"/>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277">
    <w:nsid w:val="1E41098A"/>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78">
    <w:nsid w:val="5398582C"/>
    <w:multiLevelType w:val="hybridMultilevel"/>
    <w:lvl w:ilvl="0">
      <w:lvlJc w:val="left"/>
      <w:lvlText w:val="%1"/>
      <w:numFmt w:val="lowerLetter"/>
      <w:start w:val="1"/>
    </w:lvl>
    <w:lvl w:ilvl="1">
      <w:lvlJc w:val="left"/>
      <w:lvlText w:val="(%2)"/>
      <w:numFmt w:val="lowerLetter"/>
      <w:start w:val="10"/>
    </w:lvl>
  </w:abstractNum>
  <w:abstractNum w:abstractNumId="279">
    <w:nsid w:val="1C0D4475"/>
    <w:multiLevelType w:val="hybridMultilevel"/>
    <w:lvl w:ilvl="0">
      <w:lvlJc w:val="left"/>
      <w:lvlText w:val="(%1)"/>
      <w:numFmt w:val="lowerLetter"/>
      <w:start w:val="22"/>
    </w:lvl>
    <w:lvl w:ilvl="1">
      <w:lvlJc w:val="left"/>
      <w:lvlText w:val="(%2)"/>
      <w:numFmt w:val="lowerLetter"/>
      <w:start w:val="12"/>
    </w:lvl>
  </w:abstractNum>
  <w:abstractNum w:abstractNumId="280">
    <w:nsid w:val="2CB6A6A4"/>
    <w:multiLevelType w:val="hybridMultilevel"/>
    <w:lvl w:ilvl="0">
      <w:lvlJc w:val="left"/>
      <w:lvlText w:val="(%1)"/>
      <w:numFmt w:val="lowerLetter"/>
      <w:start w:val="14"/>
    </w:lvl>
  </w:abstractNum>
  <w:abstractNum w:abstractNumId="281">
    <w:nsid w:val="41D646BC"/>
    <w:multiLevelType w:val="hybridMultilevel"/>
    <w:lvl w:ilvl="0">
      <w:lvlJc w:val="left"/>
      <w:lvlText w:val="(%1)"/>
      <w:numFmt w:val="lowerLetter"/>
      <w:start w:val="16"/>
    </w:lvl>
  </w:abstractNum>
  <w:abstractNum w:abstractNumId="282">
    <w:nsid w:val="3694A76A"/>
    <w:multiLevelType w:val="hybridMultilevel"/>
    <w:lvl w:ilvl="0">
      <w:lvlJc w:val="left"/>
      <w:lvlText w:val="%1"/>
      <w:numFmt w:val="lowerRoman"/>
      <w:start w:val="1"/>
    </w:lvl>
    <w:lvl w:ilvl="1">
      <w:lvlJc w:val="left"/>
      <w:lvlText w:val="(%2)"/>
      <w:numFmt w:val="lowerLetter"/>
      <w:start w:val="19"/>
    </w:lvl>
  </w:abstractNum>
  <w:abstractNum w:abstractNumId="283">
    <w:nsid w:val="2BF876EE"/>
    <w:multiLevelType w:val="hybridMultilevel"/>
    <w:lvl w:ilvl="0">
      <w:lvlJc w:val="left"/>
      <w:lvlText w:val="(%1)"/>
      <w:numFmt w:val="lowerRoman"/>
      <w:start w:val="4"/>
    </w:lvl>
    <w:lvl w:ilvl="1">
      <w:lvlJc w:val="left"/>
      <w:lvlText w:val="(%2)"/>
      <w:numFmt w:val="lowerLetter"/>
      <w:start w:val="20"/>
    </w:lvl>
  </w:abstractNum>
  <w:abstractNum w:abstractNumId="284">
    <w:nsid w:val="675ADBA"/>
    <w:multiLevelType w:val="hybridMultilevel"/>
    <w:lvl w:ilvl="0">
      <w:lvlJc w:val="left"/>
      <w:lvlText w:val="(%1)"/>
      <w:numFmt w:val="lowerLetter"/>
      <w:start w:val="21"/>
    </w:lvl>
  </w:abstractNum>
  <w:abstractNum w:abstractNumId="285">
    <w:nsid w:val="C12AC7F"/>
    <w:multiLevelType w:val="hybridMultilevel"/>
    <w:lvl w:ilvl="0">
      <w:lvlJc w:val="left"/>
      <w:lvlText w:val="(%1)"/>
      <w:numFmt w:val="lowerLetter"/>
      <w:start w:val="27"/>
    </w:lvl>
  </w:abstractNum>
  <w:abstractNum w:abstractNumId="286">
    <w:nsid w:val="6798F039"/>
    <w:multiLevelType w:val="hybridMultilevel"/>
    <w:lvl w:ilvl="0">
      <w:lvlJc w:val="left"/>
      <w:lvlText w:val="%1"/>
      <w:numFmt w:val="lowerLetter"/>
      <w:start w:val="1"/>
    </w:lvl>
    <w:lvl w:ilvl="1">
      <w:lvlJc w:val="left"/>
      <w:lvlText w:val="(%2)"/>
      <w:numFmt w:val="lowerLetter"/>
      <w:start w:val="28"/>
    </w:lvl>
  </w:abstractNum>
  <w:abstractNum w:abstractNumId="287">
    <w:nsid w:val="70837C02"/>
    <w:multiLevelType w:val="hybridMultilevel"/>
    <w:lvl w:ilvl="0">
      <w:lvlJc w:val="left"/>
      <w:lvlText w:val="(%1)"/>
      <w:numFmt w:val="lowerLetter"/>
      <w:start w:val="35"/>
    </w:lvl>
    <w:lvl w:ilvl="1">
      <w:lvlJc w:val="left"/>
      <w:lvlText w:val="%2"/>
      <w:numFmt w:val="lowerLetter"/>
      <w:start w:val="1"/>
    </w:lvl>
  </w:abstractNum>
  <w:abstractNum w:abstractNumId="288">
    <w:nsid w:val="7E4A5715"/>
    <w:multiLevelType w:val="hybridMultilevel"/>
    <w:lvl w:ilvl="0">
      <w:lvlJc w:val="left"/>
      <w:lvlText w:val="%1"/>
      <w:numFmt w:val="lowerLetter"/>
      <w:start w:val="1"/>
    </w:lvl>
    <w:lvl w:ilvl="1">
      <w:lvlJc w:val="left"/>
      <w:lvlText w:val="(%2)"/>
      <w:numFmt w:val="lowerLetter"/>
      <w:start w:val="31"/>
    </w:lvl>
  </w:abstractNum>
  <w:abstractNum w:abstractNumId="289">
    <w:nsid w:val="42B8AC67"/>
    <w:multiLevelType w:val="hybridMultilevel"/>
    <w:lvl w:ilvl="0">
      <w:lvlJc w:val="left"/>
      <w:lvlText w:val="(%1)"/>
      <w:numFmt w:val="lowerLetter"/>
      <w:start w:val="61"/>
    </w:lvl>
    <w:lvl w:ilvl="1">
      <w:lvlJc w:val="left"/>
      <w:lvlText w:val="(%2)"/>
      <w:numFmt w:val="lowerLetter"/>
      <w:start w:val="33"/>
    </w:lvl>
  </w:abstractNum>
  <w:abstractNum w:abstractNumId="290">
    <w:nsid w:val="246348EA"/>
    <w:multiLevelType w:val="hybridMultilevel"/>
    <w:lvl w:ilvl="0">
      <w:lvlJc w:val="left"/>
      <w:lvlText w:val="(%1)"/>
      <w:numFmt w:val="lowerLetter"/>
      <w:start w:val="36"/>
    </w:lvl>
  </w:abstractNum>
  <w:abstractNum w:abstractNumId="291">
    <w:nsid w:val="170EB52B"/>
    <w:multiLevelType w:val="hybridMultilevel"/>
    <w:lvl w:ilvl="0">
      <w:lvlJc w:val="left"/>
      <w:lvlText w:val="(%1)"/>
      <w:numFmt w:val="lowerLetter"/>
      <w:start w:val="41"/>
    </w:lvl>
  </w:abstractNum>
  <w:abstractNum w:abstractNumId="292">
    <w:nsid w:val="2DFBCB8C"/>
    <w:multiLevelType w:val="hybridMultilevel"/>
    <w:lvl w:ilvl="0">
      <w:lvlJc w:val="left"/>
      <w:lvlText w:val="(%1)"/>
      <w:numFmt w:val="lowerLetter"/>
      <w:start w:val="1"/>
    </w:lvl>
  </w:abstractNum>
  <w:abstractNum w:abstractNumId="293">
    <w:nsid w:val="3830D6B6"/>
    <w:multiLevelType w:val="hybridMultilevel"/>
    <w:lvl w:ilvl="0">
      <w:lvlJc w:val="left"/>
      <w:lvlText w:val="(%1)"/>
      <w:numFmt w:val="lowerLetter"/>
      <w:start w:val="4"/>
    </w:lvl>
  </w:abstractNum>
  <w:abstractNum w:abstractNumId="294">
    <w:nsid w:val="6D48CF87"/>
    <w:multiLevelType w:val="hybridMultilevel"/>
    <w:lvl w:ilvl="0">
      <w:lvlJc w:val="left"/>
      <w:lvlText w:val="(%1)"/>
      <w:numFmt w:val="lowerLetter"/>
      <w:start w:val="9"/>
    </w:lvl>
  </w:abstractNum>
  <w:abstractNum w:abstractNumId="295">
    <w:nsid w:val="576FC41B"/>
    <w:multiLevelType w:val="hybridMultilevel"/>
    <w:lvl w:ilvl="0">
      <w:lvlJc w:val="left"/>
      <w:lvlText w:val="(%1)"/>
      <w:numFmt w:val="lowerLetter"/>
      <w:start w:val="15"/>
    </w:lvl>
  </w:abstractNum>
  <w:abstractNum w:abstractNumId="296">
    <w:nsid w:val="64A1C464"/>
    <w:multiLevelType w:val="hybridMultilevel"/>
    <w:lvl w:ilvl="0">
      <w:lvlJc w:val="left"/>
      <w:lvlText w:val="(%1)"/>
      <w:numFmt w:val="lowerLetter"/>
      <w:start w:val="1"/>
    </w:lvl>
  </w:abstractNum>
  <w:abstractNum w:abstractNumId="297">
    <w:nsid w:val="31723BF5"/>
    <w:multiLevelType w:val="hybridMultilevel"/>
    <w:lvl w:ilvl="0">
      <w:lvlJc w:val="left"/>
      <w:lvlText w:val="(%1)"/>
      <w:numFmt w:val="lowerLetter"/>
      <w:start w:val="3"/>
    </w:lvl>
  </w:abstractNum>
  <w:abstractNum w:abstractNumId="298">
    <w:nsid w:val="11F69861"/>
    <w:multiLevelType w:val="hybridMultilevel"/>
    <w:lvl w:ilvl="0">
      <w:lvlJc w:val="left"/>
      <w:lvlText w:val="(%1)"/>
      <w:numFmt w:val="lowerLetter"/>
      <w:start w:val="4"/>
    </w:lvl>
  </w:abstractNum>
  <w:abstractNum w:abstractNumId="299">
    <w:nsid w:val="369956AB"/>
    <w:multiLevelType w:val="hybridMultilevel"/>
    <w:lvl w:ilvl="0">
      <w:lvlJc w:val="left"/>
      <w:lvlText w:val="(%1)"/>
      <w:numFmt w:val="lowerLetter"/>
      <w:start w:val="25"/>
    </w:lvl>
  </w:abstractNum>
  <w:abstractNum w:abstractNumId="300">
    <w:nsid w:val="D3BE41C"/>
    <w:multiLevelType w:val="hybridMultilevel"/>
    <w:lvl w:ilvl="0">
      <w:lvlJc w:val="left"/>
      <w:lvlText w:val="(%1)"/>
      <w:numFmt w:val="lowerLetter"/>
      <w:start w:val="1"/>
    </w:lvl>
  </w:abstractNum>
  <w:abstractNum w:abstractNumId="301">
    <w:nsid w:val="4CDA15E7"/>
    <w:multiLevelType w:val="hybridMultilevel"/>
    <w:lvl w:ilvl="0">
      <w:lvlJc w:val="left"/>
      <w:lvlText w:val="(%1)"/>
      <w:numFmt w:val="lowerLetter"/>
      <w:start w:val="5"/>
    </w:lvl>
  </w:abstractNum>
  <w:abstractNum w:abstractNumId="302">
    <w:nsid w:val="7BDD6690"/>
    <w:multiLevelType w:val="hybridMultilevel"/>
    <w:lvl w:ilvl="0">
      <w:lvlJc w:val="left"/>
      <w:lvlText w:val="(%1)"/>
      <w:numFmt w:val="lowerLetter"/>
      <w:start w:val="1"/>
    </w:lvl>
  </w:abstractNum>
  <w:abstractNum w:abstractNumId="303">
    <w:nsid w:val="DFB5C5B"/>
    <w:multiLevelType w:val="hybridMultilevel"/>
    <w:lvl w:ilvl="0">
      <w:lvlJc w:val="left"/>
      <w:lvlText w:val="(%1)"/>
      <w:numFmt w:val="lowerLetter"/>
      <w:start w:val="4"/>
    </w:lvl>
  </w:abstractNum>
  <w:abstractNum w:abstractNumId="304">
    <w:nsid w:val="6F3E5490"/>
    <w:multiLevelType w:val="hybridMultilevel"/>
    <w:lvl w:ilvl="0">
      <w:lvlJc w:val="left"/>
      <w:lvlText w:val="(%1)"/>
      <w:numFmt w:val="lowerRoman"/>
      <w:start w:val="1"/>
    </w:lvl>
  </w:abstractNum>
  <w:abstractNum w:abstractNumId="305">
    <w:nsid w:val="1464BE1E"/>
    <w:multiLevelType w:val="hybridMultilevel"/>
    <w:lvl w:ilvl="0">
      <w:lvlJc w:val="left"/>
      <w:lvlText w:val="(%1)"/>
      <w:numFmt w:val="lowerLetter"/>
      <w:start w:val="1"/>
    </w:lvl>
  </w:abstractNum>
  <w:abstractNum w:abstractNumId="306">
    <w:nsid w:val="66BBB7E5"/>
    <w:multiLevelType w:val="hybridMultilevel"/>
    <w:lvl w:ilvl="0">
      <w:lvlJc w:val="left"/>
      <w:lvlText w:val="%1."/>
      <w:numFmt w:val="decimal"/>
      <w:start w:val="1"/>
    </w:lvl>
  </w:abstractNum>
  <w:abstractNum w:abstractNumId="307">
    <w:nsid w:val="28168302"/>
    <w:multiLevelType w:val="hybridMultilevel"/>
    <w:lvl w:ilvl="0">
      <w:lvlJc w:val="left"/>
      <w:lvlText w:val="%1."/>
      <w:numFmt w:val="decimal"/>
      <w:start w:val="1"/>
    </w:lvl>
  </w:abstractNum>
  <w:abstractNum w:abstractNumId="308">
    <w:nsid w:val="32A5C7A8"/>
    <w:multiLevelType w:val="hybridMultilevel"/>
    <w:lvl w:ilvl="0">
      <w:lvlJc w:val="left"/>
      <w:lvlText w:val="%1."/>
      <w:numFmt w:val="decimal"/>
      <w:start w:val="1"/>
    </w:lvl>
  </w:abstractNum>
  <w:abstractNum w:abstractNumId="309">
    <w:nsid w:val="3A541011"/>
    <w:multiLevelType w:val="hybridMultilevel"/>
    <w:lvl w:ilvl="0">
      <w:lvlJc w:val="left"/>
      <w:lvlText w:val="(%1)"/>
      <w:numFmt w:val="lowerLetter"/>
      <w:start w:val="6"/>
    </w:lvl>
  </w:abstractNum>
  <w:abstractNum w:abstractNumId="310">
    <w:nsid w:val="4423C777"/>
    <w:multiLevelType w:val="hybridMultilevel"/>
    <w:lvl w:ilvl="0">
      <w:lvlJc w:val="left"/>
      <w:lvlText w:val="(%1)"/>
      <w:numFmt w:val="lowerLetter"/>
      <w:start w:val="8"/>
    </w:lvl>
  </w:abstractNum>
  <w:abstractNum w:abstractNumId="311">
    <w:nsid w:val="5F5C6E4D"/>
    <w:multiLevelType w:val="hybridMultilevel"/>
    <w:lvl w:ilvl="0">
      <w:lvlJc w:val="left"/>
      <w:lvlText w:val="(%1)"/>
      <w:numFmt w:val="decimal"/>
      <w:start w:val="2"/>
    </w:lvl>
  </w:abstractNum>
  <w:abstractNum w:abstractNumId="312">
    <w:nsid w:val="7C2A56CD"/>
    <w:multiLevelType w:val="hybridMultilevel"/>
    <w:lvl w:ilvl="0">
      <w:lvlJc w:val="left"/>
      <w:lvlText w:val="(%1)"/>
      <w:numFmt w:val="lowerRoman"/>
      <w:start w:val="3"/>
    </w:lvl>
  </w:abstractNum>
  <w:abstractNum w:abstractNumId="313">
    <w:nsid w:val="7AB86EE1"/>
    <w:multiLevelType w:val="hybridMultilevel"/>
    <w:lvl w:ilvl="0">
      <w:lvlJc w:val="left"/>
      <w:lvlText w:val="(%1)"/>
      <w:numFmt w:val="lowerLetter"/>
      <w:start w:val="25"/>
    </w:lvl>
  </w:abstractNum>
  <w:abstractNum w:abstractNumId="314">
    <w:nsid w:val="B54E53B"/>
    <w:multiLevelType w:val="hybridMultilevel"/>
    <w:lvl w:ilvl="0">
      <w:lvlJc w:val="left"/>
      <w:lvlText w:val="(%1)"/>
      <w:numFmt w:val="upperLetter"/>
      <w:start w:val="2"/>
    </w:lvl>
  </w:abstractNum>
  <w:abstractNum w:abstractNumId="315">
    <w:nsid w:val="2A00487"/>
    <w:multiLevelType w:val="hybridMultilevel"/>
    <w:lvl w:ilvl="0">
      <w:lvlJc w:val="left"/>
      <w:lvlText w:val="%1."/>
      <w:numFmt w:val="decimal"/>
      <w:start w:val="1"/>
    </w:lvl>
  </w:abstractNum>
  <w:abstractNum w:abstractNumId="316">
    <w:nsid w:val="6CB1B60"/>
    <w:multiLevelType w:val="hybridMultilevel"/>
    <w:lvl w:ilvl="0">
      <w:lvlJc w:val="left"/>
      <w:lvlText w:val="%1."/>
      <w:numFmt w:val="decimal"/>
      <w:start w:val="2"/>
    </w:lvl>
    <w:lvl w:ilvl="1">
      <w:lvlJc w:val="left"/>
      <w:lvlText w:val="(%2)"/>
      <w:numFmt w:val="lowerLetter"/>
      <w:start w:val="1"/>
    </w:lvl>
  </w:abstractNum>
  <w:abstractNum w:abstractNumId="317">
    <w:nsid w:val="72EDD574"/>
    <w:multiLevelType w:val="hybridMultilevel"/>
    <w:lvl w:ilvl="0">
      <w:lvlJc w:val="left"/>
      <w:lvlText w:val="(%1)"/>
      <w:numFmt w:val="lowerLetter"/>
      <w:start w:val="2"/>
    </w:lvl>
  </w:abstractNum>
  <w:abstractNum w:abstractNumId="318">
    <w:nsid w:val="7323808A"/>
    <w:multiLevelType w:val="hybridMultilevel"/>
    <w:lvl w:ilvl="0">
      <w:lvlJc w:val="left"/>
      <w:lvlText w:val="%1"/>
      <w:numFmt w:val="decimal"/>
      <w:start w:val="1"/>
    </w:lvl>
    <w:lvl w:ilvl="1">
      <w:lvlJc w:val="left"/>
      <w:lvlText w:val="(%2)"/>
      <w:numFmt w:val="lowerLetter"/>
      <w:start w:val="5"/>
    </w:lvl>
  </w:abstractNum>
  <w:abstractNum w:abstractNumId="319">
    <w:nsid w:val="5157276"/>
    <w:multiLevelType w:val="hybridMultilevel"/>
    <w:lvl w:ilvl="0">
      <w:lvlJc w:val="left"/>
      <w:lvlText w:val="%1."/>
      <w:numFmt w:val="decimal"/>
      <w:start w:val="3"/>
    </w:lvl>
    <w:lvl w:ilvl="1">
      <w:lvlJc w:val="left"/>
      <w:lvlText w:val="%2"/>
      <w:numFmt w:val="lowerLetter"/>
      <w:start w:val="1"/>
    </w:lvl>
  </w:abstractNum>
  <w:abstractNum w:abstractNumId="320">
    <w:nsid w:val="35A681DB"/>
    <w:multiLevelType w:val="hybridMultilevel"/>
    <w:lvl w:ilvl="0">
      <w:lvlJc w:val="left"/>
      <w:lvlText w:val="%1"/>
      <w:numFmt w:val="decimal"/>
      <w:start w:val="1"/>
    </w:lvl>
    <w:lvl w:ilvl="1">
      <w:lvlJc w:val="left"/>
      <w:lvlText w:val="(%2)"/>
      <w:numFmt w:val="lowerLetter"/>
      <w:start w:val="1"/>
    </w:lvl>
  </w:abstractNum>
  <w:abstractNum w:abstractNumId="321">
    <w:nsid w:val="1786C974"/>
    <w:multiLevelType w:val="hybridMultilevel"/>
    <w:lvl w:ilvl="0">
      <w:lvlJc w:val="left"/>
      <w:lvlText w:val="(%1)"/>
      <w:numFmt w:val="decimal"/>
      <w:start w:val="2"/>
    </w:lvl>
    <w:lvl w:ilvl="1">
      <w:lvlJc w:val="left"/>
      <w:lvlText w:val="%2"/>
      <w:numFmt w:val="lowerLetter"/>
      <w:start w:val="1"/>
    </w:lvl>
  </w:abstractNum>
  <w:abstractNum w:abstractNumId="322">
    <w:nsid w:val="1C2427A1"/>
    <w:multiLevelType w:val="hybridMultilevel"/>
    <w:lvl w:ilvl="0">
      <w:lvlJc w:val="left"/>
      <w:lvlText w:val="%1"/>
      <w:numFmt w:val="lowerLetter"/>
      <w:start w:val="1"/>
    </w:lvl>
    <w:lvl w:ilvl="1">
      <w:lvlJc w:val="left"/>
      <w:lvlText w:val="(%2)"/>
      <w:numFmt w:val="lowerLetter"/>
      <w:start w:val="2"/>
    </w:lvl>
  </w:abstractNum>
  <w:abstractNum w:abstractNumId="323">
    <w:nsid w:val="63A24D68"/>
    <w:multiLevelType w:val="hybridMultilevel"/>
    <w:lvl w:ilvl="0">
      <w:lvlJc w:val="left"/>
      <w:lvlText w:val="(%1)"/>
      <w:numFmt w:val="lowerLetter"/>
      <w:start w:val="61"/>
    </w:lvl>
    <w:lvl w:ilvl="1">
      <w:lvlJc w:val="left"/>
      <w:lvlText w:val="(%2)"/>
      <w:numFmt w:val="lowerLetter"/>
      <w:start w:val="3"/>
    </w:lvl>
  </w:abstractNum>
  <w:abstractNum w:abstractNumId="324">
    <w:nsid w:val="4FB7A02A"/>
    <w:multiLevelType w:val="hybridMultilevel"/>
    <w:lvl w:ilvl="0">
      <w:lvlJc w:val="left"/>
      <w:lvlText w:val="(%1)"/>
      <w:numFmt w:val="lowerLetter"/>
      <w:start w:val="4"/>
    </w:lvl>
  </w:abstractNum>
  <w:abstractNum w:abstractNumId="325">
    <w:nsid w:val="96CF72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7"/>
    </w:lvl>
  </w:abstractNum>
  <w:abstractNum w:abstractNumId="326">
    <w:nsid w:val="3B121183"/>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9"/>
    </w:lvl>
  </w:abstractNum>
  <w:abstractNum w:abstractNumId="327">
    <w:nsid w:val="3459648F"/>
    <w:multiLevelType w:val="hybridMultilevel"/>
    <w:lvl w:ilvl="0">
      <w:lvlJc w:val="left"/>
      <w:lvlText w:val="(%1)"/>
      <w:numFmt w:val="lowerRoman"/>
      <w:start w:val="3"/>
    </w:lvl>
    <w:lvl w:ilvl="1">
      <w:lvlJc w:val="left"/>
      <w:lvlText w:val="%2."/>
      <w:numFmt w:val="decimal"/>
      <w:start w:val="3"/>
    </w:lvl>
    <w:lvl w:ilvl="2">
      <w:lvlJc w:val="left"/>
      <w:lvlText w:val="(%3)"/>
      <w:numFmt w:val="lowerLetter"/>
      <w:start w:val="10"/>
    </w:lvl>
  </w:abstractNum>
  <w:abstractNum w:abstractNumId="328">
    <w:nsid w:val="3ADF331D"/>
    <w:multiLevelType w:val="hybridMultilevel"/>
    <w:lvl w:ilvl="0">
      <w:lvlJc w:val="left"/>
      <w:lvlText w:val="%1."/>
      <w:numFmt w:val="decimal"/>
      <w:start w:val="5"/>
    </w:lvl>
    <w:lvl w:ilvl="1">
      <w:lvlJc w:val="left"/>
      <w:lvlText w:val="(%2)"/>
      <w:numFmt w:val="lowerLetter"/>
      <w:start w:val="1"/>
    </w:lvl>
  </w:abstractNum>
  <w:abstractNum w:abstractNumId="329">
    <w:nsid w:val="4D08A9E4"/>
    <w:multiLevelType w:val="hybridMultilevel"/>
    <w:lvl w:ilvl="0">
      <w:lvlJc w:val="left"/>
      <w:lvlText w:val="(%1)"/>
      <w:numFmt w:val="lowerLetter"/>
      <w:start w:val="2"/>
    </w:lvl>
  </w:abstractNum>
  <w:abstractNum w:abstractNumId="330">
    <w:nsid w:val="6AF2BB3A"/>
    <w:multiLevelType w:val="hybridMultilevel"/>
    <w:lvl w:ilvl="0">
      <w:lvlJc w:val="left"/>
      <w:lvlText w:val="(%1)"/>
      <w:numFmt w:val="lowerLetter"/>
      <w:start w:val="4"/>
    </w:lvl>
  </w:abstractNum>
  <w:abstractNum w:abstractNumId="331">
    <w:nsid w:val="481B1739"/>
    <w:multiLevelType w:val="hybridMultilevel"/>
    <w:lvl w:ilvl="0">
      <w:lvlJc w:val="left"/>
      <w:lvlText w:val="%1."/>
      <w:numFmt w:val="decimal"/>
      <w:start w:val="6"/>
    </w:lvl>
    <w:lvl w:ilvl="1">
      <w:lvlJc w:val="left"/>
      <w:lvlText w:val="(%2)"/>
      <w:numFmt w:val="lowerLetter"/>
      <w:start w:val="1"/>
    </w:lvl>
  </w:abstractNum>
  <w:abstractNum w:abstractNumId="332">
    <w:nsid w:val="19E2BFCC"/>
    <w:multiLevelType w:val="hybridMultilevel"/>
    <w:lvl w:ilvl="0">
      <w:lvlJc w:val="left"/>
      <w:lvlText w:val="%1"/>
      <w:numFmt w:val="decimal"/>
      <w:start w:val="1"/>
    </w:lvl>
    <w:lvl w:ilvl="1">
      <w:lvlJc w:val="left"/>
      <w:lvlText w:val="(%2)"/>
      <w:numFmt w:val="lowerLetter"/>
      <w:start w:val="5"/>
    </w:lvl>
  </w:abstractNum>
  <w:abstractNum w:abstractNumId="333">
    <w:nsid w:val="66D021CA"/>
    <w:multiLevelType w:val="hybridMultilevel"/>
    <w:lvl w:ilvl="0">
      <w:lvlJc w:val="left"/>
      <w:lvlText w:val="(%1)"/>
      <w:numFmt w:val="decimal"/>
      <w:start w:val="1"/>
    </w:lvl>
    <w:lvl w:ilvl="1">
      <w:lvlJc w:val="left"/>
      <w:lvlText w:val="(%2)"/>
      <w:numFmt w:val="lowerLetter"/>
      <w:start w:val="7"/>
    </w:lvl>
  </w:abstractNum>
  <w:abstractNum w:abstractNumId="334">
    <w:nsid w:val="56167394"/>
    <w:multiLevelType w:val="hybridMultilevel"/>
    <w:lvl w:ilvl="0">
      <w:lvlJc w:val="left"/>
      <w:lvlText w:val="(%1)"/>
      <w:numFmt w:val="lowerLetter"/>
      <w:start w:val="10"/>
    </w:lvl>
  </w:abstractNum>
  <w:abstractNum w:abstractNumId="335">
    <w:nsid w:val="921145C"/>
    <w:multiLevelType w:val="hybridMultilevel"/>
    <w:lvl w:ilvl="0">
      <w:lvlJc w:val="left"/>
      <w:lvlText w:val="(%1)"/>
      <w:numFmt w:val="lowerLetter"/>
      <w:start w:val="15"/>
    </w:lvl>
  </w:abstractNum>
  <w:abstractNum w:abstractNumId="336">
    <w:nsid w:val="7B34DFE8"/>
    <w:multiLevelType w:val="hybridMultilevel"/>
    <w:lvl w:ilvl="0">
      <w:lvlJc w:val="left"/>
      <w:lvlText w:val="•"/>
      <w:numFmt w:val="bullet"/>
      <w:start w:val="1"/>
    </w:lvl>
  </w:abstractNum>
  <w:abstractNum w:abstractNumId="337">
    <w:nsid w:val="3CD22B79"/>
    <w:multiLevelType w:val="hybridMultilevel"/>
    <w:lvl w:ilvl="0">
      <w:lvlJc w:val="left"/>
      <w:lvlText w:val="1"/>
      <w:numFmt w:val="bullet"/>
      <w:start w:val="1"/>
    </w:lvl>
  </w:abstractNum>
  <w:abstractNum w:abstractNumId="338">
    <w:nsid w:val="3137975E"/>
    <w:multiLevelType w:val="hybridMultilevel"/>
    <w:lvl w:ilvl="0">
      <w:lvlJc w:val="left"/>
      <w:lvlText w:val="%1."/>
      <w:numFmt w:val="decimal"/>
      <w:start w:val="1"/>
    </w:lvl>
    <w:lvl w:ilvl="1">
      <w:lvlJc w:val="left"/>
      <w:lvlText w:val="(%2)"/>
      <w:numFmt w:val="lowerLetter"/>
      <w:start w:val="1"/>
    </w:lvl>
  </w:abstractNum>
  <w:abstractNum w:abstractNumId="339">
    <w:nsid w:val="2DDAA791"/>
    <w:multiLevelType w:val="hybridMultilevel"/>
    <w:lvl w:ilvl="0">
      <w:lvlJc w:val="left"/>
      <w:lvlText w:val="%1."/>
      <w:numFmt w:val="decimal"/>
      <w:start w:val="3"/>
    </w:lvl>
    <w:lvl w:ilvl="1">
      <w:lvlJc w:val="left"/>
      <w:lvlText w:val="(%2)"/>
      <w:numFmt w:val="lowerLetter"/>
      <w:start w:val="1"/>
    </w:lvl>
  </w:abstractNum>
  <w:abstractNum w:abstractNumId="340">
    <w:nsid w:val="77263B8A"/>
    <w:multiLevelType w:val="hybridMultilevel"/>
    <w:lvl w:ilvl="0">
      <w:lvlJc w:val="left"/>
      <w:lvlText w:val="(%1)"/>
      <w:numFmt w:val="lowerLetter"/>
      <w:start w:val="2"/>
    </w:lvl>
  </w:abstractNum>
  <w:abstractNum w:abstractNumId="341">
    <w:nsid w:val="755B5ED6"/>
    <w:multiLevelType w:val="hybridMultilevel"/>
    <w:lvl w:ilvl="0">
      <w:lvlJc w:val="left"/>
      <w:lvlText w:val="(%1)"/>
      <w:numFmt w:val="lowerLetter"/>
      <w:start w:val="3"/>
    </w:lvl>
  </w:abstractNum>
  <w:abstractNum w:abstractNumId="342">
    <w:nsid w:val="D3715DE"/>
    <w:multiLevelType w:val="hybridMultilevel"/>
    <w:lvl w:ilvl="0">
      <w:lvlJc w:val="left"/>
      <w:lvlText w:val="(%1)"/>
      <w:numFmt w:val="lowerLetter"/>
      <w:start w:val="4"/>
    </w:lvl>
  </w:abstractNum>
  <w:abstractNum w:abstractNumId="343">
    <w:nsid w:val="73509257"/>
    <w:multiLevelType w:val="hybridMultilevel"/>
    <w:lvl w:ilvl="0">
      <w:lvlJc w:val="left"/>
      <w:lvlText w:val="%1."/>
      <w:numFmt w:val="decimal"/>
      <w:start w:val="5"/>
    </w:lvl>
  </w:abstractNum>
  <w:abstractNum w:abstractNumId="344">
    <w:nsid w:val="7013CDB7"/>
    <w:multiLevelType w:val="hybridMultilevel"/>
    <w:lvl w:ilvl="0">
      <w:lvlJc w:val="left"/>
      <w:lvlText w:val="%1."/>
      <w:numFmt w:val="decimal"/>
      <w:start w:val="7"/>
    </w:lvl>
  </w:abstractNum>
  <w:abstractNum w:abstractNumId="345">
    <w:nsid w:val="188BFB19"/>
    <w:multiLevelType w:val="hybridMultilevel"/>
    <w:lvl w:ilvl="0">
      <w:lvlJc w:val="left"/>
      <w:lvlText w:val="(%1)"/>
      <w:numFmt w:val="lowerLetter"/>
      <w:start w:val="1"/>
    </w:lvl>
  </w:abstractNum>
  <w:abstractNum w:abstractNumId="346">
    <w:nsid w:val="75F096DF"/>
    <w:multiLevelType w:val="hybridMultilevel"/>
    <w:lvl w:ilvl="0">
      <w:lvlJc w:val="left"/>
      <w:lvlText w:val="%1."/>
      <w:numFmt w:val="decimal"/>
      <w:start w:val="2"/>
    </w:lvl>
  </w:abstractNum>
  <w:abstractNum w:abstractNumId="347">
    <w:nsid w:val="76DEE918"/>
    <w:multiLevelType w:val="hybridMultilevel"/>
    <w:lvl w:ilvl="0">
      <w:lvlJc w:val="left"/>
      <w:lvlText w:val="%1."/>
      <w:numFmt w:val="decimal"/>
      <w:start w:val="3"/>
    </w:lvl>
  </w:abstractNum>
  <w:abstractNum w:abstractNumId="348">
    <w:nsid w:val="B79D08D"/>
    <w:multiLevelType w:val="hybridMultilevel"/>
    <w:lvl w:ilvl="0">
      <w:lvlJc w:val="left"/>
      <w:lvlText w:val="(%1)"/>
      <w:numFmt w:val="lowerLetter"/>
      <w:start w:val="1"/>
    </w:lvl>
  </w:abstractNum>
  <w:abstractNum w:abstractNumId="349">
    <w:nsid w:val="69141769"/>
    <w:multiLevelType w:val="hybridMultilevel"/>
    <w:lvl w:ilvl="0">
      <w:lvlJc w:val="left"/>
      <w:lvlText w:val="%1."/>
      <w:numFmt w:val="decimal"/>
      <w:start w:val="5"/>
    </w:lvl>
  </w:abstractNum>
  <w:abstractNum w:abstractNumId="350">
    <w:nsid w:val="7BF45B8E"/>
    <w:multiLevelType w:val="hybridMultilevel"/>
    <w:lvl w:ilvl="0">
      <w:lvlJc w:val="left"/>
      <w:lvlText w:val="(%1)"/>
      <w:numFmt w:val="lowerLetter"/>
      <w:start w:val="1"/>
    </w:lvl>
  </w:abstractNum>
  <w:abstractNum w:abstractNumId="351">
    <w:nsid w:val="41205269"/>
    <w:multiLevelType w:val="hybridMultilevel"/>
    <w:lvl w:ilvl="0">
      <w:lvlJc w:val="left"/>
      <w:lvlText w:val="(%1)"/>
      <w:numFmt w:val="lowerLetter"/>
      <w:start w:val="2"/>
    </w:lvl>
  </w:abstractNum>
  <w:abstractNum w:abstractNumId="352">
    <w:nsid w:val="9AE0DD"/>
    <w:multiLevelType w:val="hybridMultilevel"/>
    <w:lvl w:ilvl="0">
      <w:lvlJc w:val="left"/>
      <w:lvlText w:val="%1."/>
      <w:numFmt w:val="decimal"/>
      <w:start w:val="6"/>
    </w:lvl>
  </w:abstractNum>
  <w:abstractNum w:abstractNumId="353">
    <w:nsid w:val="1818832F"/>
    <w:multiLevelType w:val="hybridMultilevel"/>
    <w:lvl w:ilvl="0">
      <w:lvlJc w:val="left"/>
      <w:lvlText w:val="(%1)"/>
      <w:numFmt w:val="lowerLetter"/>
      <w:start w:val="1"/>
    </w:lvl>
  </w:abstractNum>
  <w:abstractNum w:abstractNumId="354">
    <w:nsid w:val="24C29FD1"/>
    <w:multiLevelType w:val="hybridMultilevel"/>
    <w:lvl w:ilvl="0">
      <w:lvlJc w:val="left"/>
      <w:lvlText w:val="(%1)"/>
      <w:numFmt w:val="lowerLetter"/>
      <w:start w:val="2"/>
    </w:lvl>
  </w:abstractNum>
  <w:abstractNum w:abstractNumId="355">
    <w:nsid w:val="50528108"/>
    <w:multiLevelType w:val="hybridMultilevel"/>
    <w:lvl w:ilvl="0">
      <w:lvlJc w:val="left"/>
      <w:lvlText w:val="(%1)"/>
      <w:numFmt w:val="lowerLetter"/>
      <w:start w:val="61"/>
    </w:lvl>
  </w:abstractNum>
  <w:abstractNum w:abstractNumId="356">
    <w:nsid w:val="21857A57"/>
    <w:multiLevelType w:val="hybridMultilevel"/>
    <w:lvl w:ilvl="0">
      <w:lvlJc w:val="left"/>
      <w:lvlText w:val="(%1)"/>
      <w:numFmt w:val="lowerLetter"/>
      <w:start w:val="3"/>
    </w:lvl>
  </w:abstractNum>
  <w:abstractNum w:abstractNumId="357">
    <w:nsid w:val="5FD4B154"/>
    <w:multiLevelType w:val="hybridMultilevel"/>
    <w:lvl w:ilvl="0">
      <w:lvlJc w:val="left"/>
      <w:lvlText w:val="(%1)"/>
      <w:numFmt w:val="lowerLetter"/>
      <w:start w:val="4"/>
    </w:lvl>
  </w:abstractNum>
  <w:abstractNum w:abstractNumId="358">
    <w:nsid w:val="4ABE597"/>
    <w:multiLevelType w:val="hybridMultilevel"/>
    <w:lvl w:ilvl="0">
      <w:lvlJc w:val="left"/>
      <w:lvlText w:val="%1."/>
      <w:numFmt w:val="decimal"/>
      <w:start w:val="10"/>
    </w:lvl>
  </w:abstractNum>
  <w:abstractNum w:abstractNumId="359">
    <w:nsid w:val="5C64AD75"/>
    <w:multiLevelType w:val="hybridMultilevel"/>
    <w:lvl w:ilvl="0">
      <w:lvlJc w:val="left"/>
      <w:lvlText w:val="%1."/>
      <w:numFmt w:val="decimal"/>
      <w:start w:val="11"/>
    </w:lvl>
  </w:abstractNum>
  <w:abstractNum w:abstractNumId="360">
    <w:nsid w:val="2CDD5B39"/>
    <w:multiLevelType w:val="hybridMultilevel"/>
    <w:lvl w:ilvl="0">
      <w:lvlJc w:val="left"/>
      <w:lvlText w:val="(%1)"/>
      <w:numFmt w:val="lowerLetter"/>
      <w:start w:val="1"/>
    </w:lvl>
  </w:abstractNum>
  <w:abstractNum w:abstractNumId="361">
    <w:nsid w:val="6F9EA0D1"/>
    <w:multiLevelType w:val="hybridMultilevel"/>
    <w:lvl w:ilvl="0">
      <w:lvlJc w:val="left"/>
      <w:lvlText w:val="(%1)"/>
      <w:numFmt w:val="lowerLetter"/>
      <w:start w:val="2"/>
    </w:lvl>
  </w:abstractNum>
  <w:abstractNum w:abstractNumId="362">
    <w:nsid w:val="247FC4AE"/>
    <w:multiLevelType w:val="hybridMultilevel"/>
    <w:lvl w:ilvl="0">
      <w:lvlJc w:val="left"/>
      <w:lvlText w:val="%1."/>
      <w:numFmt w:val="decimal"/>
      <w:start w:val="12"/>
    </w:lvl>
  </w:abstractNum>
  <w:abstractNum w:abstractNumId="363">
    <w:nsid w:val="46C01B05"/>
    <w:multiLevelType w:val="hybridMultilevel"/>
    <w:lvl w:ilvl="0">
      <w:lvlJc w:val="left"/>
      <w:lvlText w:val="%1."/>
      <w:numFmt w:val="decimal"/>
      <w:start w:val="14"/>
    </w:lvl>
  </w:abstractNum>
  <w:abstractNum w:abstractNumId="364">
    <w:nsid w:val="566EC29B"/>
    <w:multiLevelType w:val="hybridMultilevel"/>
    <w:lvl w:ilvl="0">
      <w:lvlJc w:val="left"/>
      <w:lvlText w:val="(%1)"/>
      <w:numFmt w:val="lowerLetter"/>
      <w:start w:val="1"/>
    </w:lvl>
  </w:abstractNum>
  <w:abstractNum w:abstractNumId="365">
    <w:nsid w:val="7A963843"/>
    <w:multiLevelType w:val="hybridMultilevel"/>
    <w:lvl w:ilvl="0">
      <w:lvlJc w:val="left"/>
      <w:lvlText w:val="(%1)"/>
      <w:numFmt w:val="lowerLetter"/>
      <w:start w:val="2"/>
    </w:lvl>
  </w:abstractNum>
  <w:abstractNum w:abstractNumId="366">
    <w:nsid w:val="4FE12F61"/>
    <w:multiLevelType w:val="hybridMultilevel"/>
    <w:lvl w:ilvl="0">
      <w:lvlJc w:val="left"/>
      <w:lvlText w:val="(%1)"/>
      <w:numFmt w:val="lowerLetter"/>
      <w:start w:val="8"/>
    </w:lvl>
  </w:abstractNum>
  <w:abstractNum w:abstractNumId="367">
    <w:nsid w:val="51A3A284"/>
    <w:multiLevelType w:val="hybridMultilevel"/>
    <w:lvl w:ilvl="0">
      <w:lvlJc w:val="left"/>
      <w:lvlText w:val="(%1)"/>
      <w:numFmt w:val="decimal"/>
      <w:start w:val="1"/>
    </w:lvl>
    <w:lvl w:ilvl="1">
      <w:lvlJc w:val="left"/>
      <w:lvlText w:val="☐"/>
      <w:numFmt w:val="bullet"/>
      <w:start w:val="1"/>
    </w:lvl>
  </w:abstractNum>
  <w:abstractNum w:abstractNumId="368">
    <w:nsid w:val="376863BC"/>
    <w:multiLevelType w:val="hybridMultilevel"/>
    <w:lvl w:ilvl="0">
      <w:lvlJc w:val="left"/>
      <w:lvlText w:val="%1."/>
      <w:numFmt w:val="decimal"/>
      <w:start w:val="1"/>
    </w:lvl>
  </w:abstractNum>
  <w:abstractNum w:abstractNumId="369">
    <w:nsid w:val="118C6C0"/>
    <w:multiLevelType w:val="hybridMultilevel"/>
    <w:lvl w:ilvl="0">
      <w:lvlJc w:val="left"/>
      <w:lvlText w:val="%1."/>
      <w:numFmt w:val="decimal"/>
      <w:start w:val="4"/>
    </w:lvl>
  </w:abstractNum>
  <w:abstractNum w:abstractNumId="370">
    <w:nsid w:val="7F7E4A15"/>
    <w:multiLevelType w:val="hybridMultilevel"/>
    <w:lvl w:ilvl="0">
      <w:lvlJc w:val="left"/>
      <w:lvlText w:val="%1."/>
      <w:numFmt w:val="decimal"/>
      <w:start w:val="8"/>
    </w:lvl>
  </w:abstractNum>
  <w:abstractNum w:abstractNumId="371">
    <w:nsid w:val="2E8E9F47"/>
    <w:multiLevelType w:val="hybridMultilevel"/>
    <w:lvl w:ilvl="0">
      <w:lvlJc w:val="left"/>
      <w:lvlText w:val="%1."/>
      <w:numFmt w:val="decimal"/>
      <w:start w:val="9"/>
    </w:lvl>
  </w:abstractNum>
  <w:abstractNum w:abstractNumId="372">
    <w:nsid w:val="76742596"/>
    <w:multiLevelType w:val="hybridMultilevel"/>
    <w:lvl w:ilvl="0">
      <w:lvlJc w:val="left"/>
      <w:lvlText w:val="(%1)"/>
      <w:numFmt w:val="lowerLetter"/>
      <w:start w:val="1"/>
    </w:lvl>
  </w:abstractNum>
  <w:abstractNum w:abstractNumId="373">
    <w:nsid w:val="CB55FF3"/>
    <w:multiLevelType w:val="hybridMultilevel"/>
    <w:lvl w:ilvl="0">
      <w:lvlJc w:val="left"/>
      <w:lvlText w:val="(%1)"/>
      <w:numFmt w:val="lowerRoman"/>
      <w:start w:val="1"/>
    </w:lvl>
  </w:abstractNum>
  <w:abstractNum w:abstractNumId="374">
    <w:nsid w:val="21DF319E"/>
    <w:multiLevelType w:val="hybridMultilevel"/>
    <w:lvl w:ilvl="0">
      <w:lvlJc w:val="left"/>
      <w:lvlText w:val="%1."/>
      <w:numFmt w:val="decimal"/>
      <w:start w:val="11"/>
    </w:lvl>
  </w:abstractNum>
  <w:abstractNum w:abstractNumId="375">
    <w:nsid w:val="6687F34D"/>
    <w:multiLevelType w:val="hybridMultilevel"/>
    <w:lvl w:ilvl="0">
      <w:lvlJc w:val="left"/>
      <w:lvlText w:val="%1."/>
      <w:numFmt w:val="decimal"/>
      <w:start w:val="12"/>
    </w:lvl>
    <w:lvl w:ilvl="1">
      <w:lvlJc w:val="left"/>
      <w:lvlText w:val="(%2)"/>
      <w:numFmt w:val="lowerLetter"/>
      <w:start w:val="1"/>
    </w:lvl>
  </w:abstractNum>
  <w:abstractNum w:abstractNumId="376">
    <w:nsid w:val="25415B0C"/>
    <w:multiLevelType w:val="hybridMultilevel"/>
    <w:lvl w:ilvl="0">
      <w:lvlJc w:val="left"/>
      <w:lvlText w:val="%1"/>
      <w:numFmt w:val="decimal"/>
      <w:start w:val="1"/>
    </w:lvl>
    <w:lvl w:ilvl="1">
      <w:lvlJc w:val="left"/>
      <w:lvlText w:val="(%2)"/>
      <w:numFmt w:val="lowerLetter"/>
      <w:start w:val="4"/>
    </w:lvl>
  </w:abstractNum>
  <w:abstractNum w:abstractNumId="377">
    <w:nsid w:val="17CFC87D"/>
    <w:multiLevelType w:val="hybridMultilevel"/>
    <w:lvl w:ilvl="0">
      <w:lvlJc w:val="left"/>
      <w:lvlText w:val="%1."/>
      <w:numFmt w:val="decimal"/>
      <w:start w:val="13"/>
    </w:lvl>
    <w:lvl w:ilvl="1">
      <w:lvlJc w:val="left"/>
      <w:lvlText w:val="(%2)"/>
      <w:numFmt w:val="lowerLetter"/>
      <w:start w:val="1"/>
    </w:lvl>
  </w:abstractNum>
  <w:abstractNum w:abstractNumId="378">
    <w:nsid w:val="5D66DC65"/>
    <w:multiLevelType w:val="hybridMultilevel"/>
    <w:lvl w:ilvl="0">
      <w:lvlJc w:val="left"/>
      <w:lvlText w:val="(%1)"/>
      <w:numFmt w:val="lowerLetter"/>
      <w:start w:val="2"/>
    </w:lvl>
  </w:abstractNum>
  <w:abstractNum w:abstractNumId="379">
    <w:nsid w:val="30BB2B99"/>
    <w:multiLevelType w:val="hybridMultilevel"/>
    <w:lvl w:ilvl="0">
      <w:lvlJc w:val="left"/>
      <w:lvlText w:val="%1."/>
      <w:numFmt w:val="decimal"/>
      <w:start w:val="14"/>
    </w:lvl>
    <w:lvl w:ilvl="1">
      <w:lvlJc w:val="left"/>
      <w:lvlText w:val="(%2)"/>
      <w:numFmt w:val="lowerLetter"/>
      <w:start w:val="1"/>
    </w:lvl>
  </w:abstractNum>
  <w:abstractNum w:abstractNumId="380">
    <w:nsid w:val="E3DFE6"/>
    <w:multiLevelType w:val="hybridMultilevel"/>
    <w:lvl w:ilvl="0">
      <w:lvlJc w:val="left"/>
      <w:lvlText w:val="%1"/>
      <w:numFmt w:val="decimal"/>
      <w:start w:val="1"/>
    </w:lvl>
    <w:lvl w:ilvl="1">
      <w:lvlJc w:val="left"/>
      <w:lvlText w:val="(%2)"/>
      <w:numFmt w:val="lowerLetter"/>
      <w:start w:val="4"/>
    </w:lvl>
  </w:abstractNum>
  <w:abstractNum w:abstractNumId="381">
    <w:nsid w:val="595B37F3"/>
    <w:multiLevelType w:val="hybridMultilevel"/>
    <w:lvl w:ilvl="0">
      <w:lvlJc w:val="left"/>
      <w:lvlText w:val="%1."/>
      <w:numFmt w:val="decimal"/>
      <w:start w:val="15"/>
    </w:lvl>
    <w:lvl w:ilvl="1">
      <w:lvlJc w:val="left"/>
      <w:lvlText w:val="%2"/>
      <w:numFmt w:val="lowerLetter"/>
      <w:start w:val="1"/>
    </w:lvl>
  </w:abstractNum>
  <w:abstractNum w:abstractNumId="382">
    <w:nsid w:val="71DB7E02"/>
    <w:multiLevelType w:val="hybridMultilevel"/>
    <w:lvl w:ilvl="0">
      <w:lvlJc w:val="left"/>
      <w:lvlText w:val="%1."/>
      <w:numFmt w:val="decimal"/>
      <w:start w:val="18"/>
    </w:lvl>
  </w:abstractNum>
  <w:abstractNum w:abstractNumId="383">
    <w:nsid w:val="17EC0C4"/>
    <w:multiLevelType w:val="hybridMultilevel"/>
    <w:lvl w:ilvl="0">
      <w:lvlJc w:val="left"/>
      <w:lvlText w:val="%1."/>
      <w:numFmt w:val="decimal"/>
      <w:start w:val="1"/>
    </w:lvl>
  </w:abstractNum>
  <w:abstractNum w:abstractNumId="384">
    <w:nsid w:val="7173BB22"/>
    <w:multiLevelType w:val="hybridMultilevel"/>
    <w:lvl w:ilvl="0">
      <w:lvlJc w:val="left"/>
      <w:lvlText w:val="%1."/>
      <w:numFmt w:val="decimal"/>
      <w:start w:val="1"/>
    </w:lvl>
    <w:lvl w:ilvl="1">
      <w:lvlJc w:val="left"/>
      <w:lvlText w:val="(%2)"/>
      <w:numFmt w:val="lowerLetter"/>
      <w:start w:val="1"/>
    </w:lvl>
  </w:abstractNum>
  <w:abstractNum w:abstractNumId="385">
    <w:nsid w:val="169E1DD3"/>
    <w:multiLevelType w:val="hybridMultilevel"/>
    <w:lvl w:ilvl="0">
      <w:lvlJc w:val="left"/>
      <w:lvlText w:val="(%1)"/>
      <w:numFmt w:val="lowerLetter"/>
      <w:start w:val="2"/>
    </w:lvl>
  </w:abstractNum>
  <w:abstractNum w:abstractNumId="386">
    <w:nsid w:val="51D141CC"/>
    <w:multiLevelType w:val="hybridMultilevel"/>
    <w:lvl w:ilvl="0">
      <w:lvlJc w:val="left"/>
      <w:lvlText w:val="%1"/>
      <w:numFmt w:val="decimal"/>
      <w:start w:val="1"/>
    </w:lvl>
    <w:lvl w:ilvl="1">
      <w:lvlJc w:val="left"/>
      <w:lvlText w:val="(%2)"/>
      <w:numFmt w:val="lowerLetter"/>
      <w:start w:val="6"/>
    </w:lvl>
  </w:abstractNum>
  <w:abstractNum w:abstractNumId="387">
    <w:nsid w:val="12F9357A"/>
    <w:multiLevelType w:val="hybridMultilevel"/>
    <w:lvl w:ilvl="0">
      <w:lvlJc w:val="left"/>
      <w:lvlText w:val="%1."/>
      <w:numFmt w:val="decimal"/>
      <w:start w:val="2"/>
    </w:lvl>
    <w:lvl w:ilvl="1">
      <w:lvlJc w:val="left"/>
      <w:lvlText w:val="(%2)"/>
      <w:numFmt w:val="lowerLetter"/>
      <w:start w:val="1"/>
    </w:lvl>
  </w:abstractNum>
  <w:abstractNum w:abstractNumId="388">
    <w:nsid w:val="7672CF2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89">
    <w:nsid w:val="567D276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90">
    <w:nsid w:val="6F5DE2E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91">
    <w:nsid w:val="23502A61"/>
    <w:multiLevelType w:val="hybridMultilevel"/>
    <w:lvl w:ilvl="0">
      <w:lvlJc w:val="left"/>
      <w:lvlText w:val="%1."/>
      <w:numFmt w:val="decimal"/>
      <w:start w:val="6"/>
    </w:lvl>
  </w:abstractNum>
  <w:abstractNum w:abstractNumId="392">
    <w:nsid w:val="461BC834"/>
    <w:multiLevelType w:val="hybridMultilevel"/>
    <w:lvl w:ilvl="0">
      <w:lvlJc w:val="left"/>
      <w:lvlText w:val="%1."/>
      <w:numFmt w:val="decimal"/>
      <w:start w:val="7"/>
    </w:lvl>
    <w:lvl w:ilvl="1">
      <w:lvlJc w:val="left"/>
      <w:lvlText w:val="(%2)"/>
      <w:numFmt w:val="lowerLetter"/>
      <w:start w:val="1"/>
    </w:lvl>
  </w:abstractNum>
  <w:abstractNum w:abstractNumId="393">
    <w:nsid w:val="13DDA79D"/>
    <w:multiLevelType w:val="hybridMultilevel"/>
    <w:lvl w:ilvl="0">
      <w:lvlJc w:val="left"/>
      <w:lvlText w:val="(%1)"/>
      <w:numFmt w:val="lowerLetter"/>
      <w:start w:val="3"/>
    </w:lvl>
  </w:abstractNum>
  <w:abstractNum w:abstractNumId="394">
    <w:nsid w:val="6A104566"/>
    <w:multiLevelType w:val="hybridMultilevel"/>
    <w:lvl w:ilvl="0">
      <w:lvlJc w:val="left"/>
      <w:lvlText w:val="(%1)"/>
      <w:numFmt w:val="lowerLetter"/>
      <w:start w:val="4"/>
    </w:lvl>
  </w:abstractNum>
  <w:abstractNum w:abstractNumId="395">
    <w:nsid w:val="1C8A8ACF"/>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96">
    <w:nsid w:val="E73DFE0"/>
    <w:multiLevelType w:val="hybridMultilevel"/>
    <w:lvl w:ilvl="0">
      <w:lvlJc w:val="left"/>
      <w:lvlText w:val="%1"/>
      <w:numFmt w:val="decimal"/>
      <w:start w:val="1"/>
    </w:lvl>
    <w:lvl w:ilvl="1">
      <w:lvlJc w:val="left"/>
      <w:lvlText w:val="(%2)"/>
      <w:numFmt w:val="lowerLetter"/>
      <w:start w:val="4"/>
    </w:lvl>
  </w:abstractNum>
  <w:abstractNum w:abstractNumId="397">
    <w:nsid w:val="39F174C7"/>
    <w:multiLevelType w:val="hybridMultilevel"/>
    <w:lvl w:ilvl="0">
      <w:lvlJc w:val="left"/>
      <w:lvlText w:val="(%1)"/>
      <w:numFmt w:val="decimal"/>
      <w:start w:val="30"/>
    </w:lvl>
    <w:lvl w:ilvl="1">
      <w:lvlJc w:val="left"/>
      <w:lvlText w:val="%2"/>
      <w:numFmt w:val="lowerLetter"/>
      <w:start w:val="1"/>
    </w:lvl>
  </w:abstractNum>
  <w:abstractNum w:abstractNumId="398">
    <w:nsid w:val="6E2E2D53"/>
    <w:multiLevelType w:val="hybridMultilevel"/>
    <w:lvl w:ilvl="0">
      <w:lvlJc w:val="left"/>
      <w:lvlText w:val="(%1)"/>
      <w:numFmt w:val="lowerLetter"/>
      <w:start w:val="5"/>
    </w:lvl>
  </w:abstractNum>
  <w:abstractNum w:abstractNumId="399">
    <w:nsid w:val="45DC439D"/>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400">
    <w:nsid w:val="3B0A3B87"/>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3"/>
    </w:lvl>
  </w:abstractNum>
  <w:abstractNum w:abstractNumId="401">
    <w:nsid w:val="6DAC7768"/>
    <w:multiLevelType w:val="hybridMultilevel"/>
    <w:lvl w:ilvl="0">
      <w:lvlJc w:val="left"/>
      <w:lvlText w:val="%1."/>
      <w:numFmt w:val="decimal"/>
      <w:start w:val="12"/>
    </w:lvl>
  </w:abstractNum>
  <w:abstractNum w:abstractNumId="402">
    <w:nsid w:val="746AE2E4"/>
    <w:multiLevelType w:val="hybridMultilevel"/>
    <w:lvl w:ilvl="0">
      <w:lvlJc w:val="left"/>
      <w:lvlText w:val="%1."/>
      <w:numFmt w:val="decimal"/>
      <w:start w:val="16"/>
    </w:lvl>
    <w:lvl w:ilvl="1">
      <w:lvlJc w:val="left"/>
      <w:lvlText w:val="(%2)"/>
      <w:numFmt w:val="lowerLetter"/>
      <w:start w:val="1"/>
    </w:lvl>
  </w:abstractNum>
  <w:abstractNum w:abstractNumId="403">
    <w:nsid w:val="317E611D"/>
    <w:multiLevelType w:val="hybridMultilevel"/>
    <w:lvl w:ilvl="0">
      <w:lvlJc w:val="left"/>
      <w:lvlText w:val="%1."/>
      <w:numFmt w:val="decimal"/>
      <w:start w:val="22"/>
    </w:lvl>
  </w:abstractNum>
  <w:abstractNum w:abstractNumId="404">
    <w:nsid w:val="7A61D75B"/>
    <w:multiLevelType w:val="hybridMultilevel"/>
    <w:lvl w:ilvl="0">
      <w:lvlJc w:val="left"/>
      <w:lvlText w:val="%1."/>
      <w:numFmt w:val="decimal"/>
      <w:start w:val="1"/>
    </w:lvl>
  </w:abstractNum>
  <w:abstractNum w:abstractNumId="405">
    <w:nsid w:val="164A1482"/>
    <w:multiLevelType w:val="hybridMultilevel"/>
    <w:lvl w:ilvl="0">
      <w:lvlJc w:val="left"/>
      <w:lvlText w:val="%1."/>
      <w:numFmt w:val="decimal"/>
      <w:start w:val="3"/>
    </w:lvl>
  </w:abstractNum>
  <w:abstractNum w:abstractNumId="406">
    <w:nsid w:val="1806546B"/>
    <w:multiLevelType w:val="hybridMultilevel"/>
    <w:lvl w:ilvl="0">
      <w:lvlJc w:val="left"/>
      <w:lvlText w:val="%1."/>
      <w:numFmt w:val="decimal"/>
      <w:start w:val="4"/>
    </w:lvl>
  </w:abstractNum>
  <w:abstractNum w:abstractNumId="407">
    <w:nsid w:val="1FA33267"/>
    <w:multiLevelType w:val="hybridMultilevel"/>
    <w:lvl w:ilvl="0">
      <w:lvlJc w:val="left"/>
      <w:lvlText w:val="(%1)"/>
      <w:numFmt w:val="decimal"/>
      <w:start w:val="6"/>
    </w:lvl>
  </w:abstractNum>
  <w:abstractNum w:abstractNumId="408">
    <w:nsid w:val="2E19DD00"/>
    <w:multiLevelType w:val="hybridMultilevel"/>
    <w:lvl w:ilvl="0">
      <w:lvlJc w:val="left"/>
      <w:lvlText w:val="(%1)"/>
      <w:numFmt w:val="decimal"/>
      <w:start w:val="3"/>
    </w:lvl>
  </w:abstractNum>
  <w:abstractNum w:abstractNumId="409">
    <w:nsid w:val="756D30D0"/>
    <w:multiLevelType w:val="hybridMultilevel"/>
    <w:lvl w:ilvl="0">
      <w:lvlJc w:val="left"/>
      <w:lvlText w:val="%1."/>
      <w:numFmt w:val="decimal"/>
      <w:start w:val="5"/>
    </w:lvl>
  </w:abstractNum>
  <w:abstractNum w:abstractNumId="410">
    <w:nsid w:val="505E5E01"/>
    <w:multiLevelType w:val="hybridMultilevel"/>
    <w:lvl w:ilvl="0">
      <w:lvlJc w:val="left"/>
      <w:lvlText w:val="(%1)"/>
      <w:numFmt w:val="decimal"/>
      <w:start w:val="30"/>
    </w:lvl>
  </w:abstractNum>
  <w:abstractNum w:abstractNumId="411">
    <w:nsid w:val="2EFDBCE6"/>
    <w:multiLevelType w:val="hybridMultilevel"/>
    <w:lvl w:ilvl="0">
      <w:lvlJc w:val="left"/>
      <w:lvlText w:val="%1."/>
      <w:numFmt w:val="decimal"/>
      <w:start w:val="6"/>
    </w:lvl>
  </w:abstractNum>
  <w:abstractNum w:abstractNumId="412">
    <w:nsid w:val="4EC868C4"/>
    <w:multiLevelType w:val="hybridMultilevel"/>
    <w:lvl w:ilvl="0">
      <w:lvlJc w:val="left"/>
      <w:lvlText w:val="%1."/>
      <w:numFmt w:val="decimal"/>
      <w:start w:val="7"/>
    </w:lvl>
  </w:abstractNum>
  <w:abstractNum w:abstractNumId="413">
    <w:nsid w:val="4239DC03"/>
    <w:multiLevelType w:val="hybridMultilevel"/>
    <w:lvl w:ilvl="0">
      <w:lvlJc w:val="left"/>
      <w:lvlText w:val="(%1)"/>
      <w:numFmt w:val="decimal"/>
      <w:start w:val="6"/>
    </w:lvl>
  </w:abstractNum>
  <w:abstractNum w:abstractNumId="414">
    <w:nsid w:val="307C7DAA"/>
    <w:multiLevelType w:val="hybridMultilevel"/>
    <w:lvl w:ilvl="0">
      <w:lvlJc w:val="left"/>
      <w:lvlText w:val="%1."/>
      <w:numFmt w:val="decimal"/>
      <w:start w:val="8"/>
    </w:lvl>
  </w:abstractNum>
  <w:abstractNum w:abstractNumId="415">
    <w:nsid w:val="403C23E6"/>
    <w:multiLevelType w:val="hybridMultilevel"/>
    <w:lvl w:ilvl="0">
      <w:lvlJc w:val="left"/>
      <w:lvlText w:val="(%1)"/>
      <w:numFmt w:val="lowerLetter"/>
      <w:start w:val="1"/>
    </w:lvl>
  </w:abstractNum>
  <w:abstractNum w:abstractNumId="416">
    <w:nsid w:val="58D7F9D7"/>
    <w:multiLevelType w:val="hybridMultilevel"/>
    <w:lvl w:ilvl="0">
      <w:lvlJc w:val="left"/>
      <w:lvlText w:val="(%1)"/>
      <w:numFmt w:val="lowerLetter"/>
      <w:start w:val="4"/>
    </w:lvl>
  </w:abstractNum>
  <w:abstractNum w:abstractNumId="417">
    <w:nsid w:val="24DBF76"/>
    <w:multiLevelType w:val="hybridMultilevel"/>
    <w:lvl w:ilvl="0">
      <w:lvlJc w:val="left"/>
      <w:lvlText w:val="%1."/>
      <w:numFmt w:val="decimal"/>
      <w:start w:val="9"/>
    </w:lvl>
  </w:abstractNum>
  <w:abstractNum w:abstractNumId="418">
    <w:nsid w:val="53355960"/>
    <w:multiLevelType w:val="hybridMultilevel"/>
    <w:lvl w:ilvl="0">
      <w:lvlJc w:val="left"/>
      <w:lvlText w:val="%1."/>
      <w:numFmt w:val="decimal"/>
      <w:start w:val="10"/>
    </w:lvl>
  </w:abstractNum>
  <w:abstractNum w:abstractNumId="419">
    <w:nsid w:val="4F4AC8FF"/>
    <w:multiLevelType w:val="hybridMultilevel"/>
    <w:lvl w:ilvl="0">
      <w:lvlJc w:val="left"/>
      <w:lvlText w:val="%1."/>
      <w:numFmt w:val="decimal"/>
      <w:start w:val="11"/>
    </w:lvl>
  </w:abstractNum>
  <w:abstractNum w:abstractNumId="420">
    <w:nsid w:val="58CAE6D9"/>
    <w:multiLevelType w:val="hybridMultilevel"/>
    <w:lvl w:ilvl="0">
      <w:lvlJc w:val="left"/>
      <w:lvlText w:val="(%1)"/>
      <w:numFmt w:val="lowerLetter"/>
      <w:start w:val="1"/>
    </w:lvl>
  </w:abstractNum>
  <w:abstractNum w:abstractNumId="421">
    <w:nsid w:val="42933C4F"/>
    <w:multiLevelType w:val="hybridMultilevel"/>
    <w:lvl w:ilvl="0">
      <w:lvlJc w:val="left"/>
      <w:lvlText w:val="%1."/>
      <w:numFmt w:val="decimal"/>
      <w:start w:val="12"/>
    </w:lvl>
  </w:abstractNum>
  <w:abstractNum w:abstractNumId="422">
    <w:nsid w:val="729AF360"/>
    <w:multiLevelType w:val="hybridMultilevel"/>
    <w:lvl w:ilvl="0">
      <w:lvlJc w:val="left"/>
      <w:lvlText w:val="(%1)"/>
      <w:numFmt w:val="lowerLetter"/>
      <w:start w:val="1"/>
    </w:lvl>
  </w:abstractNum>
  <w:abstractNum w:abstractNumId="423">
    <w:nsid w:val="1EE6AF0D"/>
    <w:multiLevelType w:val="hybridMultilevel"/>
    <w:lvl w:ilvl="0">
      <w:lvlJc w:val="left"/>
      <w:lvlText w:val="(%1)"/>
      <w:numFmt w:val="lowerLetter"/>
      <w:start w:val="13"/>
    </w:lvl>
  </w:abstractNum>
  <w:abstractNum w:abstractNumId="424">
    <w:nsid w:val="5670E3ED"/>
    <w:multiLevelType w:val="hybridMultilevel"/>
    <w:lvl w:ilvl="0">
      <w:lvlJc w:val="left"/>
      <w:lvlText w:val="%1."/>
      <w:numFmt w:val="decimal"/>
      <w:start w:val="13"/>
    </w:lvl>
  </w:abstractNum>
  <w:abstractNum w:abstractNumId="425">
    <w:nsid w:val="5CAB38C6"/>
    <w:multiLevelType w:val="hybridMultilevel"/>
    <w:lvl w:ilvl="0">
      <w:lvlJc w:val="left"/>
      <w:lvlText w:val="(%1)"/>
      <w:numFmt w:val="decimal"/>
      <w:start w:val="12"/>
    </w:lvl>
  </w:abstractNum>
  <w:abstractNum w:abstractNumId="426">
    <w:nsid w:val="3B7139DD"/>
    <w:multiLevelType w:val="hybridMultilevel"/>
    <w:lvl w:ilvl="0">
      <w:lvlJc w:val="left"/>
      <w:lvlText w:val="%1."/>
      <w:numFmt w:val="decimal"/>
      <w:start w:val="14"/>
    </w:lvl>
  </w:abstractNum>
  <w:abstractNum w:abstractNumId="427">
    <w:nsid w:val="64E4C3CD"/>
    <w:multiLevelType w:val="hybridMultilevel"/>
    <w:lvl w:ilvl="0">
      <w:lvlJc w:val="left"/>
      <w:lvlText w:val="(%1)"/>
      <w:numFmt w:val="lowerLetter"/>
      <w:start w:val="1"/>
    </w:lvl>
  </w:abstractNum>
  <w:abstractNum w:abstractNumId="428">
    <w:nsid w:val="169CAD8D"/>
    <w:multiLevelType w:val="hybridMultilevel"/>
    <w:lvl w:ilvl="0">
      <w:lvlJc w:val="left"/>
      <w:lvlText w:val="(%1)"/>
      <w:numFmt w:val="lowerLetter"/>
      <w:start w:val="1"/>
    </w:lvl>
  </w:abstractNum>
  <w:abstractNum w:abstractNumId="429">
    <w:nsid w:val="299F6730"/>
    <w:multiLevelType w:val="hybridMultilevel"/>
    <w:lvl w:ilvl="0">
      <w:lvlJc w:val="left"/>
      <w:lvlText w:val="(%1)"/>
      <w:numFmt w:val="lowerLetter"/>
      <w:start w:val="2"/>
    </w:lvl>
  </w:abstractNum>
  <w:abstractNum w:abstractNumId="430">
    <w:nsid w:val="2AC1076A"/>
    <w:multiLevelType w:val="hybridMultilevel"/>
    <w:lvl w:ilvl="0">
      <w:lvlJc w:val="left"/>
      <w:lvlText w:val="%1."/>
      <w:numFmt w:val="decimal"/>
      <w:start w:val="1"/>
    </w:lvl>
  </w:abstractNum>
  <w:abstractNum w:abstractNumId="431">
    <w:nsid w:val="51A6E915"/>
    <w:multiLevelType w:val="hybridMultilevel"/>
    <w:lvl w:ilvl="0">
      <w:lvlJc w:val="left"/>
      <w:lvlText w:val="(%1)"/>
      <w:numFmt w:val="decimal"/>
      <w:start w:val="3"/>
    </w:lvl>
  </w:abstractNum>
  <w:abstractNum w:abstractNumId="432">
    <w:nsid w:val="174BDE99"/>
    <w:multiLevelType w:val="hybridMultilevel"/>
    <w:lvl w:ilvl="0">
      <w:lvlJc w:val="left"/>
      <w:lvlText w:val="(%1)"/>
      <w:numFmt w:val="lowerLetter"/>
      <w:start w:val="1"/>
    </w:lvl>
  </w:abstractNum>
  <w:abstractNum w:abstractNumId="433">
    <w:nsid w:val="1F2BEA4E"/>
    <w:multiLevelType w:val="hybridMultilevel"/>
    <w:lvl w:ilvl="0">
      <w:lvlJc w:val="left"/>
      <w:lvlText w:val="(%1)"/>
      <w:numFmt w:val="lowerLetter"/>
      <w:start w:val="5"/>
    </w:lvl>
  </w:abstractNum>
  <w:abstractNum w:abstractNumId="434">
    <w:nsid w:val="3254A32"/>
    <w:multiLevelType w:val="hybridMultilevel"/>
    <w:lvl w:ilvl="0">
      <w:lvlJc w:val="left"/>
      <w:lvlText w:val="%1."/>
      <w:numFmt w:val="decimal"/>
      <w:start w:val="5"/>
    </w:lvl>
  </w:abstractNum>
  <w:abstractNum w:abstractNumId="435">
    <w:nsid w:val="11ADB5F4"/>
    <w:multiLevelType w:val="hybridMultilevel"/>
    <w:lvl w:ilvl="0">
      <w:lvlJc w:val="left"/>
      <w:lvlText w:val="(%1)"/>
      <w:numFmt w:val="lowerLetter"/>
      <w:start w:val="1"/>
    </w:lvl>
  </w:abstractNum>
  <w:abstractNum w:abstractNumId="436">
    <w:nsid w:val="3575FED1"/>
    <w:multiLevelType w:val="hybridMultilevel"/>
    <w:lvl w:ilvl="0">
      <w:lvlJc w:val="left"/>
      <w:lvlText w:val="%1."/>
      <w:numFmt w:val="decimal"/>
      <w:start w:val="8"/>
    </w:lvl>
  </w:abstractNum>
  <w:abstractNum w:abstractNumId="437">
    <w:nsid w:val="1B2B9E9D"/>
    <w:multiLevelType w:val="hybridMultilevel"/>
    <w:lvl w:ilvl="0">
      <w:lvlJc w:val="left"/>
      <w:lvlText w:val="%1."/>
      <w:numFmt w:val="decimal"/>
      <w:start w:val="10"/>
    </w:lvl>
  </w:abstractNum>
  <w:abstractNum w:abstractNumId="438">
    <w:nsid w:val="3150E85C"/>
    <w:multiLevelType w:val="hybridMultilevel"/>
    <w:lvl w:ilvl="0">
      <w:lvlJc w:val="left"/>
      <w:lvlText w:val="(%1)"/>
      <w:numFmt w:val="lowerLetter"/>
      <w:start w:val="1"/>
    </w:lvl>
  </w:abstractNum>
  <w:abstractNum w:abstractNumId="439">
    <w:nsid w:val="638FDBD1"/>
    <w:multiLevelType w:val="hybridMultilevel"/>
    <w:lvl w:ilvl="0">
      <w:lvlJc w:val="left"/>
      <w:lvlText w:val="(%1)"/>
      <w:numFmt w:val="lowerLetter"/>
      <w:start w:val="3"/>
    </w:lvl>
  </w:abstractNum>
  <w:abstractNum w:abstractNumId="440">
    <w:nsid w:val="1098CF6E"/>
    <w:multiLevelType w:val="hybridMultilevel"/>
    <w:lvl w:ilvl="0">
      <w:lvlJc w:val="left"/>
      <w:lvlText w:val="(%1)"/>
      <w:numFmt w:val="lowerLetter"/>
      <w:start w:val="1"/>
    </w:lvl>
  </w:abstractNum>
  <w:abstractNum w:abstractNumId="441">
    <w:nsid w:val="1AF465D"/>
    <w:multiLevelType w:val="hybridMultilevel"/>
    <w:lvl w:ilvl="0">
      <w:lvlJc w:val="left"/>
      <w:lvlText w:val="%1."/>
      <w:numFmt w:val="decimal"/>
      <w:start w:val="15"/>
    </w:lvl>
  </w:abstractNum>
  <w:abstractNum w:abstractNumId="442">
    <w:nsid w:val="128D98B7"/>
    <w:multiLevelType w:val="hybridMultilevel"/>
    <w:lvl w:ilvl="0">
      <w:lvlJc w:val="left"/>
      <w:lvlText w:val="☐"/>
      <w:numFmt w:val="bullet"/>
      <w:start w:val="1"/>
    </w:lvl>
  </w:abstractNum>
  <w:abstractNum w:abstractNumId="443">
    <w:nsid w:val="5F613832"/>
    <w:multiLevelType w:val="hybridMultilevel"/>
    <w:lvl w:ilvl="0">
      <w:lvlJc w:val="left"/>
      <w:lvlText w:val="%1."/>
      <w:numFmt w:val="decimal"/>
      <w:start w:val="1"/>
    </w:lvl>
  </w:abstractNum>
  <w:abstractNum w:abstractNumId="444">
    <w:nsid w:val="43E92260"/>
    <w:multiLevelType w:val="hybridMultilevel"/>
    <w:lvl w:ilvl="0">
      <w:lvlJc w:val="left"/>
      <w:lvlText w:val="%1."/>
      <w:numFmt w:val="decimal"/>
      <w:start w:val="3"/>
    </w:lvl>
  </w:abstractNum>
  <w:abstractNum w:abstractNumId="445">
    <w:nsid w:val="430A1662"/>
    <w:multiLevelType w:val="hybridMultilevel"/>
    <w:lvl w:ilvl="0">
      <w:lvlJc w:val="left"/>
      <w:lvlText w:val="(%1)"/>
      <w:numFmt w:val="decimal"/>
      <w:start w:val="1"/>
    </w:lvl>
  </w:abstractNum>
  <w:abstractNum w:abstractNumId="446">
    <w:nsid w:val="1F9D5C18"/>
    <w:multiLevelType w:val="hybridMultilevel"/>
    <w:lvl w:ilvl="0">
      <w:lvlJc w:val="left"/>
      <w:lvlText w:val="%1."/>
      <w:numFmt w:val="decimal"/>
      <w:start w:val="1"/>
    </w:lvl>
  </w:abstractNum>
  <w:abstractNum w:abstractNumId="447">
    <w:nsid w:val="1CC11C37"/>
    <w:multiLevelType w:val="hybridMultilevel"/>
    <w:lvl w:ilvl="0">
      <w:lvlJc w:val="left"/>
      <w:lvlText w:val="(%1)"/>
      <w:numFmt w:val="decimal"/>
      <w:start w:val="3"/>
    </w:lvl>
  </w:abstractNum>
  <w:abstractNum w:abstractNumId="448">
    <w:nsid w:val="4557D5D8"/>
    <w:multiLevelType w:val="hybridMultilevel"/>
    <w:lvl w:ilvl="0">
      <w:lvlJc w:val="left"/>
      <w:lvlText w:val="(%1)"/>
      <w:numFmt w:val="lowerLetter"/>
      <w:start w:val="1"/>
    </w:lvl>
  </w:abstractNum>
  <w:abstractNum w:abstractNumId="449">
    <w:nsid w:val="72D2B579"/>
    <w:multiLevelType w:val="hybridMultilevel"/>
    <w:lvl w:ilvl="0">
      <w:lvlJc w:val="left"/>
      <w:lvlText w:val="(%1)"/>
      <w:numFmt w:val="lowerLetter"/>
      <w:start w:val="5"/>
    </w:lvl>
  </w:abstractNum>
  <w:abstractNum w:abstractNumId="450">
    <w:nsid w:val="6C0BE536"/>
    <w:multiLevelType w:val="hybridMultilevel"/>
    <w:lvl w:ilvl="0">
      <w:lvlJc w:val="left"/>
      <w:lvlText w:val="%1."/>
      <w:numFmt w:val="decimal"/>
      <w:start w:val="5"/>
    </w:lvl>
  </w:abstractNum>
  <w:abstractNum w:abstractNumId="451">
    <w:nsid w:val="1E22BCB2"/>
    <w:multiLevelType w:val="hybridMultilevel"/>
    <w:lvl w:ilvl="0">
      <w:lvlJc w:val="left"/>
      <w:lvlText w:val="(%1)"/>
      <w:numFmt w:val="lowerLetter"/>
      <w:start w:val="1"/>
    </w:lvl>
  </w:abstractNum>
  <w:abstractNum w:abstractNumId="452">
    <w:nsid w:val="3565F1C8"/>
    <w:multiLevelType w:val="hybridMultilevel"/>
    <w:lvl w:ilvl="0">
      <w:lvlJc w:val="left"/>
      <w:lvlText w:val="%1."/>
      <w:numFmt w:val="decimal"/>
      <w:start w:val="9"/>
    </w:lvl>
  </w:abstractNum>
  <w:abstractNum w:abstractNumId="453">
    <w:nsid w:val="5EA6D896"/>
    <w:multiLevelType w:val="hybridMultilevel"/>
    <w:lvl w:ilvl="0">
      <w:lvlJc w:val="left"/>
      <w:lvlText w:val="%1."/>
      <w:numFmt w:val="decimal"/>
      <w:start w:val="10"/>
    </w:lvl>
  </w:abstractNum>
  <w:abstractNum w:abstractNumId="454">
    <w:nsid w:val="3D096BBF"/>
    <w:multiLevelType w:val="hybridMultilevel"/>
    <w:lvl w:ilvl="0">
      <w:lvlJc w:val="left"/>
      <w:lvlText w:val="(%1)"/>
      <w:numFmt w:val="lowerRoman"/>
      <w:start w:val="1"/>
    </w:lvl>
  </w:abstractNum>
  <w:abstractNum w:abstractNumId="455">
    <w:nsid w:val="BD6D5B5"/>
    <w:multiLevelType w:val="hybridMultilevel"/>
    <w:lvl w:ilvl="0">
      <w:lvlJc w:val="left"/>
      <w:lvlText w:val="%1."/>
      <w:numFmt w:val="decimal"/>
      <w:start w:val="11"/>
    </w:lvl>
  </w:abstractNum>
  <w:abstractNum w:abstractNumId="456">
    <w:nsid w:val="3B52115C"/>
    <w:multiLevelType w:val="hybridMultilevel"/>
    <w:lvl w:ilvl="0">
      <w:lvlJc w:val="left"/>
      <w:lvlText w:val="%1."/>
      <w:numFmt w:val="decimal"/>
      <w:start w:val="12"/>
    </w:lvl>
  </w:abstractNum>
  <w:abstractNum w:abstractNumId="457">
    <w:nsid w:val="787AA59C"/>
    <w:multiLevelType w:val="hybridMultilevel"/>
    <w:lvl w:ilvl="0">
      <w:lvlJc w:val="left"/>
      <w:lvlText w:val="(%1)"/>
      <w:numFmt w:val="lowerLetter"/>
      <w:start w:val="1"/>
    </w:lvl>
  </w:abstractNum>
  <w:abstractNum w:abstractNumId="458">
    <w:nsid w:val="70BB9983"/>
    <w:multiLevelType w:val="hybridMultilevel"/>
    <w:lvl w:ilvl="0">
      <w:lvlJc w:val="left"/>
      <w:lvlText w:val="%1."/>
      <w:numFmt w:val="decimal"/>
      <w:start w:val="14"/>
    </w:lvl>
  </w:abstractNum>
  <w:abstractNum w:abstractNumId="459">
    <w:nsid w:val="51EEBEEA"/>
    <w:multiLevelType w:val="hybridMultilevel"/>
    <w:lvl w:ilvl="0">
      <w:lvlJc w:val="left"/>
      <w:lvlText w:val="(%1)"/>
      <w:numFmt w:val="lowerLetter"/>
      <w:start w:val="1"/>
    </w:lvl>
  </w:abstractNum>
  <w:abstractNum w:abstractNumId="460">
    <w:nsid w:val="221A0CCD"/>
    <w:multiLevelType w:val="hybridMultilevel"/>
    <w:lvl w:ilvl="0">
      <w:lvlJc w:val="left"/>
      <w:lvlText w:val="%1."/>
      <w:numFmt w:val="decimal"/>
      <w:start w:val="16"/>
    </w:lvl>
  </w:abstractNum>
  <w:abstractNum w:abstractNumId="461">
    <w:nsid w:val="1B7CA0ED"/>
    <w:multiLevelType w:val="hybridMultilevel"/>
    <w:lvl w:ilvl="0">
      <w:lvlJc w:val="left"/>
      <w:lvlText w:val="*"/>
      <w:numFmt w:val="bullet"/>
      <w:start w:val="1"/>
    </w:lvl>
  </w:abstractNum>
  <w:abstractNum w:abstractNumId="462">
    <w:nsid w:val="2395A7FF"/>
    <w:multiLevelType w:val="hybridMultilevel"/>
    <w:lvl w:ilvl="0">
      <w:lvlJc w:val="left"/>
      <w:lvlText w:val="☐"/>
      <w:numFmt w:val="bullet"/>
      <w:start w:val="1"/>
    </w:lvl>
  </w:abstractNum>
  <w:abstractNum w:abstractNumId="463">
    <w:nsid w:val="3965EB66"/>
    <w:multiLevelType w:val="hybridMultilevel"/>
    <w:lvl w:ilvl="0">
      <w:lvlJc w:val="left"/>
      <w:lvlText w:val="%1."/>
      <w:numFmt w:val="decimal"/>
      <w:start w:val="1"/>
    </w:lvl>
  </w:abstractNum>
  <w:abstractNum w:abstractNumId="464">
    <w:nsid w:val="3AA88B3C"/>
    <w:multiLevelType w:val="hybridMultilevel"/>
    <w:lvl w:ilvl="0">
      <w:lvlJc w:val="left"/>
      <w:lvlText w:val="%1."/>
      <w:numFmt w:val="decimal"/>
      <w:start w:val="3"/>
    </w:lvl>
  </w:abstractNum>
  <w:abstractNum w:abstractNumId="465">
    <w:nsid w:val="26BAF231"/>
    <w:multiLevelType w:val="hybridMultilevel"/>
    <w:lvl w:ilvl="0">
      <w:lvlJc w:val="left"/>
      <w:lvlText w:val="%1."/>
      <w:numFmt w:val="decimal"/>
      <w:start w:val="1"/>
    </w:lvl>
  </w:abstractNum>
  <w:abstractNum w:abstractNumId="466">
    <w:nsid w:val="4B13A15A"/>
    <w:multiLevelType w:val="hybridMultilevel"/>
    <w:lvl w:ilvl="0">
      <w:lvlJc w:val="left"/>
      <w:lvlText w:val="☐"/>
      <w:numFmt w:val="bullet"/>
      <w:start w:val="1"/>
    </w:lvl>
  </w:abstractNum>
  <w:abstractNum w:abstractNumId="467">
    <w:nsid w:val="701E8A0D"/>
    <w:multiLevelType w:val="hybridMultilevel"/>
    <w:lvl w:ilvl="0">
      <w:lvlJc w:val="left"/>
      <w:lvlText w:val="%1."/>
      <w:numFmt w:val="decimal"/>
      <w:start w:val="3"/>
    </w:lvl>
  </w:abstractNum>
  <w:abstractNum w:abstractNumId="468">
    <w:nsid w:val="41E690CF"/>
    <w:multiLevelType w:val="hybridMultilevel"/>
    <w:lvl w:ilvl="0">
      <w:lvlJc w:val="left"/>
      <w:lvlText w:val="(%1)"/>
      <w:numFmt w:val="decimal"/>
      <w:start w:val="6"/>
    </w:lvl>
  </w:abstractNum>
  <w:abstractNum w:abstractNumId="469">
    <w:nsid w:val="7C6489B6"/>
    <w:multiLevelType w:val="hybridMultilevel"/>
    <w:lvl w:ilvl="0">
      <w:lvlJc w:val="left"/>
      <w:lvlText w:val="%1."/>
      <w:numFmt w:val="decimal"/>
      <w:start w:val="4"/>
    </w:lvl>
  </w:abstractNum>
  <w:abstractNum w:abstractNumId="470">
    <w:nsid w:val="53AE65DE"/>
    <w:multiLevelType w:val="hybridMultilevel"/>
    <w:lvl w:ilvl="0">
      <w:lvlJc w:val="left"/>
      <w:lvlText w:val="%1."/>
      <w:numFmt w:val="decimal"/>
      <w:start w:val="6"/>
    </w:lvl>
  </w:abstractNum>
  <w:abstractNum w:abstractNumId="471">
    <w:nsid w:val="527F603D"/>
    <w:multiLevelType w:val="hybridMultilevel"/>
    <w:lvl w:ilvl="0">
      <w:lvlJc w:val="left"/>
      <w:lvlText w:val="(%1)"/>
      <w:numFmt w:val="decimal"/>
      <w:start w:val="120"/>
    </w:lvl>
  </w:abstractNum>
  <w:abstractNum w:abstractNumId="472">
    <w:nsid w:val="7E13D013"/>
    <w:multiLevelType w:val="hybridMultilevel"/>
    <w:lvl w:ilvl="0">
      <w:lvlJc w:val="left"/>
      <w:lvlText w:val="(%1)"/>
      <w:numFmt w:val="lowerLetter"/>
      <w:start w:val="3"/>
    </w:lvl>
  </w:abstractNum>
  <w:abstractNum w:abstractNumId="473">
    <w:nsid w:val="663BFE95"/>
    <w:multiLevelType w:val="hybridMultilevel"/>
    <w:lvl w:ilvl="0">
      <w:lvlJc w:val="left"/>
      <w:lvlText w:val="(%1)"/>
      <w:numFmt w:val="lowerLetter"/>
      <w:start w:val="1"/>
    </w:lvl>
  </w:abstractNum>
  <w:abstractNum w:abstractNumId="474">
    <w:nsid w:val="31E0986F"/>
    <w:multiLevelType w:val="hybridMultilevel"/>
    <w:lvl w:ilvl="0">
      <w:lvlJc w:val="left"/>
      <w:lvlText w:val="%1."/>
      <w:numFmt w:val="decimal"/>
      <w:start w:val="8"/>
    </w:lvl>
  </w:abstractNum>
  <w:abstractNum w:abstractNumId="475">
    <w:nsid w:val="41FCF274"/>
    <w:multiLevelType w:val="hybridMultilevel"/>
    <w:lvl w:ilvl="0">
      <w:lvlJc w:val="left"/>
      <w:lvlText w:val="%1."/>
      <w:numFmt w:val="decimal"/>
      <w:start w:val="1"/>
    </w:lvl>
  </w:abstractNum>
  <w:abstractNum w:abstractNumId="476">
    <w:nsid w:val="294614F7"/>
    <w:multiLevelType w:val="hybridMultilevel"/>
    <w:lvl w:ilvl="0">
      <w:lvlJc w:val="left"/>
      <w:lvlText w:val="%1."/>
      <w:numFmt w:val="decimal"/>
      <w:start w:val="2"/>
    </w:lvl>
  </w:abstractNum>
  <w:abstractNum w:abstractNumId="477">
    <w:nsid w:val="517DF487"/>
    <w:multiLevelType w:val="hybridMultilevel"/>
    <w:lvl w:ilvl="0">
      <w:lvlJc w:val="left"/>
      <w:lvlText w:val="%1."/>
      <w:numFmt w:val="decimal"/>
      <w:start w:val="1"/>
    </w:lvl>
  </w:abstractNum>
  <w:abstractNum w:abstractNumId="478">
    <w:nsid w:val="5EBE0EAB"/>
    <w:multiLevelType w:val="hybridMultilevel"/>
    <w:lvl w:ilvl="0">
      <w:lvlJc w:val="left"/>
      <w:lvlText w:val="(%1)"/>
      <w:numFmt w:val="lowerLetter"/>
      <w:start w:val="1"/>
    </w:lvl>
  </w:abstractNum>
  <w:abstractNum w:abstractNumId="479">
    <w:nsid w:val="6E9DEAD0"/>
    <w:multiLevelType w:val="hybridMultilevel"/>
    <w:lvl w:ilvl="0">
      <w:lvlJc w:val="left"/>
      <w:lvlText w:val="(%1)"/>
      <w:numFmt w:val="lowerLetter"/>
      <w:start w:val="4"/>
    </w:lvl>
  </w:abstractNum>
  <w:abstractNum w:abstractNumId="480">
    <w:nsid w:val="4450AA00"/>
    <w:multiLevelType w:val="hybridMultilevel"/>
    <w:lvl w:ilvl="0">
      <w:lvlJc w:val="left"/>
      <w:lvlText w:val="%1."/>
      <w:numFmt w:val="decimal"/>
      <w:start w:val="3"/>
    </w:lvl>
  </w:abstractNum>
  <w:abstractNum w:abstractNumId="481">
    <w:nsid w:val="4AC9F3E2"/>
    <w:multiLevelType w:val="hybridMultilevel"/>
    <w:lvl w:ilvl="0">
      <w:lvlJc w:val="left"/>
      <w:lvlText w:val="(%1)"/>
      <w:numFmt w:val="lowerLetter"/>
      <w:start w:val="1"/>
    </w:lvl>
  </w:abstractNum>
  <w:abstractNum w:abstractNumId="482">
    <w:nsid w:val="CC0A782"/>
    <w:multiLevelType w:val="hybridMultilevel"/>
    <w:lvl w:ilvl="0">
      <w:lvlJc w:val="left"/>
      <w:lvlText w:val="(%1)"/>
      <w:numFmt w:val="lowerLetter"/>
      <w:start w:val="13"/>
    </w:lvl>
  </w:abstractNum>
  <w:abstractNum w:abstractNumId="483">
    <w:nsid w:val="79B69BC9"/>
    <w:multiLevelType w:val="hybridMultilevel"/>
    <w:lvl w:ilvl="0">
      <w:lvlJc w:val="left"/>
      <w:lvlText w:val="(%1)"/>
      <w:numFmt w:val="lowerLetter"/>
      <w:start w:val="2"/>
    </w:lvl>
  </w:abstractNum>
  <w:abstractNum w:abstractNumId="484">
    <w:nsid w:val="2970CC78"/>
    <w:multiLevelType w:val="hybridMultilevel"/>
    <w:lvl w:ilvl="0">
      <w:lvlJc w:val="left"/>
      <w:lvlText w:val="(%1)"/>
      <w:numFmt w:val="lowerLetter"/>
      <w:start w:val="5"/>
    </w:lvl>
  </w:abstractNum>
  <w:abstractNum w:abstractNumId="485">
    <w:nsid w:val="49CA1341"/>
    <w:multiLevelType w:val="hybridMultilevel"/>
    <w:lvl w:ilvl="0">
      <w:lvlJc w:val="left"/>
      <w:lvlText w:val="%1."/>
      <w:numFmt w:val="decimal"/>
      <w:start w:val="5"/>
    </w:lvl>
  </w:abstractNum>
  <w:abstractNum w:abstractNumId="486">
    <w:nsid w:val="58D717E"/>
    <w:multiLevelType w:val="hybridMultilevel"/>
    <w:lvl w:ilvl="0">
      <w:lvlJc w:val="left"/>
      <w:lvlText w:val="(%1)"/>
      <w:numFmt w:val="lowerLetter"/>
      <w:start w:val="1"/>
    </w:lvl>
  </w:abstractNum>
  <w:abstractNum w:abstractNumId="487">
    <w:nsid w:val="64C2DDD5"/>
    <w:multiLevelType w:val="hybridMultilevel"/>
    <w:lvl w:ilvl="0">
      <w:lvlJc w:val="left"/>
      <w:lvlText w:val="%1."/>
      <w:numFmt w:val="decimal"/>
      <w:start w:val="6"/>
    </w:lvl>
  </w:abstractNum>
  <w:abstractNum w:abstractNumId="488">
    <w:nsid w:val="4244B8DE"/>
    <w:multiLevelType w:val="hybridMultilevel"/>
    <w:lvl w:ilvl="0">
      <w:lvlJc w:val="left"/>
      <w:lvlText w:val="%1."/>
      <w:numFmt w:val="decimal"/>
      <w:start w:val="7"/>
    </w:lvl>
  </w:abstractNum>
  <w:abstractNum w:abstractNumId="489">
    <w:nsid w:val="76490B01"/>
    <w:multiLevelType w:val="hybridMultilevel"/>
    <w:lvl w:ilvl="0">
      <w:lvlJc w:val="left"/>
      <w:lvlText w:val="%1."/>
      <w:numFmt w:val="decimal"/>
      <w:start w:val="8"/>
    </w:lvl>
  </w:abstractNum>
  <w:abstractNum w:abstractNumId="490">
    <w:nsid w:val="36B19CBF"/>
    <w:multiLevelType w:val="hybridMultilevel"/>
    <w:lvl w:ilvl="0">
      <w:lvlJc w:val="left"/>
      <w:lvlText w:val="(%1)"/>
      <w:numFmt w:val="lowerLetter"/>
      <w:start w:val="2"/>
    </w:lvl>
  </w:abstractNum>
  <w:abstractNum w:abstractNumId="491">
    <w:nsid w:val="645EC5AB"/>
    <w:multiLevelType w:val="hybridMultilevel"/>
    <w:lvl w:ilvl="0">
      <w:lvlJc w:val="left"/>
      <w:lvlText w:val="(%1)"/>
      <w:numFmt w:val="lowerLetter"/>
      <w:start w:val="4"/>
    </w:lvl>
  </w:abstractNum>
  <w:abstractNum w:abstractNumId="492">
    <w:nsid w:val="11C5ABEF"/>
    <w:multiLevelType w:val="hybridMultilevel"/>
    <w:lvl w:ilvl="0">
      <w:lvlJc w:val="left"/>
      <w:lvlText w:val="%1."/>
      <w:numFmt w:val="decimal"/>
      <w:start w:val="9"/>
    </w:lvl>
  </w:abstractNum>
  <w:abstractNum w:abstractNumId="493">
    <w:nsid w:val="5A4744BE"/>
    <w:multiLevelType w:val="hybridMultilevel"/>
    <w:lvl w:ilvl="0">
      <w:lvlJc w:val="left"/>
      <w:lvlText w:val="(%1)"/>
      <w:numFmt w:val="lowerLetter"/>
      <w:start w:val="2"/>
    </w:lvl>
  </w:abstractNum>
  <w:abstractNum w:abstractNumId="494">
    <w:nsid w:val="1DC4B111"/>
    <w:multiLevelType w:val="hybridMultilevel"/>
    <w:lvl w:ilvl="0">
      <w:lvlJc w:val="left"/>
      <w:lvlText w:val="%1."/>
      <w:numFmt w:val="decimal"/>
      <w:start w:val="10"/>
    </w:lvl>
  </w:abstractNum>
  <w:abstractNum w:abstractNumId="495">
    <w:nsid w:val="4C6E372B"/>
    <w:multiLevelType w:val="hybridMultilevel"/>
    <w:lvl w:ilvl="0">
      <w:lvlJc w:val="left"/>
      <w:lvlText w:val="(%1)"/>
      <w:numFmt w:val="lowerLetter"/>
      <w:start w:val="1"/>
    </w:lvl>
  </w:abstractNum>
  <w:abstractNum w:abstractNumId="496">
    <w:nsid w:val="10236EF"/>
    <w:multiLevelType w:val="hybridMultilevel"/>
    <w:lvl w:ilvl="0">
      <w:lvlJc w:val="left"/>
      <w:lvlText w:val="%1."/>
      <w:numFmt w:val="decimal"/>
      <w:start w:val="11"/>
    </w:lvl>
  </w:abstractNum>
  <w:abstractNum w:abstractNumId="497">
    <w:nsid w:val="68D8526B"/>
    <w:multiLevelType w:val="hybridMultilevel"/>
    <w:lvl w:ilvl="0">
      <w:lvlJc w:val="left"/>
      <w:lvlText w:val="(%1)"/>
      <w:numFmt w:val="lowerLetter"/>
      <w:start w:val="1"/>
    </w:lvl>
  </w:abstractNum>
  <w:abstractNum w:abstractNumId="498">
    <w:nsid w:val="3C8CC138"/>
    <w:multiLevelType w:val="hybridMultilevel"/>
    <w:lvl w:ilvl="0">
      <w:lvlJc w:val="left"/>
      <w:lvlText w:val="%1."/>
      <w:numFmt w:val="decimal"/>
      <w:start w:val="12"/>
    </w:lvl>
  </w:abstractNum>
  <w:abstractNum w:abstractNumId="499">
    <w:nsid w:val="42E8C7BE"/>
    <w:multiLevelType w:val="hybridMultilevel"/>
    <w:lvl w:ilvl="0">
      <w:lvlJc w:val="left"/>
      <w:lvlText w:val="%1."/>
      <w:numFmt w:val="decimal"/>
      <w:start w:val="13"/>
    </w:lvl>
  </w:abstractNum>
  <w:abstractNum w:abstractNumId="500">
    <w:nsid w:val="653CDC22"/>
    <w:multiLevelType w:val="hybridMultilevel"/>
    <w:lvl w:ilvl="0">
      <w:lvlJc w:val="left"/>
      <w:lvlText w:val="(%1)"/>
      <w:numFmt w:val="lowerLetter"/>
      <w:start w:val="4"/>
    </w:lvl>
  </w:abstractNum>
  <w:abstractNum w:abstractNumId="501">
    <w:nsid w:val="103B2716"/>
    <w:multiLevelType w:val="hybridMultilevel"/>
    <w:lvl w:ilvl="0">
      <w:lvlJc w:val="left"/>
      <w:lvlText w:val="%1."/>
      <w:numFmt w:val="decimal"/>
      <w:start w:val="14"/>
    </w:lvl>
  </w:abstractNum>
  <w:abstractNum w:abstractNumId="502">
    <w:nsid w:val="156827FB"/>
    <w:multiLevelType w:val="hybridMultilevel"/>
    <w:lvl w:ilvl="0">
      <w:lvlJc w:val="left"/>
      <w:lvlText w:val="(%1)"/>
      <w:numFmt w:val="lowerRoman"/>
      <w:start w:val="2"/>
    </w:lvl>
  </w:abstractNum>
  <w:abstractNum w:abstractNumId="503">
    <w:nsid w:val="6350AC35"/>
    <w:multiLevelType w:val="hybridMultilevel"/>
    <w:lvl w:ilvl="0">
      <w:lvlJc w:val="left"/>
      <w:lvlText w:val="(%1)"/>
      <w:numFmt w:val="lowerLetter"/>
      <w:start w:val="1"/>
    </w:lvl>
  </w:abstractNum>
  <w:abstractNum w:abstractNumId="504">
    <w:nsid w:val="767725AB"/>
    <w:multiLevelType w:val="hybridMultilevel"/>
    <w:lvl w:ilvl="0">
      <w:lvlJc w:val="left"/>
      <w:lvlText w:val="%1."/>
      <w:numFmt w:val="decimal"/>
      <w:start w:val="15"/>
    </w:lvl>
  </w:abstractNum>
  <w:abstractNum w:abstractNumId="505">
    <w:nsid w:val="4748C06A"/>
    <w:multiLevelType w:val="hybridMultilevel"/>
    <w:lvl w:ilvl="0">
      <w:lvlJc w:val="left"/>
      <w:lvlText w:val="%1."/>
      <w:numFmt w:val="decimal"/>
      <w:start w:val="16"/>
    </w:lvl>
  </w:abstractNum>
  <w:abstractNum w:abstractNumId="506">
    <w:nsid w:val="254D9EA9"/>
    <w:multiLevelType w:val="hybridMultilevel"/>
    <w:lvl w:ilvl="0">
      <w:lvlJc w:val="left"/>
      <w:lvlText w:val="%1."/>
      <w:numFmt w:val="decimal"/>
      <w:start w:val="20"/>
    </w:lvl>
  </w:abstractNum>
  <w:abstractNum w:abstractNumId="507">
    <w:nsid w:val="1FBD3AA3"/>
    <w:multiLevelType w:val="hybridMultilevel"/>
    <w:lvl w:ilvl="0">
      <w:lvlJc w:val="left"/>
      <w:lvlText w:val="(%1)"/>
      <w:numFmt w:val="lowerLetter"/>
      <w:start w:val="1"/>
    </w:lvl>
  </w:abstractNum>
  <w:abstractNum w:abstractNumId="508">
    <w:nsid w:val="18C6B4F2"/>
    <w:multiLevelType w:val="hybridMultilevel"/>
    <w:lvl w:ilvl="0">
      <w:lvlJc w:val="left"/>
      <w:lvlText w:val="%1."/>
      <w:numFmt w:val="decimal"/>
      <w:start w:val="22"/>
    </w:lvl>
  </w:abstractNum>
  <w:abstractNum w:abstractNumId="509">
    <w:nsid w:val="40BAD55"/>
    <w:multiLevelType w:val="hybridMultilevel"/>
    <w:lvl w:ilvl="0">
      <w:lvlJc w:val="left"/>
      <w:lvlText w:val="%1."/>
      <w:numFmt w:val="decimal"/>
      <w:start w:val="27"/>
    </w:lvl>
  </w:abstractNum>
  <w:abstractNum w:abstractNumId="510">
    <w:nsid w:val="E5B2573"/>
    <w:multiLevelType w:val="hybridMultilevel"/>
    <w:lvl w:ilvl="0">
      <w:lvlJc w:val="left"/>
      <w:lvlText w:val="(%1)"/>
      <w:numFmt w:val="lowerLetter"/>
      <w:start w:val="1"/>
    </w:lvl>
  </w:abstractNum>
  <w:abstractNum w:abstractNumId="511">
    <w:nsid w:val="5D175EF2"/>
    <w:multiLevelType w:val="hybridMultilevel"/>
    <w:lvl w:ilvl="0">
      <w:lvlJc w:val="left"/>
      <w:lvlText w:val="(%1)"/>
      <w:numFmt w:val="decimal"/>
      <w:start w:val="35"/>
    </w:lvl>
  </w:abstractNum>
  <w:abstractNum w:abstractNumId="512">
    <w:nsid w:val="4ED5A137"/>
    <w:multiLevelType w:val="hybridMultilevel"/>
    <w:lvl w:ilvl="0">
      <w:lvlJc w:val="left"/>
      <w:lvlText w:val="(%1)"/>
      <w:numFmt w:val="lowerLetter"/>
      <w:start w:val="1"/>
    </w:lvl>
  </w:abstractNum>
  <w:abstractNum w:abstractNumId="513">
    <w:nsid w:val="1B1BCCF5"/>
    <w:multiLevelType w:val="hybridMultilevel"/>
    <w:lvl w:ilvl="0">
      <w:lvlJc w:val="left"/>
      <w:lvlText w:val="(%1)"/>
      <w:numFmt w:val="lowerLetter"/>
      <w:start w:val="17"/>
    </w:lvl>
  </w:abstractNum>
  <w:abstractNum w:abstractNumId="514">
    <w:nsid w:val="56CDFABB"/>
    <w:multiLevelType w:val="hybridMultilevel"/>
    <w:lvl w:ilvl="0">
      <w:lvlJc w:val="left"/>
      <w:lvlText w:val="(%1)"/>
      <w:numFmt w:val="lowerLetter"/>
      <w:start w:val="28"/>
    </w:lvl>
  </w:abstractNum>
  <w:abstractNum w:abstractNumId="515">
    <w:nsid w:val="78466DAF"/>
    <w:multiLevelType w:val="hybridMultilevel"/>
    <w:lvl w:ilvl="0">
      <w:lvlJc w:val="left"/>
      <w:lvlText w:val="(%1)"/>
      <w:numFmt w:val="lowerLetter"/>
      <w:start w:val="30"/>
    </w:lvl>
  </w:abstractNum>
  <w:abstractNum w:abstractNumId="516">
    <w:nsid w:val="64E5E036"/>
    <w:multiLevelType w:val="hybridMultilevel"/>
    <w:lvl w:ilvl="0">
      <w:lvlJc w:val="left"/>
      <w:lvlText w:val="(%1)"/>
      <w:numFmt w:val="lowerLetter"/>
      <w:start w:val="32"/>
    </w:lvl>
  </w:abstractNum>
  <w:abstractNum w:abstractNumId="517">
    <w:nsid w:val="5C5B6C3A"/>
    <w:multiLevelType w:val="hybridMultilevel"/>
    <w:lvl w:ilvl="0">
      <w:lvlJc w:val="left"/>
      <w:lvlText w:val="(%1)"/>
      <w:numFmt w:val="lowerLetter"/>
      <w:start w:val="35"/>
    </w:lvl>
  </w:abstractNum>
  <w:abstractNum w:abstractNumId="518">
    <w:nsid w:val="5D094B84"/>
    <w:multiLevelType w:val="hybridMultilevel"/>
    <w:lvl w:ilvl="0">
      <w:lvlJc w:val="left"/>
      <w:lvlText w:val="(%1)"/>
      <w:numFmt w:val="lowerLetter"/>
      <w:start w:val="37"/>
    </w:lvl>
  </w:abstractNum>
  <w:abstractNum w:abstractNumId="519">
    <w:nsid w:val="272A9914"/>
    <w:multiLevelType w:val="hybridMultilevel"/>
    <w:lvl w:ilvl="0">
      <w:lvlJc w:val="left"/>
      <w:lvlText w:val="(%1)"/>
      <w:numFmt w:val="lowerLetter"/>
      <w:start w:val="39"/>
    </w:lvl>
  </w:abstractNum>
  <w:abstractNum w:abstractNumId="520">
    <w:nsid w:val="52A4773B"/>
    <w:multiLevelType w:val="hybridMultilevel"/>
    <w:lvl w:ilvl="0">
      <w:lvlJc w:val="left"/>
      <w:lvlText w:val="(%1)"/>
      <w:numFmt w:val="lowerLetter"/>
      <w:start w:val="41"/>
    </w:lvl>
  </w:abstractNum>
  <w:abstractNum w:abstractNumId="521">
    <w:nsid w:val="13BAE843"/>
    <w:multiLevelType w:val="hybridMultilevel"/>
    <w:lvl w:ilvl="0">
      <w:lvlJc w:val="left"/>
      <w:lvlText w:val="(%1)"/>
      <w:numFmt w:val="lowerLetter"/>
      <w:start w:val="44"/>
    </w:lvl>
  </w:abstractNum>
  <w:abstractNum w:abstractNumId="522">
    <w:nsid w:val="B895EBF"/>
    <w:multiLevelType w:val="hybridMultilevel"/>
    <w:lvl w:ilvl="0">
      <w:lvlJc w:val="left"/>
      <w:lvlText w:val="(%1)"/>
      <w:numFmt w:val="lowerLetter"/>
      <w:start w:val="25"/>
    </w:lvl>
  </w:abstractNum>
  <w:abstractNum w:abstractNumId="523">
    <w:nsid w:val="646A232A"/>
    <w:multiLevelType w:val="hybridMultilevel"/>
    <w:lvl w:ilvl="0">
      <w:lvlJc w:val="left"/>
      <w:lvlText w:val="%1."/>
      <w:numFmt w:val="decimal"/>
      <w:start w:val="1"/>
    </w:lvl>
  </w:abstractNum>
  <w:abstractNum w:abstractNumId="524">
    <w:nsid w:val="6E022D01"/>
    <w:multiLevelType w:val="hybridMultilevel"/>
    <w:lvl w:ilvl="0">
      <w:lvlJc w:val="left"/>
      <w:lvlText w:val="%1."/>
      <w:numFmt w:val="decimal"/>
      <w:start w:val="2"/>
    </w:lvl>
  </w:abstractNum>
  <w:abstractNum w:abstractNumId="525">
    <w:nsid w:val="294E0FD0"/>
    <w:multiLevelType w:val="hybridMultilevel"/>
    <w:lvl w:ilvl="0">
      <w:lvlJc w:val="left"/>
      <w:lvlText w:val="%1."/>
      <w:numFmt w:val="decimal"/>
      <w:start w:val="1"/>
    </w:lvl>
  </w:abstractNum>
  <w:abstractNum w:abstractNumId="526">
    <w:nsid w:val="30D85A55"/>
    <w:multiLevelType w:val="hybridMultilevel"/>
    <w:lvl w:ilvl="0">
      <w:lvlJc w:val="left"/>
      <w:lvlText w:val="%1."/>
      <w:numFmt w:val="decimal"/>
      <w:start w:val="3"/>
    </w:lvl>
  </w:abstractNum>
  <w:abstractNum w:abstractNumId="527">
    <w:nsid w:val="6F0463F1"/>
    <w:multiLevelType w:val="hybridMultilevel"/>
    <w:lvl w:ilvl="0">
      <w:lvlJc w:val="left"/>
      <w:lvlText w:val="(%1)"/>
      <w:numFmt w:val="lowerLetter"/>
      <w:start w:val="1"/>
    </w:lvl>
  </w:abstractNum>
  <w:abstractNum w:abstractNumId="528">
    <w:nsid w:val="1226623C"/>
    <w:multiLevelType w:val="hybridMultilevel"/>
    <w:lvl w:ilvl="0">
      <w:lvlJc w:val="left"/>
      <w:lvlText w:val="(%1)"/>
      <w:numFmt w:val="lowerRoman"/>
      <w:start w:val="1"/>
    </w:lvl>
  </w:abstractNum>
  <w:abstractNum w:abstractNumId="529">
    <w:nsid w:val="6D651B8D"/>
    <w:multiLevelType w:val="hybridMultilevel"/>
    <w:lvl w:ilvl="0">
      <w:lvlJc w:val="left"/>
      <w:lvlText w:val="(%1)"/>
      <w:numFmt w:val="lowerLetter"/>
      <w:start w:val="2"/>
    </w:lvl>
  </w:abstractNum>
  <w:abstractNum w:abstractNumId="530">
    <w:nsid w:val="31ED2BAF"/>
    <w:multiLevelType w:val="hybridMultilevel"/>
    <w:lvl w:ilvl="0">
      <w:lvlJc w:val="left"/>
      <w:lvlText w:val="(%1)"/>
      <w:numFmt w:val="lowerLetter"/>
      <w:start w:val="1"/>
    </w:lvl>
  </w:abstractNum>
  <w:abstractNum w:abstractNumId="531">
    <w:nsid w:val="77633E5E"/>
    <w:multiLevelType w:val="hybridMultilevel"/>
    <w:lvl w:ilvl="0">
      <w:lvlJc w:val="left"/>
      <w:lvlText w:val="(%1)"/>
      <w:numFmt w:val="lowerLetter"/>
      <w:start w:val="1"/>
    </w:lvl>
  </w:abstractNum>
  <w:abstractNum w:abstractNumId="532">
    <w:nsid w:val="7DA042A3"/>
    <w:multiLevelType w:val="hybridMultilevel"/>
    <w:lvl w:ilvl="0">
      <w:lvlJc w:val="left"/>
      <w:lvlText w:val="%1."/>
      <w:numFmt w:val="decimal"/>
      <w:start w:val="7"/>
    </w:lvl>
  </w:abstractNum>
  <w:abstractNum w:abstractNumId="533">
    <w:nsid w:val="475553AB"/>
    <w:multiLevelType w:val="hybridMultilevel"/>
    <w:lvl w:ilvl="0">
      <w:lvlJc w:val="left"/>
      <w:lvlText w:val="(%1)"/>
      <w:numFmt w:val="lowerLetter"/>
      <w:start w:val="1"/>
    </w:lvl>
  </w:abstractNum>
  <w:abstractNum w:abstractNumId="534">
    <w:nsid w:val="5AB3EA93"/>
    <w:multiLevelType w:val="hybridMultilevel"/>
    <w:lvl w:ilvl="0">
      <w:lvlJc w:val="left"/>
      <w:lvlText w:val="(%1)"/>
      <w:numFmt w:val="lowerLetter"/>
      <w:start w:val="1"/>
    </w:lvl>
  </w:abstractNum>
  <w:abstractNum w:abstractNumId="535">
    <w:nsid w:val="7417684F"/>
    <w:multiLevelType w:val="hybridMultilevel"/>
    <w:lvl w:ilvl="0">
      <w:lvlJc w:val="left"/>
      <w:lvlText w:val="(%1)"/>
      <w:numFmt w:val="lowerLetter"/>
      <w:start w:val="2"/>
    </w:lvl>
  </w:abstractNum>
  <w:abstractNum w:abstractNumId="536">
    <w:nsid w:val="E9E1415"/>
    <w:multiLevelType w:val="hybridMultilevel"/>
    <w:lvl w:ilvl="0">
      <w:lvlJc w:val="left"/>
      <w:lvlText w:val="(%1)"/>
      <w:numFmt w:val="lowerLetter"/>
      <w:start w:val="5"/>
    </w:lvl>
  </w:abstractNum>
  <w:abstractNum w:abstractNumId="537">
    <w:nsid w:val="1893D"/>
    <w:multiLevelType w:val="hybridMultilevel"/>
    <w:lvl w:ilvl="0">
      <w:lvlJc w:val="left"/>
      <w:lvlText w:val="(%1)"/>
      <w:numFmt w:val="lowerLetter"/>
      <w:start w:val="4"/>
    </w:lvl>
  </w:abstractNum>
  <w:abstractNum w:abstractNumId="538">
    <w:nsid w:val="13D4A2F2"/>
    <w:multiLevelType w:val="hybridMultilevel"/>
    <w:lvl w:ilvl="0">
      <w:lvlJc w:val="left"/>
      <w:lvlText w:val="(%1)"/>
      <w:numFmt w:val="lowerLetter"/>
      <w:start w:val="6"/>
    </w:lvl>
  </w:abstractNum>
  <w:abstractNum w:abstractNumId="539">
    <w:nsid w:val="2764C907"/>
    <w:multiLevelType w:val="hybridMultilevel"/>
    <w:lvl w:ilvl="0">
      <w:lvlJc w:val="left"/>
      <w:lvlText w:val="(%1)"/>
      <w:numFmt w:val="lowerLetter"/>
      <w:start w:val="1"/>
    </w:lvl>
  </w:abstractNum>
  <w:abstractNum w:abstractNumId="540">
    <w:nsid w:val="40D3692"/>
    <w:multiLevelType w:val="hybridMultilevel"/>
    <w:lvl w:ilvl="0">
      <w:lvlJc w:val="left"/>
      <w:lvlText w:val="(%1)"/>
      <w:numFmt w:val="lowerRoman"/>
      <w:start w:val="2"/>
    </w:lvl>
  </w:abstractNum>
  <w:abstractNum w:abstractNumId="541">
    <w:nsid w:val="222FC865"/>
    <w:multiLevelType w:val="hybridMultilevel"/>
    <w:lvl w:ilvl="0">
      <w:lvlJc w:val="left"/>
      <w:lvlText w:val="(%1)"/>
      <w:numFmt w:val="lowerLetter"/>
      <w:start w:val="2"/>
    </w:lvl>
  </w:abstractNum>
  <w:abstractNum w:abstractNumId="542">
    <w:nsid w:val="47C27FA"/>
    <w:multiLevelType w:val="hybridMultilevel"/>
    <w:lvl w:ilvl="0">
      <w:lvlJc w:val="left"/>
      <w:lvlText w:val="(%1)"/>
      <w:numFmt w:val="lowerLetter"/>
      <w:start w:val="4"/>
    </w:lvl>
  </w:abstractNum>
  <w:abstractNum w:abstractNumId="543">
    <w:nsid w:val="52E2D7C9"/>
    <w:multiLevelType w:val="hybridMultilevel"/>
    <w:lvl w:ilvl="0">
      <w:lvlJc w:val="left"/>
      <w:lvlText w:val="(%1)"/>
      <w:numFmt w:val="lowerLetter"/>
      <w:start w:val="1"/>
    </w:lvl>
  </w:abstractNum>
  <w:abstractNum w:abstractNumId="544">
    <w:nsid w:val="3D4B955A"/>
    <w:multiLevelType w:val="hybridMultilevel"/>
    <w:lvl w:ilvl="0">
      <w:lvlJc w:val="left"/>
      <w:lvlText w:val="%1."/>
      <w:numFmt w:val="decimal"/>
      <w:start w:val="12"/>
    </w:lvl>
  </w:abstractNum>
  <w:abstractNum w:abstractNumId="545">
    <w:nsid w:val="5B4A22B5"/>
    <w:multiLevelType w:val="hybridMultilevel"/>
    <w:lvl w:ilvl="0">
      <w:lvlJc w:val="left"/>
      <w:lvlText w:val="%1."/>
      <w:numFmt w:val="decimal"/>
      <w:start w:val="16"/>
    </w:lvl>
  </w:abstractNum>
  <w:abstractNum w:abstractNumId="546">
    <w:nsid w:val="4B294578"/>
    <w:multiLevelType w:val="hybridMultilevel"/>
    <w:lvl w:ilvl="0">
      <w:lvlJc w:val="left"/>
      <w:lvlText w:val="(%1)"/>
      <w:numFmt w:val="lowerLetter"/>
      <w:start w:val="1"/>
    </w:lvl>
  </w:abstractNum>
  <w:abstractNum w:abstractNumId="547">
    <w:nsid w:val="22317590"/>
    <w:multiLevelType w:val="hybridMultilevel"/>
    <w:lvl w:ilvl="0">
      <w:lvlJc w:val="left"/>
      <w:lvlText w:val="%1."/>
      <w:numFmt w:val="decimal"/>
      <w:start w:val="23"/>
    </w:lvl>
  </w:abstractNum>
  <w:abstractNum w:abstractNumId="548">
    <w:nsid w:val="37A58EEF"/>
    <w:multiLevelType w:val="hybridMultilevel"/>
    <w:lvl w:ilvl="0">
      <w:lvlJc w:val="left"/>
      <w:lvlText w:val="%1."/>
      <w:numFmt w:val="decimal"/>
      <w:start w:val="26"/>
    </w:lvl>
  </w:abstractNum>
  <w:abstractNum w:abstractNumId="549">
    <w:nsid w:val="283290FD"/>
    <w:multiLevelType w:val="hybridMultilevel"/>
    <w:lvl w:ilvl="0">
      <w:lvlJc w:val="left"/>
      <w:lvlText w:val="(%1)"/>
      <w:numFmt w:val="lowerLetter"/>
      <w:start w:val="1"/>
    </w:lvl>
  </w:abstractNum>
  <w:abstractNum w:abstractNumId="550">
    <w:nsid w:val="495C0EA5"/>
    <w:multiLevelType w:val="hybridMultilevel"/>
    <w:lvl w:ilvl="0">
      <w:lvlJc w:val="left"/>
      <w:lvlText w:val="(%1)"/>
      <w:numFmt w:val="lowerLetter"/>
      <w:start w:val="1"/>
    </w:lvl>
  </w:abstractNum>
  <w:abstractNum w:abstractNumId="551">
    <w:nsid w:val="A4A062B"/>
    <w:multiLevelType w:val="hybridMultilevel"/>
    <w:lvl w:ilvl="0">
      <w:lvlJc w:val="left"/>
      <w:lvlText w:val="(%1)"/>
      <w:numFmt w:val="lowerLetter"/>
      <w:start w:val="9"/>
    </w:lvl>
  </w:abstractNum>
  <w:abstractNum w:abstractNumId="552">
    <w:nsid w:val="3BED7940"/>
    <w:multiLevelType w:val="hybridMultilevel"/>
    <w:lvl w:ilvl="0">
      <w:lvlJc w:val="left"/>
      <w:lvlText w:val="(%1)"/>
      <w:numFmt w:val="decimal"/>
      <w:start w:val="1"/>
    </w:lvl>
  </w:abstractNum>
  <w:abstractNum w:abstractNumId="553">
    <w:nsid w:val="54E56D64"/>
    <w:multiLevelType w:val="hybridMultilevel"/>
    <w:lvl w:ilvl="0">
      <w:lvlJc w:val="left"/>
      <w:lvlText w:val="(%1)"/>
      <w:numFmt w:val="lowerLetter"/>
      <w:start w:val="11"/>
    </w:lvl>
  </w:abstractNum>
  <w:abstractNum w:abstractNumId="554">
    <w:nsid w:val="6EB42955"/>
    <w:multiLevelType w:val="hybridMultilevel"/>
    <w:lvl w:ilvl="0">
      <w:lvlJc w:val="left"/>
      <w:lvlText w:val="(%1)"/>
      <w:numFmt w:val="lowerLetter"/>
      <w:start w:val="13"/>
    </w:lvl>
  </w:abstractNum>
  <w:abstractNum w:abstractNumId="555">
    <w:nsid w:val="29EFA642"/>
    <w:multiLevelType w:val="hybridMultilevel"/>
    <w:lvl w:ilvl="0">
      <w:lvlJc w:val="left"/>
      <w:lvlText w:val="(%1)"/>
      <w:numFmt w:val="lowerLetter"/>
      <w:start w:val="18"/>
    </w:lvl>
  </w:abstractNum>
  <w:abstractNum w:abstractNumId="556">
    <w:nsid w:val="7E337D35"/>
    <w:multiLevelType w:val="hybridMultilevel"/>
    <w:lvl w:ilvl="0">
      <w:lvlJc w:val="left"/>
      <w:lvlText w:val="(%1)"/>
      <w:numFmt w:val="lowerLetter"/>
      <w:start w:val="19"/>
    </w:lvl>
  </w:abstractNum>
  <w:abstractNum w:abstractNumId="557">
    <w:nsid w:val="1F8C83AB"/>
    <w:multiLevelType w:val="hybridMultilevel"/>
    <w:lvl w:ilvl="0">
      <w:lvlJc w:val="left"/>
      <w:lvlText w:val="%1."/>
      <w:numFmt w:val="decimal"/>
      <w:start w:val="1"/>
    </w:lvl>
  </w:abstractNum>
  <w:abstractNum w:abstractNumId="558">
    <w:nsid w:val="18F40A33"/>
    <w:multiLevelType w:val="hybridMultilevel"/>
    <w:lvl w:ilvl="0">
      <w:lvlJc w:val="left"/>
      <w:lvlText w:val="(%1)"/>
      <w:numFmt w:val="lowerLetter"/>
      <w:start w:val="1"/>
    </w:lvl>
  </w:abstractNum>
  <w:abstractNum w:abstractNumId="559">
    <w:nsid w:val="1059DF71"/>
    <w:multiLevelType w:val="hybridMultilevel"/>
    <w:lvl w:ilvl="0">
      <w:lvlJc w:val="left"/>
      <w:lvlText w:val="%1."/>
      <w:numFmt w:val="decimal"/>
      <w:start w:val="3"/>
    </w:lvl>
  </w:abstractNum>
  <w:abstractNum w:abstractNumId="560">
    <w:nsid w:val="CF19F38"/>
    <w:multiLevelType w:val="hybridMultilevel"/>
    <w:lvl w:ilvl="0">
      <w:lvlJc w:val="left"/>
      <w:lvlText w:val="%1."/>
      <w:numFmt w:val="decimal"/>
      <w:start w:val="4"/>
    </w:lvl>
  </w:abstractNum>
  <w:abstractNum w:abstractNumId="561">
    <w:nsid w:val="4AE135E2"/>
    <w:multiLevelType w:val="hybridMultilevel"/>
    <w:lvl w:ilvl="0">
      <w:lvlJc w:val="left"/>
      <w:lvlText w:val="(%1)"/>
      <w:numFmt w:val="lowerLetter"/>
      <w:start w:val="1"/>
    </w:lvl>
  </w:abstractNum>
  <w:abstractNum w:abstractNumId="562">
    <w:nsid w:val="7BD1DCF"/>
    <w:multiLevelType w:val="hybridMultilevel"/>
    <w:lvl w:ilvl="0">
      <w:lvlJc w:val="left"/>
      <w:lvlText w:val="%1."/>
      <w:numFmt w:val="decimal"/>
      <w:start w:val="5"/>
    </w:lvl>
  </w:abstractNum>
  <w:abstractNum w:abstractNumId="563">
    <w:nsid w:val="A91E1DC"/>
    <w:multiLevelType w:val="hybridMultilevel"/>
    <w:lvl w:ilvl="0">
      <w:lvlJc w:val="left"/>
      <w:lvlText w:val="(%1)"/>
      <w:numFmt w:val="lowerLetter"/>
      <w:start w:val="1"/>
    </w:lvl>
  </w:abstractNum>
  <w:abstractNum w:abstractNumId="564">
    <w:nsid w:val="1236898D"/>
    <w:multiLevelType w:val="hybridMultilevel"/>
    <w:lvl w:ilvl="0">
      <w:lvlJc w:val="left"/>
      <w:lvlText w:val="(%1)"/>
      <w:numFmt w:val="lowerLetter"/>
      <w:start w:val="2"/>
    </w:lvl>
  </w:abstractNum>
  <w:abstractNum w:abstractNumId="565">
    <w:nsid w:val="62710862"/>
    <w:multiLevelType w:val="hybridMultilevel"/>
    <w:lvl w:ilvl="0">
      <w:lvlJc w:val="left"/>
      <w:lvlText w:val="%1."/>
      <w:numFmt w:val="decimal"/>
      <w:start w:val="6"/>
    </w:lvl>
  </w:abstractNum>
  <w:abstractNum w:abstractNumId="566">
    <w:nsid w:val="7EA94A2B"/>
    <w:multiLevelType w:val="hybridMultilevel"/>
    <w:lvl w:ilvl="0">
      <w:lvlJc w:val="left"/>
      <w:lvlText w:val="(%1)"/>
      <w:numFmt w:val="lowerLetter"/>
      <w:start w:val="2"/>
    </w:lvl>
  </w:abstractNum>
  <w:abstractNum w:abstractNumId="567">
    <w:nsid w:val="20D49DA3"/>
    <w:multiLevelType w:val="hybridMultilevel"/>
    <w:lvl w:ilvl="0">
      <w:lvlJc w:val="left"/>
      <w:lvlText w:val="%1."/>
      <w:numFmt w:val="decimal"/>
      <w:start w:val="7"/>
    </w:lvl>
  </w:abstractNum>
  <w:abstractNum w:abstractNumId="568">
    <w:nsid w:val="6272919F"/>
    <w:multiLevelType w:val="hybridMultilevel"/>
    <w:lvl w:ilvl="0">
      <w:lvlJc w:val="left"/>
      <w:lvlText w:val="(%1)"/>
      <w:numFmt w:val="lowerLetter"/>
      <w:start w:val="2"/>
    </w:lvl>
  </w:abstractNum>
  <w:abstractNum w:abstractNumId="569">
    <w:nsid w:val="127DED1D"/>
    <w:multiLevelType w:val="hybridMultilevel"/>
    <w:lvl w:ilvl="0">
      <w:lvlJc w:val="left"/>
      <w:lvlText w:val="%1."/>
      <w:numFmt w:val="decimal"/>
      <w:start w:val="8"/>
    </w:lvl>
  </w:abstractNum>
  <w:abstractNum w:abstractNumId="570">
    <w:nsid w:val="483966AA"/>
    <w:multiLevelType w:val="hybridMultilevel"/>
    <w:lvl w:ilvl="0">
      <w:lvlJc w:val="left"/>
      <w:lvlText w:val="(%1)"/>
      <w:numFmt w:val="lowerLetter"/>
      <w:start w:val="4"/>
    </w:lvl>
  </w:abstractNum>
  <w:abstractNum w:abstractNumId="571">
    <w:nsid w:val="667FC831"/>
    <w:multiLevelType w:val="hybridMultilevel"/>
    <w:lvl w:ilvl="0">
      <w:lvlJc w:val="left"/>
      <w:lvlText w:val="%1."/>
      <w:numFmt w:val="decimal"/>
      <w:start w:val="9"/>
    </w:lvl>
  </w:abstractNum>
  <w:abstractNum w:abstractNumId="572">
    <w:nsid w:val="34ADB582"/>
    <w:multiLevelType w:val="hybridMultilevel"/>
    <w:lvl w:ilvl="0">
      <w:lvlJc w:val="left"/>
      <w:lvlText w:val="(%1)"/>
      <w:numFmt w:val="lowerRoman"/>
      <w:start w:val="2"/>
    </w:lvl>
  </w:abstractNum>
  <w:abstractNum w:abstractNumId="573">
    <w:nsid w:val="4CB58EA4"/>
    <w:multiLevelType w:val="hybridMultilevel"/>
    <w:lvl w:ilvl="0">
      <w:lvlJc w:val="left"/>
      <w:lvlText w:val="(%1)"/>
      <w:numFmt w:val="lowerLetter"/>
      <w:start w:val="1"/>
    </w:lvl>
  </w:abstractNum>
  <w:abstractNum w:abstractNumId="574">
    <w:nsid w:val="39629FFA"/>
    <w:multiLevelType w:val="hybridMultilevel"/>
    <w:lvl w:ilvl="0">
      <w:lvlJc w:val="left"/>
      <w:lvlText w:val="%1."/>
      <w:numFmt w:val="decimal"/>
      <w:start w:val="10"/>
    </w:lvl>
  </w:abstractNum>
  <w:abstractNum w:abstractNumId="575">
    <w:nsid w:val="71F94ADC"/>
    <w:multiLevelType w:val="hybridMultilevel"/>
    <w:lvl w:ilvl="0">
      <w:lvlJc w:val="left"/>
      <w:lvlText w:val="%1."/>
      <w:numFmt w:val="decimal"/>
      <w:start w:val="11"/>
    </w:lvl>
  </w:abstractNum>
  <w:abstractNum w:abstractNumId="576">
    <w:nsid w:val="27FFB15A"/>
    <w:multiLevelType w:val="hybridMultilevel"/>
    <w:lvl w:ilvl="0">
      <w:lvlJc w:val="left"/>
      <w:lvlText w:val="%1."/>
      <w:numFmt w:val="decimal"/>
      <w:start w:val="12"/>
    </w:lvl>
  </w:abstractNum>
  <w:abstractNum w:abstractNumId="577">
    <w:nsid w:val="48BE573"/>
    <w:multiLevelType w:val="hybridMultilevel"/>
    <w:lvl w:ilvl="0">
      <w:lvlJc w:val="left"/>
      <w:lvlText w:val="(%1)"/>
      <w:numFmt w:val="lowerLetter"/>
      <w:start w:val="1"/>
    </w:lvl>
  </w:abstractNum>
  <w:abstractNum w:abstractNumId="578">
    <w:nsid w:val="142AC06C"/>
    <w:multiLevelType w:val="hybridMultilevel"/>
    <w:lvl w:ilvl="0">
      <w:lvlJc w:val="left"/>
      <w:lvlText w:val="(%1)"/>
      <w:numFmt w:val="lowerLetter"/>
      <w:start w:val="3"/>
    </w:lvl>
  </w:abstractNum>
  <w:abstractNum w:abstractNumId="579">
    <w:nsid w:val="5FA54049"/>
    <w:multiLevelType w:val="hybridMultilevel"/>
    <w:lvl w:ilvl="0">
      <w:lvlJc w:val="left"/>
      <w:lvlText w:val="%1."/>
      <w:numFmt w:val="decimal"/>
      <w:start w:val="16"/>
    </w:lvl>
  </w:abstractNum>
  <w:abstractNum w:abstractNumId="580">
    <w:nsid w:val="2CBE7670"/>
    <w:multiLevelType w:val="hybridMultilevel"/>
    <w:lvl w:ilvl="0">
      <w:lvlJc w:val="left"/>
      <w:lvlText w:val="%1."/>
      <w:numFmt w:val="decimal"/>
      <w:start w:val="18"/>
    </w:lvl>
  </w:abstractNum>
  <w:abstractNum w:abstractNumId="581">
    <w:nsid w:val="5D86CF11"/>
    <w:multiLevelType w:val="hybridMultilevel"/>
    <w:lvl w:ilvl="0">
      <w:lvlJc w:val="left"/>
      <w:lvlText w:val="(%1)"/>
      <w:numFmt w:val="lowerRoman"/>
      <w:start w:val="9"/>
    </w:lvl>
  </w:abstractNum>
  <w:abstractNum w:abstractNumId="582">
    <w:nsid w:val="69EF4674"/>
    <w:multiLevelType w:val="hybridMultilevel"/>
    <w:lvl w:ilvl="0">
      <w:lvlJc w:val="left"/>
      <w:lvlText w:val="(%1)"/>
      <w:numFmt w:val="decimal"/>
      <w:start w:val="35"/>
    </w:lvl>
  </w:abstractNum>
  <w:abstractNum w:abstractNumId="583">
    <w:nsid w:val="68ABEFB0"/>
    <w:multiLevelType w:val="hybridMultilevel"/>
    <w:lvl w:ilvl="0">
      <w:lvlJc w:val="left"/>
      <w:lvlText w:val="%1."/>
      <w:numFmt w:val="decimal"/>
      <w:start w:val="1"/>
    </w:lvl>
  </w:abstractNum>
  <w:abstractNum w:abstractNumId="584">
    <w:nsid w:val="326C3C76"/>
    <w:multiLevelType w:val="hybridMultilevel"/>
    <w:lvl w:ilvl="0">
      <w:lvlJc w:val="left"/>
      <w:lvlText w:val="%1."/>
      <w:numFmt w:val="decimal"/>
      <w:start w:val="2"/>
    </w:lvl>
  </w:abstractNum>
  <w:abstractNum w:abstractNumId="585">
    <w:nsid w:val="58A36FCA"/>
    <w:multiLevelType w:val="hybridMultilevel"/>
    <w:lvl w:ilvl="0">
      <w:lvlJc w:val="left"/>
      <w:lvlText w:val="%1."/>
      <w:numFmt w:val="decimal"/>
      <w:start w:val="1"/>
    </w:lvl>
  </w:abstractNum>
  <w:abstractNum w:abstractNumId="586">
    <w:nsid w:val="129B95F2"/>
    <w:multiLevelType w:val="hybridMultilevel"/>
    <w:lvl w:ilvl="0">
      <w:lvlJc w:val="left"/>
      <w:lvlText w:val="%1."/>
      <w:numFmt w:val="decimal"/>
      <w:start w:val="2"/>
    </w:lvl>
  </w:abstractNum>
  <w:abstractNum w:abstractNumId="587">
    <w:nsid w:val="309FB9AB"/>
    <w:multiLevelType w:val="hybridMultilevel"/>
    <w:lvl w:ilvl="0">
      <w:lvlJc w:val="left"/>
      <w:lvlText w:val="%1."/>
      <w:numFmt w:val="decimal"/>
      <w:start w:val="1"/>
    </w:lvl>
    <w:lvl w:ilvl="1">
      <w:lvlJc w:val="left"/>
      <w:lvlText w:val="(%2)"/>
      <w:numFmt w:val="lowerLetter"/>
      <w:start w:val="1"/>
    </w:lvl>
  </w:abstractNum>
  <w:abstractNum w:abstractNumId="588">
    <w:nsid w:val="782FF375"/>
    <w:multiLevelType w:val="hybridMultilevel"/>
    <w:lvl w:ilvl="0">
      <w:lvlJc w:val="left"/>
      <w:lvlText w:val="%1"/>
      <w:numFmt w:val="decimal"/>
      <w:start w:val="1"/>
    </w:lvl>
    <w:lvl w:ilvl="1">
      <w:lvlJc w:val="left"/>
      <w:lvlText w:val="(%2)"/>
      <w:numFmt w:val="lowerLetter"/>
      <w:start w:val="3"/>
    </w:lvl>
  </w:abstractNum>
  <w:abstractNum w:abstractNumId="589">
    <w:nsid w:val="2B8FA025"/>
    <w:multiLevelType w:val="hybridMultilevel"/>
    <w:lvl w:ilvl="0">
      <w:lvlJc w:val="left"/>
      <w:lvlText w:val="%1."/>
      <w:numFmt w:val="decimal"/>
      <w:start w:val="5"/>
    </w:lvl>
    <w:lvl w:ilvl="1">
      <w:lvlJc w:val="left"/>
      <w:lvlText w:val="%2"/>
      <w:numFmt w:val="lowerLetter"/>
      <w:start w:val="1"/>
    </w:lvl>
  </w:abstractNum>
  <w:abstractNum w:abstractNumId="590">
    <w:nsid w:val="40F9991C"/>
    <w:multiLevelType w:val="hybridMultilevel"/>
    <w:lvl w:ilvl="0">
      <w:lvlJc w:val="left"/>
      <w:lvlText w:val="(%1)"/>
      <w:numFmt w:val="lowerLetter"/>
      <w:start w:val="1"/>
    </w:lvl>
  </w:abstractNum>
  <w:abstractNum w:abstractNumId="591">
    <w:nsid w:val="52192AD"/>
    <w:multiLevelType w:val="hybridMultilevel"/>
    <w:lvl w:ilvl="0">
      <w:lvlJc w:val="left"/>
      <w:lvlText w:val="%1."/>
      <w:numFmt w:val="decimal"/>
      <w:start w:val="9"/>
    </w:lvl>
  </w:abstractNum>
  <w:abstractNum w:abstractNumId="592">
    <w:nsid w:val="7670D608"/>
    <w:multiLevelType w:val="hybridMultilevel"/>
    <w:lvl w:ilvl="0">
      <w:lvlJc w:val="left"/>
      <w:lvlText w:val="%1."/>
      <w:numFmt w:val="decimal"/>
      <w:start w:val="16"/>
    </w:lvl>
  </w:abstractNum>
  <w:abstractNum w:abstractNumId="593">
    <w:nsid w:val="48B6B6EB"/>
    <w:multiLevelType w:val="hybridMultilevel"/>
    <w:lvl w:ilvl="0">
      <w:lvlJc w:val="left"/>
      <w:lvlText w:val="%1."/>
      <w:numFmt w:val="decimal"/>
      <w:start w:val="1"/>
    </w:lvl>
  </w:abstractNum>
  <w:abstractNum w:abstractNumId="594">
    <w:nsid w:val="FB37489"/>
    <w:multiLevelType w:val="hybridMultilevel"/>
    <w:lvl w:ilvl="0">
      <w:lvlJc w:val="left"/>
      <w:lvlText w:val="%1."/>
      <w:numFmt w:val="decimal"/>
      <w:start w:val="2"/>
    </w:lvl>
  </w:abstractNum>
  <w:abstractNum w:abstractNumId="595">
    <w:nsid w:val="8A75F95"/>
    <w:multiLevelType w:val="hybridMultilevel"/>
    <w:lvl w:ilvl="0">
      <w:lvlJc w:val="left"/>
      <w:lvlText w:val="%1."/>
      <w:numFmt w:val="decimal"/>
      <w:start w:val="3"/>
    </w:lvl>
    <w:lvl w:ilvl="1">
      <w:lvlJc w:val="left"/>
      <w:lvlText w:val="(%2)"/>
      <w:numFmt w:val="lowerLetter"/>
      <w:start w:val="1"/>
    </w:lvl>
  </w:abstractNum>
  <w:abstractNum w:abstractNumId="596">
    <w:nsid w:val="2B27BF4D"/>
    <w:multiLevelType w:val="hybridMultilevel"/>
    <w:lvl w:ilvl="0">
      <w:lvlJc w:val="left"/>
      <w:lvlText w:val="%1."/>
      <w:numFmt w:val="decimal"/>
      <w:start w:val="4"/>
    </w:lvl>
    <w:lvl w:ilvl="1">
      <w:lvlJc w:val="left"/>
      <w:lvlText w:val="(%2)"/>
      <w:numFmt w:val="lowerLetter"/>
      <w:start w:val="1"/>
    </w:lvl>
  </w:abstractNum>
  <w:abstractNum w:abstractNumId="597">
    <w:nsid w:val="E5CBEB4"/>
    <w:multiLevelType w:val="hybridMultilevel"/>
    <w:lvl w:ilvl="0">
      <w:lvlJc w:val="left"/>
      <w:lvlText w:val="(%1)"/>
      <w:numFmt w:val="lowerLetter"/>
      <w:start w:val="3"/>
    </w:lvl>
  </w:abstractNum>
  <w:abstractNum w:abstractNumId="598">
    <w:nsid w:val="297BFD3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99">
    <w:nsid w:val="D9A50E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00">
    <w:nsid w:val="20DAABD1"/>
    <w:multiLevelType w:val="hybridMultilevel"/>
    <w:lvl w:ilvl="0">
      <w:lvlJc w:val="left"/>
      <w:lvlText w:val="(%1)"/>
      <w:numFmt w:val="lowerLetter"/>
      <w:start w:val="2"/>
    </w:lvl>
    <w:lvl w:ilvl="1">
      <w:lvlJc w:val="left"/>
      <w:lvlText w:val="(%2)"/>
      <w:numFmt w:val="lowerRoman"/>
      <w:start w:val="1"/>
    </w:lvl>
  </w:abstractNum>
  <w:abstractNum w:abstractNumId="601">
    <w:nsid w:val="71B563E3"/>
    <w:multiLevelType w:val="hybridMultilevel"/>
    <w:lvl w:ilvl="0">
      <w:lvlJc w:val="left"/>
      <w:lvlText w:val="%1."/>
      <w:numFmt w:val="decimal"/>
      <w:start w:val="7"/>
    </w:lvl>
  </w:abstractNum>
  <w:abstractNum w:abstractNumId="602">
    <w:nsid w:val="741A191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603">
    <w:nsid w:val="55886153"/>
    <w:multiLevelType w:val="hybridMultilevel"/>
    <w:lvl w:ilvl="0">
      <w:lvlJc w:val="left"/>
      <w:lvlText w:val="(%1)"/>
      <w:numFmt w:val="lowerRoman"/>
      <w:start w:val="2"/>
    </w:lvl>
  </w:abstractNum>
  <w:abstractNum w:abstractNumId="604">
    <w:nsid w:val="3E6AF287"/>
    <w:multiLevelType w:val="hybridMultilevel"/>
    <w:lvl w:ilvl="0">
      <w:lvlJc w:val="left"/>
      <w:lvlText w:val="%1."/>
      <w:numFmt w:val="decimal"/>
      <w:start w:val="9"/>
    </w:lvl>
    <w:lvl w:ilvl="1">
      <w:lvlJc w:val="left"/>
      <w:lvlText w:val="(%2)"/>
      <w:numFmt w:val="lowerLetter"/>
      <w:start w:val="1"/>
    </w:lvl>
  </w:abstractNum>
  <w:abstractNum w:abstractNumId="605">
    <w:nsid w:val="2D7CB919"/>
    <w:multiLevelType w:val="hybridMultilevel"/>
    <w:lvl w:ilvl="0">
      <w:lvlJc w:val="left"/>
      <w:lvlText w:val="(%1)"/>
      <w:numFmt w:val="lowerLetter"/>
      <w:start w:val="3"/>
    </w:lvl>
    <w:lvl w:ilvl="1">
      <w:lvlJc w:val="left"/>
      <w:lvlText w:val="(%2)"/>
      <w:numFmt w:val="lowerRoman"/>
      <w:start w:val="1"/>
    </w:lvl>
  </w:abstractNum>
  <w:abstractNum w:abstractNumId="606">
    <w:nsid w:val="4781AC2F"/>
    <w:multiLevelType w:val="hybridMultilevel"/>
    <w:lvl w:ilvl="0">
      <w:lvlJc w:val="left"/>
      <w:lvlText w:val="%1"/>
      <w:numFmt w:val="decimal"/>
      <w:start w:val="1"/>
    </w:lvl>
    <w:lvl w:ilvl="1">
      <w:lvlJc w:val="left"/>
      <w:lvlText w:val="(%2)"/>
      <w:numFmt w:val="lowerLetter"/>
      <w:start w:val="8"/>
    </w:lvl>
  </w:abstractNum>
  <w:abstractNum w:abstractNumId="607">
    <w:nsid w:val="666AA3E1"/>
    <w:multiLevelType w:val="hybridMultilevel"/>
    <w:lvl w:ilvl="0">
      <w:lvlJc w:val="left"/>
      <w:lvlText w:val="%1."/>
      <w:numFmt w:val="decimal"/>
      <w:start w:val="10"/>
    </w:lvl>
    <w:lvl w:ilvl="1">
      <w:lvlJc w:val="left"/>
      <w:lvlText w:val="(%2)"/>
      <w:numFmt w:val="lowerLetter"/>
      <w:start w:val="1"/>
    </w:lvl>
  </w:abstractNum>
  <w:abstractNum w:abstractNumId="608">
    <w:nsid w:val="32089E8C"/>
    <w:multiLevelType w:val="hybridMultilevel"/>
    <w:lvl w:ilvl="0">
      <w:lvlJc w:val="left"/>
      <w:lvlText w:val="(%1)"/>
      <w:numFmt w:val="lowerLetter"/>
      <w:start w:val="6"/>
    </w:lvl>
  </w:abstractNum>
  <w:abstractNum w:abstractNumId="609">
    <w:nsid w:val="5BAC6C9C"/>
    <w:multiLevelType w:val="hybridMultilevel"/>
    <w:lvl w:ilvl="0">
      <w:lvlJc w:val="left"/>
      <w:lvlText w:val="(%1)"/>
      <w:numFmt w:val="lowerRoman"/>
      <w:start w:val="1"/>
    </w:lvl>
  </w:abstractNum>
  <w:abstractNum w:abstractNumId="610">
    <w:nsid w:val="460FE42B"/>
    <w:multiLevelType w:val="hybridMultilevel"/>
    <w:lvl w:ilvl="0">
      <w:lvlJc w:val="left"/>
      <w:lvlText w:val="%1."/>
      <w:numFmt w:val="decimal"/>
      <w:start w:val="1"/>
    </w:lvl>
    <w:lvl w:ilvl="1">
      <w:lvlJc w:val="left"/>
      <w:lvlText w:val="(%2)"/>
      <w:numFmt w:val="lowerLetter"/>
      <w:start w:val="1"/>
    </w:lvl>
  </w:abstractNum>
  <w:abstractNum w:abstractNumId="611">
    <w:nsid w:val="5EC714FC"/>
    <w:multiLevelType w:val="hybridMultilevel"/>
    <w:lvl w:ilvl="0">
      <w:lvlJc w:val="left"/>
      <w:lvlText w:val="%1."/>
      <w:numFmt w:val="decimal"/>
      <w:start w:val="2"/>
    </w:lvl>
    <w:lvl w:ilvl="1">
      <w:lvlJc w:val="left"/>
      <w:lvlText w:val="(%2)"/>
      <w:numFmt w:val="lowerLetter"/>
      <w:start w:val="1"/>
    </w:lvl>
  </w:abstractNum>
  <w:abstractNum w:abstractNumId="612">
    <w:nsid w:val="39333BAD"/>
    <w:multiLevelType w:val="hybridMultilevel"/>
    <w:lvl w:ilvl="0">
      <w:lvlJc w:val="left"/>
      <w:lvlText w:val="%1."/>
      <w:numFmt w:val="decimal"/>
      <w:start w:val="4"/>
    </w:lvl>
  </w:abstractNum>
  <w:abstractNum w:abstractNumId="613">
    <w:nsid w:val="2FFF2A9F"/>
    <w:multiLevelType w:val="hybridMultilevel"/>
    <w:lvl w:ilvl="0">
      <w:lvlJc w:val="left"/>
      <w:lvlText w:val="%1."/>
      <w:numFmt w:val="decimal"/>
      <w:start w:val="5"/>
    </w:lvl>
  </w:abstractNum>
  <w:abstractNum w:abstractNumId="614">
    <w:nsid w:val="477304AC"/>
    <w:multiLevelType w:val="hybridMultilevel"/>
    <w:lvl w:ilvl="0">
      <w:lvlJc w:val="left"/>
      <w:lvlText w:val="%1."/>
      <w:numFmt w:val="decimal"/>
      <w:start w:val="6"/>
    </w:lvl>
  </w:abstractNum>
  <w:abstractNum w:abstractNumId="615">
    <w:nsid w:val="6B9F7823"/>
    <w:multiLevelType w:val="hybridMultilevel"/>
    <w:lvl w:ilvl="0">
      <w:lvlJc w:val="left"/>
      <w:lvlText w:val="%1."/>
      <w:numFmt w:val="decimal"/>
      <w:start w:val="7"/>
    </w:lvl>
  </w:abstractNum>
  <w:abstractNum w:abstractNumId="616">
    <w:nsid w:val="8A29A69"/>
    <w:multiLevelType w:val="hybridMultilevel"/>
    <w:lvl w:ilvl="0">
      <w:lvlJc w:val="left"/>
      <w:lvlText w:val="%1."/>
      <w:numFmt w:val="decimal"/>
      <w:start w:val="1"/>
    </w:lvl>
  </w:abstractNum>
  <w:abstractNum w:abstractNumId="617">
    <w:nsid w:val="5A0E9A9F"/>
    <w:multiLevelType w:val="hybridMultilevel"/>
    <w:lvl w:ilvl="0">
      <w:lvlJc w:val="left"/>
      <w:lvlText w:val="%1."/>
      <w:numFmt w:val="decimal"/>
      <w:start w:val="4"/>
    </w:lvl>
  </w:abstractNum>
  <w:abstractNum w:abstractNumId="618">
    <w:nsid w:val="1C3F31CE"/>
    <w:multiLevelType w:val="hybridMultilevel"/>
    <w:lvl w:ilvl="0">
      <w:lvlJc w:val="left"/>
      <w:lvlText w:val="%1."/>
      <w:numFmt w:val="decimal"/>
      <w:start w:val="5"/>
    </w:lvl>
  </w:abstractNum>
  <w:abstractNum w:abstractNumId="619">
    <w:nsid w:val="D28DDE"/>
    <w:multiLevelType w:val="hybridMultilevel"/>
    <w:lvl w:ilvl="0">
      <w:lvlJc w:val="left"/>
      <w:lvlText w:val="%1."/>
      <w:numFmt w:val="decimal"/>
      <w:start w:val="8"/>
    </w:lvl>
  </w:abstractNum>
  <w:abstractNum w:abstractNumId="620">
    <w:nsid w:val="59E3AC4"/>
    <w:multiLevelType w:val="hybridMultilevel"/>
    <w:lvl w:ilvl="0">
      <w:lvlJc w:val="left"/>
      <w:lvlText w:val="%1."/>
      <w:numFmt w:val="decimal"/>
      <w:start w:val="9"/>
    </w:lvl>
  </w:abstractNum>
  <w:abstractNum w:abstractNumId="621">
    <w:nsid w:val="5D38CAEA"/>
    <w:multiLevelType w:val="hybridMultilevel"/>
    <w:lvl w:ilvl="0">
      <w:lvlJc w:val="left"/>
      <w:lvlText w:val="%1."/>
      <w:numFmt w:val="decimal"/>
      <w:start w:val="1"/>
    </w:lvl>
  </w:abstractNum>
  <w:abstractNum w:abstractNumId="622">
    <w:nsid w:val="5F4208C"/>
    <w:multiLevelType w:val="hybridMultilevel"/>
    <w:lvl w:ilvl="0">
      <w:lvlJc w:val="left"/>
      <w:lvlText w:val="%1."/>
      <w:numFmt w:val="decimal"/>
      <w:start w:val="1"/>
    </w:lvl>
    <w:lvl w:ilvl="1">
      <w:lvlJc w:val="left"/>
      <w:lvlText w:val="•"/>
      <w:numFmt w:val="bullet"/>
      <w:start w:val="1"/>
    </w:lvl>
  </w:abstractNum>
  <w:abstractNum w:abstractNumId="623">
    <w:nsid w:val="7C0F10CC"/>
    <w:multiLevelType w:val="hybridMultilevel"/>
    <w:lvl w:ilvl="0">
      <w:lvlJc w:val="left"/>
      <w:lvlText w:val="(%1)"/>
      <w:numFmt w:val="lowerLetter"/>
      <w:start w:val="1"/>
    </w:lvl>
  </w:abstractNum>
  <w:abstractNum w:abstractNumId="624">
    <w:nsid w:val="25EF81D5"/>
    <w:multiLevelType w:val="hybridMultilevel"/>
    <w:lvl w:ilvl="0">
      <w:lvlJc w:val="left"/>
      <w:lvlText w:val="(%1)"/>
      <w:numFmt w:val="lowerLetter"/>
      <w:start w:val="2"/>
    </w:lvl>
  </w:abstractNum>
  <w:abstractNum w:abstractNumId="625">
    <w:nsid w:val="15A79515"/>
    <w:multiLevelType w:val="hybridMultilevel"/>
    <w:lvl w:ilvl="0">
      <w:lvlJc w:val="left"/>
      <w:lvlText w:val="%1."/>
      <w:numFmt w:val="decimal"/>
      <w:start w:val="3"/>
    </w:lvl>
  </w:abstractNum>
  <w:abstractNum w:abstractNumId="626">
    <w:nsid w:val="4B67062"/>
    <w:multiLevelType w:val="hybridMultilevel"/>
    <w:lvl w:ilvl="0">
      <w:lvlJc w:val="left"/>
      <w:lvlText w:val="(%1)"/>
      <w:numFmt w:val="lowerLetter"/>
      <w:start w:val="1"/>
    </w:lvl>
  </w:abstractNum>
  <w:abstractNum w:abstractNumId="627">
    <w:nsid w:val="51174123"/>
    <w:multiLevelType w:val="hybridMultilevel"/>
    <w:lvl w:ilvl="0">
      <w:lvlJc w:val="left"/>
      <w:lvlText w:val="(%1)"/>
      <w:numFmt w:val="lowerLetter"/>
      <w:start w:val="2"/>
    </w:lvl>
  </w:abstractNum>
  <w:abstractNum w:abstractNumId="628">
    <w:nsid w:val="240453CA"/>
    <w:multiLevelType w:val="hybridMultilevel"/>
    <w:lvl w:ilvl="0">
      <w:lvlJc w:val="left"/>
      <w:lvlText w:val="%1."/>
      <w:numFmt w:val="decimal"/>
      <w:start w:val="4"/>
    </w:lvl>
  </w:abstractNum>
  <w:abstractNum w:abstractNumId="629">
    <w:nsid w:val="2E326D9A"/>
    <w:multiLevelType w:val="hybridMultilevel"/>
    <w:lvl w:ilvl="0">
      <w:lvlJc w:val="left"/>
      <w:lvlText w:val="(%1)"/>
      <w:numFmt w:val="lowerLetter"/>
      <w:start w:val="1"/>
    </w:lvl>
  </w:abstractNum>
  <w:abstractNum w:abstractNumId="630">
    <w:nsid w:val="5EB19210"/>
    <w:multiLevelType w:val="hybridMultilevel"/>
    <w:lvl w:ilvl="0">
      <w:lvlJc w:val="left"/>
      <w:lvlText w:val="(%1)"/>
      <w:numFmt w:val="lowerLetter"/>
      <w:start w:val="1"/>
    </w:lvl>
  </w:abstractNum>
  <w:abstractNum w:abstractNumId="631">
    <w:nsid w:val="44DEFF9B"/>
    <w:multiLevelType w:val="hybridMultilevel"/>
    <w:lvl w:ilvl="0">
      <w:lvlJc w:val="left"/>
      <w:lvlText w:val="(%1)"/>
      <w:numFmt w:val="lowerLetter"/>
      <w:start w:val="4"/>
    </w:lvl>
  </w:abstractNum>
  <w:abstractNum w:abstractNumId="632">
    <w:nsid w:val="1FE7D17D"/>
    <w:multiLevelType w:val="hybridMultilevel"/>
    <w:lvl w:ilvl="0">
      <w:lvlJc w:val="left"/>
      <w:lvlText w:val="(%1)"/>
      <w:numFmt w:val="lowerLetter"/>
      <w:start w:val="7"/>
    </w:lvl>
  </w:abstractNum>
  <w:abstractNum w:abstractNumId="633">
    <w:nsid w:val="52CBAB2E"/>
    <w:multiLevelType w:val="hybridMultilevel"/>
    <w:lvl w:ilvl="0">
      <w:lvlJc w:val="left"/>
      <w:lvlText w:val="(%1)"/>
      <w:numFmt w:val="lowerLetter"/>
      <w:start w:val="1"/>
    </w:lvl>
  </w:abstractNum>
  <w:abstractNum w:abstractNumId="634">
    <w:nsid w:val="1A6760EF"/>
    <w:multiLevelType w:val="hybridMultilevel"/>
    <w:lvl w:ilvl="0">
      <w:lvlJc w:val="left"/>
      <w:lvlText w:val="(%1)"/>
      <w:numFmt w:val="lowerLetter"/>
      <w:start w:val="1"/>
    </w:lvl>
  </w:abstractNum>
  <w:abstractNum w:abstractNumId="635">
    <w:nsid w:val="5E52C405"/>
    <w:multiLevelType w:val="hybridMultilevel"/>
    <w:lvl w:ilvl="0">
      <w:lvlJc w:val="left"/>
      <w:lvlText w:val="(%1)"/>
      <w:numFmt w:val="lowerLetter"/>
      <w:start w:val="2"/>
    </w:lvl>
  </w:abstractNum>
  <w:abstractNum w:abstractNumId="636">
    <w:nsid w:val="486447"/>
    <w:multiLevelType w:val="hybridMultilevel"/>
    <w:lvl w:ilvl="0">
      <w:lvlJc w:val="left"/>
      <w:lvlText w:val="(%1)"/>
      <w:numFmt w:val="lowerLetter"/>
      <w:start w:val="1"/>
    </w:lvl>
  </w:abstractNum>
  <w:abstractNum w:abstractNumId="637">
    <w:nsid w:val="61E90D1E"/>
    <w:multiLevelType w:val="hybridMultilevel"/>
    <w:lvl w:ilvl="0">
      <w:lvlJc w:val="left"/>
      <w:lvlText w:val="(%1)"/>
      <w:numFmt w:val="lowerLetter"/>
      <w:start w:val="2"/>
    </w:lvl>
  </w:abstractNum>
  <w:abstractNum w:abstractNumId="638">
    <w:nsid w:val="44BD67E6"/>
    <w:multiLevelType w:val="hybridMultilevel"/>
    <w:lvl w:ilvl="0">
      <w:lvlJc w:val="left"/>
      <w:lvlText w:val="(%1)"/>
      <w:numFmt w:val="lowerLetter"/>
      <w:start w:val="6"/>
    </w:lvl>
  </w:abstractNum>
  <w:abstractNum w:abstractNumId="639">
    <w:nsid w:val="325102D3"/>
    <w:multiLevelType w:val="hybridMultilevel"/>
    <w:lvl w:ilvl="0">
      <w:lvlJc w:val="left"/>
      <w:lvlText w:val="%1."/>
      <w:numFmt w:val="decimal"/>
      <w:start w:val="1"/>
    </w:lvl>
    <w:lvl w:ilvl="1">
      <w:lvlJc w:val="left"/>
      <w:lvlText w:val="(%2)"/>
      <w:numFmt w:val="lowerLetter"/>
      <w:start w:val="1"/>
    </w:lvl>
  </w:abstractNum>
  <w:abstractNum w:abstractNumId="640">
    <w:nsid w:val="3D9579BA"/>
    <w:multiLevelType w:val="hybridMultilevel"/>
    <w:lvl w:ilvl="0">
      <w:lvlJc w:val="left"/>
      <w:lvlText w:val="%1."/>
      <w:numFmt w:val="decimal"/>
      <w:start w:val="2"/>
    </w:lvl>
    <w:lvl w:ilvl="1">
      <w:lvlJc w:val="left"/>
      <w:lvlText w:val="(%2)"/>
      <w:numFmt w:val="lowerLetter"/>
      <w:start w:val="1"/>
    </w:lvl>
  </w:abstractNum>
  <w:abstractNum w:abstractNumId="641">
    <w:nsid w:val="ACD4C11"/>
    <w:multiLevelType w:val="hybridMultilevel"/>
    <w:lvl w:ilvl="0">
      <w:lvlJc w:val="left"/>
      <w:lvlText w:val="%1."/>
      <w:numFmt w:val="decimal"/>
      <w:start w:val="3"/>
    </w:lvl>
    <w:lvl w:ilvl="1">
      <w:lvlJc w:val="left"/>
      <w:lvlText w:val="(%2)"/>
      <w:numFmt w:val="lowerLetter"/>
      <w:start w:val="1"/>
    </w:lvl>
  </w:abstractNum>
  <w:abstractNum w:abstractNumId="642">
    <w:nsid w:val="111817CF"/>
    <w:multiLevelType w:val="hybridMultilevel"/>
    <w:lvl w:ilvl="0">
      <w:lvlJc w:val="left"/>
      <w:lvlText w:val="%1."/>
      <w:numFmt w:val="decimal"/>
      <w:start w:val="4"/>
    </w:lvl>
  </w:abstractNum>
  <w:abstractNum w:abstractNumId="643">
    <w:nsid w:val="76C8B568"/>
    <w:multiLevelType w:val="hybridMultilevel"/>
    <w:lvl w:ilvl="0">
      <w:lvlJc w:val="left"/>
      <w:lvlText w:val="(%1)"/>
      <w:numFmt w:val="lowerLetter"/>
      <w:start w:val="1"/>
    </w:lvl>
  </w:abstractNum>
  <w:abstractNum w:abstractNumId="644">
    <w:nsid w:val="3ACC76B1"/>
    <w:multiLevelType w:val="hybridMultilevel"/>
    <w:lvl w:ilvl="0">
      <w:lvlJc w:val="left"/>
      <w:lvlText w:val="%1"/>
      <w:numFmt w:val="decimal"/>
      <w:start w:val="1"/>
    </w:lvl>
    <w:lvl w:ilvl="1">
      <w:lvlJc w:val="left"/>
      <w:lvlText w:val="(%2)"/>
      <w:numFmt w:val="lowerLetter"/>
      <w:start w:val="4"/>
    </w:lvl>
  </w:abstractNum>
  <w:abstractNum w:abstractNumId="645">
    <w:nsid w:val="588B1C7C"/>
    <w:multiLevelType w:val="hybridMultilevel"/>
    <w:lvl w:ilvl="0">
      <w:lvlJc w:val="left"/>
      <w:lvlText w:val="%1."/>
      <w:numFmt w:val="decimal"/>
      <w:start w:val="6"/>
    </w:lvl>
    <w:lvl w:ilvl="1">
      <w:lvlJc w:val="left"/>
      <w:lvlText w:val="(%2)"/>
      <w:numFmt w:val="lowerLetter"/>
      <w:start w:val="1"/>
    </w:lvl>
  </w:abstractNum>
  <w:abstractNum w:abstractNumId="646">
    <w:nsid w:val="62682D8B"/>
    <w:multiLevelType w:val="hybridMultilevel"/>
    <w:lvl w:ilvl="0">
      <w:lvlJc w:val="left"/>
      <w:lvlText w:val="%1."/>
      <w:numFmt w:val="decimal"/>
      <w:start w:val="8"/>
    </w:lvl>
    <w:lvl w:ilvl="1">
      <w:lvlJc w:val="left"/>
      <w:lvlText w:val="(%2)"/>
      <w:numFmt w:val="lowerLetter"/>
      <w:start w:val="1"/>
    </w:lvl>
  </w:abstractNum>
  <w:abstractNum w:abstractNumId="647">
    <w:nsid w:val="436F111A"/>
    <w:multiLevelType w:val="hybridMultilevel"/>
    <w:lvl w:ilvl="0">
      <w:lvlJc w:val="left"/>
      <w:lvlText w:val="%1"/>
      <w:numFmt w:val="decimal"/>
      <w:start w:val="21"/>
    </w:lvl>
    <w:lvl w:ilvl="1">
      <w:lvlJc w:val="left"/>
      <w:lvlText w:val="(%2)"/>
      <w:numFmt w:val="lowerLetter"/>
      <w:start w:val="2"/>
    </w:lvl>
  </w:abstractNum>
  <w:abstractNum w:abstractNumId="648">
    <w:nsid w:val="3299B71B"/>
    <w:multiLevelType w:val="hybridMultilevel"/>
    <w:lvl w:ilvl="0">
      <w:lvlJc w:val="left"/>
      <w:lvlText w:val="%1."/>
      <w:numFmt w:val="decimal"/>
      <w:start w:val="9"/>
    </w:lvl>
    <w:lvl w:ilvl="1">
      <w:lvlJc w:val="left"/>
      <w:lvlText w:val="%2"/>
      <w:numFmt w:val="lowerLetter"/>
      <w:start w:val="1"/>
    </w:lvl>
  </w:abstractNum>
  <w:abstractNum w:abstractNumId="649">
    <w:nsid w:val="7EA75F5A"/>
    <w:multiLevelType w:val="hybridMultilevel"/>
    <w:lvl w:ilvl="0">
      <w:lvlJc w:val="left"/>
      <w:lvlText w:val="%1."/>
      <w:numFmt w:val="decimal"/>
      <w:start w:val="10"/>
    </w:lvl>
  </w:abstractNum>
  <w:abstractNum w:abstractNumId="650">
    <w:nsid w:val="44419EF9"/>
    <w:multiLevelType w:val="hybridMultilevel"/>
    <w:lvl w:ilvl="0">
      <w:lvlJc w:val="left"/>
      <w:lvlText w:val="%1."/>
      <w:numFmt w:val="decimal"/>
      <w:start w:val="18"/>
    </w:lvl>
  </w:abstractNum>
  <w:abstractNum w:abstractNumId="651">
    <w:nsid w:val="3837F1DF"/>
    <w:multiLevelType w:val="hybridMultilevel"/>
    <w:lvl w:ilvl="0">
      <w:lvlJc w:val="left"/>
      <w:lvlText w:val="%1."/>
      <w:numFmt w:val="decimal"/>
      <w:start w:val="1"/>
    </w:lvl>
  </w:abstractNum>
  <w:abstractNum w:abstractNumId="652">
    <w:nsid w:val="5BE02A44"/>
    <w:multiLevelType w:val="hybridMultilevel"/>
    <w:lvl w:ilvl="0">
      <w:lvlJc w:val="left"/>
      <w:lvlText w:val="%1."/>
      <w:numFmt w:val="decimal"/>
      <w:start w:val="3"/>
    </w:lvl>
    <w:lvl w:ilvl="1">
      <w:lvlJc w:val="left"/>
      <w:lvlText w:val="(%2)"/>
      <w:numFmt w:val="lowerLetter"/>
      <w:start w:val="1"/>
    </w:lvl>
  </w:abstractNum>
  <w:abstractNum w:abstractNumId="653">
    <w:nsid w:val="4A35BF85"/>
    <w:multiLevelType w:val="hybridMultilevel"/>
    <w:lvl w:ilvl="0">
      <w:lvlJc w:val="left"/>
      <w:lvlText w:val="%1"/>
      <w:numFmt w:val="decimal"/>
      <w:start w:val="1"/>
    </w:lvl>
    <w:lvl w:ilvl="1">
      <w:lvlJc w:val="left"/>
      <w:lvlText w:val="(%2)"/>
      <w:numFmt w:val="lowerLetter"/>
      <w:start w:val="2"/>
    </w:lvl>
  </w:abstractNum>
  <w:abstractNum w:abstractNumId="654">
    <w:nsid w:val="344702AC"/>
    <w:multiLevelType w:val="hybridMultilevel"/>
    <w:lvl w:ilvl="0">
      <w:lvlJc w:val="left"/>
      <w:lvlText w:val="%1."/>
      <w:numFmt w:val="decimal"/>
      <w:start w:val="4"/>
    </w:lvl>
    <w:lvl w:ilvl="1">
      <w:lvlJc w:val="left"/>
      <w:lvlText w:val="%2"/>
      <w:numFmt w:val="lowerLetter"/>
      <w:start w:val="1"/>
    </w:lvl>
  </w:abstractNum>
  <w:abstractNum w:abstractNumId="655">
    <w:nsid w:val="1CFAC1A"/>
    <w:multiLevelType w:val="hybridMultilevel"/>
    <w:lvl w:ilvl="0">
      <w:lvlJc w:val="left"/>
      <w:lvlText w:val="%1."/>
      <w:numFmt w:val="decimal"/>
      <w:start w:val="6"/>
    </w:lvl>
  </w:abstractNum>
  <w:abstractNum w:abstractNumId="656">
    <w:nsid w:val="5FDD549A"/>
    <w:multiLevelType w:val="hybridMultilevel"/>
    <w:lvl w:ilvl="0">
      <w:lvlJc w:val="left"/>
      <w:lvlText w:val="%1."/>
      <w:numFmt w:val="decimal"/>
      <w:start w:val="9"/>
    </w:lvl>
  </w:abstractNum>
  <w:abstractNum w:abstractNumId="657">
    <w:nsid w:val="38FD730E"/>
    <w:multiLevelType w:val="hybridMultilevel"/>
    <w:lvl w:ilvl="0">
      <w:lvlJc w:val="left"/>
      <w:lvlText w:val="%1."/>
      <w:numFmt w:val="decimal"/>
      <w:start w:val="10"/>
    </w:lvl>
  </w:abstractNum>
  <w:abstractNum w:abstractNumId="658">
    <w:nsid w:val="52E6ED3D"/>
    <w:multiLevelType w:val="hybridMultilevel"/>
    <w:lvl w:ilvl="0">
      <w:lvlJc w:val="left"/>
      <w:lvlText w:val="(%1)"/>
      <w:numFmt w:val="lowerLetter"/>
      <w:start w:val="9"/>
    </w:lvl>
    <w:lvl w:ilvl="1">
      <w:lvlJc w:val="left"/>
      <w:lvlText w:val="(%2)"/>
      <w:numFmt w:val="lowerLetter"/>
      <w:start w:val="1"/>
    </w:lvl>
  </w:abstractNum>
  <w:abstractNum w:abstractNumId="659">
    <w:nsid w:val="3E1A864"/>
    <w:multiLevelType w:val="hybridMultilevel"/>
    <w:lvl w:ilvl="0">
      <w:lvlJc w:val="left"/>
      <w:lvlText w:val="(%1)"/>
      <w:numFmt w:val="lowerLetter"/>
      <w:start w:val="3"/>
    </w:lvl>
  </w:abstractNum>
  <w:abstractNum w:abstractNumId="660">
    <w:nsid w:val="672FE0A8"/>
    <w:multiLevelType w:val="hybridMultilevel"/>
    <w:lvl w:ilvl="0">
      <w:lvlJc w:val="left"/>
      <w:lvlText w:val="(%1)"/>
      <w:numFmt w:val="lowerRoman"/>
      <w:start w:val="1"/>
    </w:lvl>
  </w:abstractNum>
  <w:abstractNum w:abstractNumId="661">
    <w:nsid w:val="31987F4D"/>
    <w:multiLevelType w:val="hybridMultilevel"/>
    <w:lvl w:ilvl="0">
      <w:lvlJc w:val="left"/>
      <w:lvlText w:val="%1."/>
      <w:numFmt w:val="decimal"/>
      <w:start w:val="11"/>
    </w:lvl>
    <w:lvl w:ilvl="1">
      <w:lvlJc w:val="left"/>
      <w:lvlText w:val="(%2)"/>
      <w:numFmt w:val="lowerLetter"/>
      <w:start w:val="1"/>
    </w:lvl>
  </w:abstractNum>
  <w:abstractNum w:abstractNumId="662">
    <w:nsid w:val="48C0A800"/>
    <w:multiLevelType w:val="hybridMultilevel"/>
    <w:lvl w:ilvl="0">
      <w:lvlJc w:val="left"/>
      <w:lvlText w:val="%1."/>
      <w:numFmt w:val="decimal"/>
      <w:start w:val="12"/>
    </w:lvl>
    <w:lvl w:ilvl="1">
      <w:lvlJc w:val="left"/>
      <w:lvlText w:val="(%2)"/>
      <w:numFmt w:val="lowerLetter"/>
      <w:start w:val="1"/>
    </w:lvl>
  </w:abstractNum>
  <w:abstractNum w:abstractNumId="663">
    <w:nsid w:val="717B226"/>
    <w:multiLevelType w:val="hybridMultilevel"/>
    <w:lvl w:ilvl="0">
      <w:lvlJc w:val="left"/>
      <w:lvlText w:val="%1"/>
      <w:numFmt w:val="decimal"/>
      <w:start w:val="1"/>
    </w:lvl>
    <w:lvl w:ilvl="1">
      <w:lvlJc w:val="left"/>
      <w:lvlText w:val="(%2)"/>
      <w:numFmt w:val="lowerLetter"/>
      <w:start w:val="4"/>
    </w:lvl>
  </w:abstractNum>
  <w:abstractNum w:abstractNumId="664">
    <w:nsid w:val="4642A7B"/>
    <w:multiLevelType w:val="hybridMultilevel"/>
    <w:lvl w:ilvl="0">
      <w:lvlJc w:val="left"/>
      <w:lvlText w:val="%1."/>
      <w:numFmt w:val="decimal"/>
      <w:start w:val="13"/>
    </w:lvl>
    <w:lvl w:ilvl="1">
      <w:lvlJc w:val="left"/>
      <w:lvlText w:val="(%2)"/>
      <w:numFmt w:val="lowerLetter"/>
      <w:start w:val="1"/>
    </w:lvl>
  </w:abstractNum>
  <w:abstractNum w:abstractNumId="665">
    <w:nsid w:val="632808EF"/>
    <w:multiLevelType w:val="hybridMultilevel"/>
    <w:lvl w:ilvl="0">
      <w:lvlJc w:val="left"/>
      <w:lvlText w:val="(%1)"/>
      <w:numFmt w:val="lowerLetter"/>
      <w:start w:val="2"/>
    </w:lvl>
  </w:abstractNum>
  <w:abstractNum w:abstractNumId="666">
    <w:nsid w:val="656A762B"/>
    <w:multiLevelType w:val="hybridMultilevel"/>
    <w:lvl w:ilvl="0">
      <w:lvlJc w:val="left"/>
      <w:lvlText w:val="%1."/>
      <w:numFmt w:val="decimal"/>
      <w:start w:val="14"/>
    </w:lvl>
    <w:lvl w:ilvl="1">
      <w:lvlJc w:val="left"/>
      <w:lvlText w:val="(%2)"/>
      <w:numFmt w:val="lowerLetter"/>
      <w:start w:val="1"/>
    </w:lvl>
  </w:abstractNum>
  <w:abstractNum w:abstractNumId="667">
    <w:nsid w:val="4AC8EC3"/>
    <w:multiLevelType w:val="hybridMultilevel"/>
    <w:lvl w:ilvl="0">
      <w:lvlJc w:val="left"/>
      <w:lvlText w:val="%1"/>
      <w:numFmt w:val="decimal"/>
      <w:start w:val="1"/>
    </w:lvl>
    <w:lvl w:ilvl="1">
      <w:lvlJc w:val="left"/>
      <w:lvlText w:val="(%2)"/>
      <w:numFmt w:val="lowerLetter"/>
      <w:start w:val="4"/>
    </w:lvl>
  </w:abstractNum>
  <w:abstractNum w:abstractNumId="668">
    <w:nsid w:val="4511160D"/>
    <w:multiLevelType w:val="hybridMultilevel"/>
    <w:lvl w:ilvl="0">
      <w:lvlJc w:val="left"/>
      <w:lvlText w:val="%1."/>
      <w:numFmt w:val="decimal"/>
      <w:start w:val="15"/>
    </w:lvl>
    <w:lvl w:ilvl="1">
      <w:lvlJc w:val="left"/>
      <w:lvlText w:val="%2"/>
      <w:numFmt w:val="lowerLetter"/>
      <w:start w:val="1"/>
    </w:lvl>
  </w:abstractNum>
  <w:abstractNum w:abstractNumId="669">
    <w:nsid w:val="2A27DE11"/>
    <w:multiLevelType w:val="hybridMultilevel"/>
    <w:lvl w:ilvl="0">
      <w:lvlJc w:val="left"/>
      <w:lvlText w:val="%1."/>
      <w:numFmt w:val="decimal"/>
      <w:start w:val="18"/>
    </w:lvl>
  </w:abstractNum>
  <w:abstractNum w:abstractNumId="670">
    <w:nsid w:val="36FD9196"/>
    <w:multiLevelType w:val="hybridMultilevel"/>
    <w:lvl w:ilvl="0">
      <w:lvlJc w:val="left"/>
      <w:lvlText w:val="%1."/>
      <w:numFmt w:val="decimal"/>
      <w:start w:val="22"/>
    </w:lvl>
  </w:abstractNum>
  <w:abstractNum w:abstractNumId="671">
    <w:nsid w:val="2A68FC8"/>
    <w:multiLevelType w:val="hybridMultilevel"/>
    <w:lvl w:ilvl="0">
      <w:lvlJc w:val="left"/>
      <w:lvlText w:val="%1."/>
      <w:numFmt w:val="decimal"/>
      <w:start w:val="23"/>
    </w:lvl>
  </w:abstractNum>
  <w:abstractNum w:abstractNumId="672">
    <w:nsid w:val="34F52A23"/>
    <w:multiLevelType w:val="hybridMultilevel"/>
    <w:lvl w:ilvl="0">
      <w:lvlJc w:val="left"/>
      <w:lvlText w:val="%1."/>
      <w:numFmt w:val="decimal"/>
      <w:start w:val="1"/>
    </w:lvl>
  </w:abstractNum>
  <w:abstractNum w:abstractNumId="673">
    <w:nsid w:val="4815A966"/>
    <w:multiLevelType w:val="hybridMultilevel"/>
    <w:lvl w:ilvl="0">
      <w:lvlJc w:val="left"/>
      <w:lvlText w:val="%1."/>
      <w:numFmt w:val="decimal"/>
      <w:start w:val="6"/>
    </w:lvl>
  </w:abstractNum>
  <w:abstractNum w:abstractNumId="674">
    <w:nsid w:val="796F4530"/>
    <w:multiLevelType w:val="hybridMultilevel"/>
    <w:lvl w:ilvl="0">
      <w:lvlJc w:val="left"/>
      <w:lvlText w:val="(%1)"/>
      <w:numFmt w:val="lowerLetter"/>
      <w:start w:val="1"/>
    </w:lvl>
  </w:abstractNum>
  <w:abstractNum w:abstractNumId="675">
    <w:nsid w:val="6FC1A0D4"/>
    <w:multiLevelType w:val="hybridMultilevel"/>
    <w:lvl w:ilvl="0">
      <w:lvlJc w:val="left"/>
      <w:lvlText w:val="(%1)"/>
      <w:numFmt w:val="lowerLetter"/>
      <w:start w:val="1"/>
    </w:lvl>
  </w:abstractNum>
  <w:abstractNum w:abstractNumId="676">
    <w:nsid w:val="20A0C5E2"/>
    <w:multiLevelType w:val="hybridMultilevel"/>
    <w:lvl w:ilvl="0">
      <w:lvlJc w:val="left"/>
      <w:lvlText w:val="(%1)"/>
      <w:numFmt w:val="lowerLetter"/>
      <w:start w:val="2"/>
    </w:lvl>
  </w:abstractNum>
  <w:abstractNum w:abstractNumId="677">
    <w:nsid w:val="5BD772BB"/>
    <w:multiLevelType w:val="hybridMultilevel"/>
    <w:lvl w:ilvl="0">
      <w:lvlJc w:val="left"/>
      <w:lvlText w:val="%1"/>
      <w:numFmt w:val="lowerLetter"/>
      <w:start w:val="1"/>
    </w:lvl>
    <w:lvl w:ilvl="1">
      <w:lvlJc w:val="left"/>
      <w:lvlText w:val="(%2)"/>
      <w:numFmt w:val="lowerLetter"/>
      <w:start w:val="4"/>
    </w:lvl>
  </w:abstractNum>
  <w:abstractNum w:abstractNumId="678">
    <w:nsid w:val="3330B1EE"/>
    <w:multiLevelType w:val="hybridMultilevel"/>
    <w:lvl w:ilvl="0">
      <w:lvlJc w:val="left"/>
      <w:lvlText w:val="(%1)"/>
      <w:numFmt w:val="lowerLetter"/>
      <w:start w:val="35"/>
    </w:lvl>
    <w:lvl w:ilvl="1">
      <w:lvlJc w:val="left"/>
      <w:lvlText w:val="(%2)"/>
      <w:numFmt w:val="lowerLetter"/>
      <w:start w:val="6"/>
    </w:lvl>
  </w:abstractNum>
  <w:abstractNum w:abstractNumId="679">
    <w:nsid w:val="533A7CFD"/>
    <w:multiLevelType w:val="hybridMultilevel"/>
    <w:lvl w:ilvl="0">
      <w:lvlJc w:val="left"/>
      <w:lvlText w:val="(%1)"/>
      <w:numFmt w:val="lowerRoman"/>
      <w:start w:val="1"/>
    </w:lvl>
  </w:abstractNum>
  <w:abstractNum w:abstractNumId="680">
    <w:nsid w:val="5A7ED215"/>
    <w:multiLevelType w:val="hybridMultilevel"/>
    <w:lvl w:ilvl="0">
      <w:lvlJc w:val="left"/>
      <w:lvlText w:val="(%1)"/>
      <w:numFmt w:val="lowerRoman"/>
      <w:start w:val="2"/>
    </w:lvl>
  </w:abstractNum>
  <w:abstractNum w:abstractNumId="681">
    <w:nsid w:val="777250E7"/>
    <w:multiLevelType w:val="hybridMultilevel"/>
    <w:lvl w:ilvl="0">
      <w:lvlJc w:val="left"/>
      <w:lvlText w:val="(%1)"/>
      <w:numFmt w:val="lowerRoman"/>
      <w:start w:val="11"/>
    </w:lvl>
  </w:abstractNum>
  <w:abstractNum w:abstractNumId="682">
    <w:nsid w:val="B726EDC"/>
    <w:multiLevelType w:val="hybridMultilevel"/>
    <w:lvl w:ilvl="0">
      <w:lvlJc w:val="left"/>
      <w:lvlText w:val="(%1)"/>
      <w:numFmt w:val="lowerLetter"/>
      <w:start w:val="1"/>
    </w:lvl>
  </w:abstractNum>
  <w:abstractNum w:abstractNumId="683">
    <w:nsid w:val="365EFC5A"/>
    <w:multiLevelType w:val="hybridMultilevel"/>
    <w:lvl w:ilvl="0">
      <w:lvlJc w:val="left"/>
      <w:lvlText w:val="(%1)"/>
      <w:numFmt w:val="lowerRoman"/>
      <w:start w:val="1"/>
    </w:lvl>
  </w:abstractNum>
  <w:abstractNum w:abstractNumId="684">
    <w:nsid w:val="41A8106C"/>
    <w:multiLevelType w:val="hybridMultilevel"/>
    <w:lvl w:ilvl="0">
      <w:lvlJc w:val="left"/>
      <w:lvlText w:val="(%1)"/>
      <w:numFmt w:val="lowerRoman"/>
      <w:start w:val="7"/>
    </w:lvl>
  </w:abstractNum>
  <w:abstractNum w:abstractNumId="685">
    <w:nsid w:val="3FB97188"/>
    <w:multiLevelType w:val="hybridMultilevel"/>
    <w:lvl w:ilvl="0">
      <w:lvlJc w:val="left"/>
      <w:lvlText w:val="(%1)"/>
      <w:numFmt w:val="lowerLetter"/>
      <w:start w:val="1"/>
    </w:lvl>
  </w:abstractNum>
  <w:abstractNum w:abstractNumId="686">
    <w:nsid w:val="382EA874"/>
    <w:multiLevelType w:val="hybridMultilevel"/>
    <w:lvl w:ilvl="0">
      <w:lvlJc w:val="left"/>
      <w:lvlText w:val="(%1)"/>
      <w:numFmt w:val="lowerRoman"/>
      <w:start w:val="1"/>
    </w:lvl>
  </w:abstractNum>
  <w:abstractNum w:abstractNumId="687">
    <w:nsid w:val="21856507"/>
    <w:multiLevelType w:val="hybridMultilevel"/>
    <w:lvl w:ilvl="0">
      <w:lvlJc w:val="left"/>
      <w:lvlText w:val="%1"/>
      <w:numFmt w:val="upperLetter"/>
      <w:start w:val="1"/>
    </w:lvl>
    <w:lvl w:ilvl="1">
      <w:lvlJc w:val="left"/>
      <w:lvlText w:val="(%2)"/>
      <w:numFmt w:val="lowerRoman"/>
      <w:start w:val="5"/>
    </w:lvl>
  </w:abstractNum>
  <w:abstractNum w:abstractNumId="688">
    <w:nsid w:val="78B6E496"/>
    <w:multiLevelType w:val="hybridMultilevel"/>
    <w:lvl w:ilvl="0">
      <w:lvlJc w:val="left"/>
      <w:lvlText w:val="(%1)"/>
      <w:numFmt w:val="upperLetter"/>
      <w:start w:val="3"/>
    </w:lvl>
    <w:lvl w:ilvl="1">
      <w:lvlJc w:val="left"/>
      <w:lvlText w:val="(%2)"/>
      <w:numFmt w:val="lowerRoman"/>
      <w:start w:val="11"/>
    </w:lvl>
  </w:abstractNum>
  <w:abstractNum w:abstractNumId="689">
    <w:nsid w:val="B1595B1"/>
    <w:multiLevelType w:val="hybridMultilevel"/>
    <w:lvl w:ilvl="0">
      <w:lvlJc w:val="left"/>
      <w:lvlText w:val="(%1)"/>
      <w:numFmt w:val="lowerLetter"/>
      <w:start w:val="1"/>
    </w:lvl>
  </w:abstractNum>
  <w:abstractNum w:abstractNumId="690">
    <w:nsid w:val="25670D6B"/>
    <w:multiLevelType w:val="hybridMultilevel"/>
    <w:lvl w:ilvl="0">
      <w:lvlJc w:val="left"/>
      <w:lvlText w:val="(%1)"/>
      <w:numFmt w:val="lowerRoman"/>
      <w:start w:val="1"/>
    </w:lvl>
  </w:abstractNum>
  <w:abstractNum w:abstractNumId="691">
    <w:nsid w:val="5FE6C53F"/>
    <w:multiLevelType w:val="hybridMultilevel"/>
    <w:lvl w:ilvl="0">
      <w:lvlJc w:val="left"/>
      <w:lvlText w:val="(%1)"/>
      <w:numFmt w:val="lowerLetter"/>
      <w:start w:val="1"/>
    </w:lvl>
  </w:abstractNum>
  <w:abstractNum w:abstractNumId="692">
    <w:nsid w:val="3CAE14FE"/>
    <w:multiLevelType w:val="hybridMultilevel"/>
    <w:lvl w:ilvl="0">
      <w:lvlJc w:val="left"/>
      <w:lvlText w:val="(%1)"/>
      <w:numFmt w:val="lowerRoman"/>
      <w:start w:val="1"/>
    </w:lvl>
  </w:abstractNum>
  <w:abstractNum w:abstractNumId="693">
    <w:nsid w:val="6E27B56B"/>
    <w:multiLevelType w:val="hybridMultilevel"/>
    <w:lvl w:ilvl="0">
      <w:lvlJc w:val="left"/>
      <w:lvlText w:val="(%1)"/>
      <w:numFmt w:val="lowerRoman"/>
      <w:start w:val="5"/>
    </w:lvl>
  </w:abstractNum>
  <w:abstractNum w:abstractNumId="694">
    <w:nsid w:val="66FE7765"/>
    <w:multiLevelType w:val="hybridMultilevel"/>
    <w:lvl w:ilvl="0">
      <w:lvlJc w:val="left"/>
      <w:lvlText w:val="(%1)"/>
      <w:numFmt w:val="lowerLetter"/>
      <w:start w:val="1"/>
    </w:lvl>
  </w:abstractNum>
  <w:abstractNum w:abstractNumId="695">
    <w:nsid w:val="41123F79"/>
    <w:multiLevelType w:val="hybridMultilevel"/>
    <w:lvl w:ilvl="0">
      <w:lvlJc w:val="left"/>
      <w:lvlText w:val="(%1)"/>
      <w:numFmt w:val="lowerRoman"/>
      <w:start w:val="1"/>
    </w:lvl>
  </w:abstractNum>
  <w:abstractNum w:abstractNumId="696">
    <w:nsid w:val="514FBE5A"/>
    <w:multiLevelType w:val="hybridMultilevel"/>
    <w:lvl w:ilvl="0">
      <w:lvlJc w:val="left"/>
      <w:lvlText w:val="(%1)"/>
      <w:numFmt w:val="lowerLetter"/>
      <w:start w:val="1"/>
    </w:lvl>
  </w:abstractNum>
  <w:abstractNum w:abstractNumId="697">
    <w:nsid w:val="4C68ED90"/>
    <w:multiLevelType w:val="hybridMultilevel"/>
    <w:lvl w:ilvl="0">
      <w:lvlJc w:val="left"/>
      <w:lvlText w:val="%1"/>
      <w:numFmt w:val="lowerRoman"/>
      <w:start w:val="1"/>
    </w:lvl>
    <w:lvl w:ilvl="1">
      <w:lvlJc w:val="left"/>
      <w:lvlText w:val="(%2)"/>
      <w:numFmt w:val="lowerLetter"/>
      <w:start w:val="1"/>
    </w:lvl>
  </w:abstractNum>
  <w:abstractNum w:abstractNumId="698">
    <w:nsid w:val="45BECE3C"/>
    <w:multiLevelType w:val="hybridMultilevel"/>
    <w:lvl w:ilvl="0">
      <w:lvlJc w:val="left"/>
      <w:lvlText w:val="(%1)"/>
      <w:numFmt w:val="lowerRoman"/>
      <w:start w:val="4"/>
    </w:lvl>
    <w:lvl w:ilvl="1">
      <w:lvlJc w:val="left"/>
      <w:lvlText w:val="(%2)"/>
      <w:numFmt w:val="lowerLetter"/>
      <w:start w:val="2"/>
    </w:lvl>
  </w:abstractNum>
  <w:abstractNum w:abstractNumId="699">
    <w:nsid w:val="1660D468"/>
    <w:multiLevelType w:val="hybridMultilevel"/>
    <w:lvl w:ilvl="0">
      <w:lvlJc w:val="left"/>
      <w:lvlText w:val="(%1)"/>
      <w:numFmt w:val="lowerLetter"/>
      <w:start w:val="1"/>
    </w:lvl>
  </w:abstractNum>
  <w:abstractNum w:abstractNumId="700">
    <w:nsid w:val="7690CBA1"/>
    <w:multiLevelType w:val="hybridMultilevel"/>
    <w:lvl w:ilvl="0">
      <w:lvlJc w:val="left"/>
      <w:lvlText w:val="%1"/>
      <w:numFmt w:val="lowerRoman"/>
      <w:start w:val="1"/>
    </w:lvl>
    <w:lvl w:ilvl="1">
      <w:lvlJc w:val="left"/>
      <w:lvlText w:val="(%2)"/>
      <w:numFmt w:val="lowerLetter"/>
      <w:start w:val="3"/>
    </w:lvl>
  </w:abstractNum>
  <w:abstractNum w:abstractNumId="701">
    <w:nsid w:val="7CBC5FD3"/>
    <w:multiLevelType w:val="hybridMultilevel"/>
    <w:lvl w:ilvl="0">
      <w:lvlJc w:val="left"/>
      <w:lvlText w:val="(%1)"/>
      <w:numFmt w:val="lowerRoman"/>
      <w:start w:val="4"/>
    </w:lvl>
    <w:lvl w:ilvl="1">
      <w:lvlJc w:val="left"/>
      <w:lvlText w:val="%2"/>
      <w:numFmt w:val="lowerLetter"/>
      <w:start w:val="1"/>
    </w:lvl>
  </w:abstractNum>
  <w:abstractNum w:abstractNumId="702">
    <w:nsid w:val="19076430"/>
    <w:multiLevelType w:val="hybridMultilevel"/>
    <w:lvl w:ilvl="0">
      <w:lvlJc w:val="left"/>
      <w:lvlText w:val="(%1)"/>
      <w:numFmt w:val="lowerLetter"/>
      <w:start w:val="1"/>
    </w:lvl>
  </w:abstractNum>
  <w:abstractNum w:abstractNumId="703">
    <w:nsid w:val="2B85F5C4"/>
    <w:multiLevelType w:val="hybridMultilevel"/>
    <w:lvl w:ilvl="0">
      <w:lvlJc w:val="left"/>
      <w:lvlText w:val="(%1)"/>
      <w:numFmt w:val="lowerLetter"/>
      <w:start w:val="1"/>
    </w:lvl>
  </w:abstractNum>
  <w:abstractNum w:abstractNumId="704">
    <w:nsid w:val="44D20939"/>
    <w:multiLevelType w:val="hybridMultilevel"/>
    <w:lvl w:ilvl="0">
      <w:lvlJc w:val="left"/>
      <w:lvlText w:val="(%1)"/>
      <w:numFmt w:val="lowerLetter"/>
      <w:start w:val="3"/>
    </w:lvl>
  </w:abstractNum>
  <w:abstractNum w:abstractNumId="705">
    <w:nsid w:val="1276A960"/>
    <w:multiLevelType w:val="hybridMultilevel"/>
    <w:lvl w:ilvl="0">
      <w:lvlJc w:val="left"/>
      <w:lvlText w:val="(%1)"/>
      <w:numFmt w:val="lowerLetter"/>
      <w:start w:val="1"/>
    </w:lvl>
  </w:abstractNum>
  <w:abstractNum w:abstractNumId="706">
    <w:nsid w:val="1B479698"/>
    <w:multiLevelType w:val="hybridMultilevel"/>
    <w:lvl w:ilvl="0">
      <w:lvlJc w:val="left"/>
      <w:lvlText w:val="%1"/>
      <w:numFmt w:val="lowerLetter"/>
      <w:start w:val="1"/>
    </w:lvl>
    <w:lvl w:ilvl="1">
      <w:lvlJc w:val="left"/>
      <w:lvlText w:val="(%2)"/>
      <w:numFmt w:val="lowerLetter"/>
      <w:start w:val="1"/>
    </w:lvl>
  </w:abstractNum>
  <w:abstractNum w:abstractNumId="707">
    <w:nsid w:val="6572CF1B"/>
    <w:multiLevelType w:val="hybridMultilevel"/>
    <w:lvl w:ilvl="0">
      <w:lvlJc w:val="left"/>
      <w:lvlText w:val="(%1)"/>
      <w:numFmt w:val="lowerLetter"/>
      <w:start w:val="35"/>
    </w:lvl>
    <w:lvl w:ilvl="1">
      <w:lvlJc w:val="left"/>
      <w:lvlText w:val="(%2)"/>
      <w:numFmt w:val="lowerLetter"/>
      <w:start w:val="2"/>
    </w:lvl>
  </w:abstractNum>
  <w:abstractNum w:abstractNumId="708">
    <w:nsid w:val="6E4E1C1B"/>
    <w:multiLevelType w:val="hybridMultilevel"/>
    <w:lvl w:ilvl="0">
      <w:lvlJc w:val="left"/>
      <w:lvlText w:val="(%1)"/>
      <w:numFmt w:val="lowerLetter"/>
      <w:start w:val="1"/>
    </w:lvl>
  </w:abstractNum>
  <w:abstractNum w:abstractNumId="709">
    <w:nsid w:val="4E784887"/>
    <w:multiLevelType w:val="hybridMultilevel"/>
    <w:lvl w:ilvl="0">
      <w:lvlJc w:val="left"/>
      <w:lvlText w:val="%1"/>
      <w:numFmt w:val="lowerLetter"/>
      <w:start w:val="1"/>
    </w:lvl>
    <w:lvl w:ilvl="1">
      <w:lvlJc w:val="left"/>
      <w:lvlText w:val="(%2)"/>
      <w:numFmt w:val="lowerLetter"/>
      <w:start w:val="1"/>
    </w:lvl>
  </w:abstractNum>
  <w:abstractNum w:abstractNumId="710">
    <w:nsid w:val="38AD4C18"/>
    <w:multiLevelType w:val="hybridMultilevel"/>
    <w:lvl w:ilvl="0">
      <w:lvlJc w:val="left"/>
      <w:lvlText w:val="(%1)"/>
      <w:numFmt w:val="lowerLetter"/>
      <w:start w:val="61"/>
    </w:lvl>
    <w:lvl w:ilvl="1">
      <w:lvlJc w:val="left"/>
      <w:lvlText w:val="(%2)"/>
      <w:numFmt w:val="lowerLetter"/>
      <w:start w:val="2"/>
    </w:lvl>
  </w:abstractNum>
  <w:abstractNum w:abstractNumId="711">
    <w:nsid w:val="48CCEE31"/>
    <w:multiLevelType w:val="hybridMultilevel"/>
    <w:lvl w:ilvl="0">
      <w:lvlJc w:val="left"/>
      <w:lvlText w:val="(%1)"/>
      <w:numFmt w:val="lowerLetter"/>
      <w:start w:val="6"/>
    </w:lvl>
  </w:abstractNum>
  <w:abstractNum w:abstractNumId="712">
    <w:nsid w:val="45EA996E"/>
    <w:multiLevelType w:val="hybridMultilevel"/>
    <w:lvl w:ilvl="0">
      <w:lvlJc w:val="left"/>
      <w:lvlText w:val="(%1)"/>
      <w:numFmt w:val="lowerLetter"/>
      <w:start w:val="7"/>
    </w:lvl>
  </w:abstractNum>
  <w:abstractNum w:abstractNumId="713">
    <w:nsid w:val="441FBAF4"/>
    <w:multiLevelType w:val="hybridMultilevel"/>
    <w:lvl w:ilvl="0">
      <w:lvlJc w:val="left"/>
      <w:lvlText w:val="%1"/>
      <w:numFmt w:val="upperLetter"/>
      <w:start w:val="1"/>
    </w:lvl>
    <w:lvl w:ilvl="1">
      <w:lvlJc w:val="left"/>
      <w:lvlText w:val="(%2)"/>
      <w:numFmt w:val="lowerLetter"/>
      <w:start w:val="12"/>
    </w:lvl>
  </w:abstractNum>
  <w:abstractNum w:abstractNumId="714">
    <w:nsid w:val="7F2BEA8B"/>
    <w:multiLevelType w:val="hybridMultilevel"/>
    <w:lvl w:ilvl="0">
      <w:lvlJc w:val="left"/>
      <w:lvlText w:val="(%1)"/>
      <w:numFmt w:val="upperLetter"/>
      <w:start w:val="1"/>
    </w:lvl>
    <w:lvl w:ilvl="1">
      <w:lvlJc w:val="left"/>
      <w:lvlText w:val="%2"/>
      <w:numFmt w:val="lowerLetter"/>
      <w:start w:val="1"/>
    </w:lvl>
  </w:abstractNum>
  <w:abstractNum w:abstractNumId="715">
    <w:nsid w:val="792A9DB"/>
    <w:multiLevelType w:val="hybridMultilevel"/>
    <w:lvl w:ilvl="0">
      <w:lvlJc w:val="left"/>
      <w:lvlText w:val="(%1)"/>
      <w:numFmt w:val="lowerLetter"/>
      <w:start w:val="1"/>
    </w:lvl>
  </w:abstractNum>
  <w:abstractNum w:abstractNumId="716">
    <w:nsid w:val="3D92C7D"/>
    <w:multiLevelType w:val="hybridMultilevel"/>
    <w:lvl w:ilvl="0">
      <w:lvlJc w:val="left"/>
      <w:lvlText w:val="(%1)"/>
      <w:numFmt w:val="lowerLetter"/>
      <w:start w:val="1"/>
    </w:lvl>
  </w:abstractNum>
  <w:abstractNum w:abstractNumId="717">
    <w:nsid w:val="375A92FF"/>
    <w:multiLevelType w:val="hybridMultilevel"/>
    <w:lvl w:ilvl="0">
      <w:lvlJc w:val="left"/>
      <w:lvlText w:val="(%1)"/>
      <w:numFmt w:val="lowerLetter"/>
      <w:start w:val="35"/>
    </w:lvl>
    <w:lvl w:ilvl="1">
      <w:lvlJc w:val="left"/>
      <w:lvlText w:val="(%2)"/>
      <w:numFmt w:val="lowerLetter"/>
      <w:start w:val="2"/>
    </w:lvl>
  </w:abstractNum>
  <w:abstractNum w:abstractNumId="718">
    <w:nsid w:val="29180EE2"/>
    <w:multiLevelType w:val="hybridMultilevel"/>
    <w:lvl w:ilvl="0">
      <w:lvlJc w:val="left"/>
      <w:lvlText w:val="(%1)"/>
      <w:numFmt w:val="lowerRoman"/>
      <w:start w:val="1"/>
    </w:lvl>
  </w:abstractNum>
  <w:abstractNum w:abstractNumId="719">
    <w:nsid w:val="7C901113"/>
    <w:multiLevelType w:val="hybridMultilevel"/>
    <w:lvl w:ilvl="0">
      <w:lvlJc w:val="left"/>
      <w:lvlText w:val="(%1)"/>
      <w:numFmt w:val="lowerLetter"/>
      <w:start w:val="1"/>
    </w:lvl>
  </w:abstractNum>
  <w:abstractNum w:abstractNumId="720">
    <w:nsid w:val="427028B0"/>
    <w:multiLevelType w:val="hybridMultilevel"/>
    <w:lvl w:ilvl="0">
      <w:lvlJc w:val="left"/>
      <w:lvlText w:val="(%1)"/>
      <w:numFmt w:val="decimal"/>
      <w:start w:val="30"/>
    </w:lvl>
  </w:abstractNum>
  <w:abstractNum w:abstractNumId="721">
    <w:nsid w:val="4E7F1C4D"/>
    <w:multiLevelType w:val="hybridMultilevel"/>
    <w:lvl w:ilvl="0">
      <w:lvlJc w:val="left"/>
      <w:lvlText w:val="(%1)"/>
      <w:numFmt w:val="lowerRoman"/>
      <w:start w:val="2"/>
    </w:lvl>
  </w:abstractNum>
  <w:abstractNum w:abstractNumId="722">
    <w:nsid w:val="5C76D652"/>
    <w:multiLevelType w:val="hybridMultilevel"/>
    <w:lvl w:ilvl="0">
      <w:lvlJc w:val="left"/>
      <w:lvlText w:val="(%1)"/>
      <w:numFmt w:val="lowerLetter"/>
      <w:start w:val="1"/>
    </w:lvl>
  </w:abstractNum>
  <w:abstractNum w:abstractNumId="723">
    <w:nsid w:val="7F1E3DAE"/>
    <w:multiLevelType w:val="hybridMultilevel"/>
    <w:lvl w:ilvl="0">
      <w:lvlJc w:val="left"/>
      <w:lvlText w:val="(%1)"/>
      <w:numFmt w:val="lowerLetter"/>
      <w:start w:val="1"/>
    </w:lvl>
  </w:abstractNum>
  <w:abstractNum w:abstractNumId="724">
    <w:nsid w:val="3CA6D1B9"/>
    <w:multiLevelType w:val="hybridMultilevel"/>
    <w:lvl w:ilvl="0">
      <w:lvlJc w:val="left"/>
      <w:lvlText w:val="(%1)"/>
      <w:numFmt w:val="lowerLetter"/>
      <w:start w:val="1"/>
    </w:lvl>
  </w:abstractNum>
  <w:abstractNum w:abstractNumId="725">
    <w:nsid w:val="43754DB7"/>
    <w:multiLevelType w:val="hybridMultilevel"/>
    <w:lvl w:ilvl="0">
      <w:lvlJc w:val="left"/>
      <w:lvlText w:val="(%1)"/>
      <w:numFmt w:val="lowerRoman"/>
      <w:start w:val="3"/>
    </w:lvl>
  </w:abstractNum>
  <w:abstractNum w:abstractNumId="726">
    <w:nsid w:val="40307D27"/>
    <w:multiLevelType w:val="hybridMultilevel"/>
    <w:lvl w:ilvl="0">
      <w:lvlJc w:val="left"/>
      <w:lvlText w:val="(%1)"/>
      <w:numFmt w:val="lowerRoman"/>
      <w:start w:val="1"/>
    </w:lvl>
  </w:abstractNum>
  <w:abstractNum w:abstractNumId="727">
    <w:nsid w:val="DF69013"/>
    <w:multiLevelType w:val="hybridMultilevel"/>
    <w:lvl w:ilvl="0">
      <w:lvlJc w:val="left"/>
      <w:lvlText w:val="(%1)"/>
      <w:numFmt w:val="lowerRoman"/>
      <w:start w:val="5"/>
    </w:lvl>
  </w:abstractNum>
  <w:abstractNum w:abstractNumId="728">
    <w:nsid w:val="FDE3B47"/>
    <w:multiLevelType w:val="hybridMultilevel"/>
    <w:lvl w:ilvl="0">
      <w:lvlJc w:val="left"/>
      <w:lvlText w:val="(%1)"/>
      <w:numFmt w:val="lowerRoman"/>
      <w:start w:val="3"/>
    </w:lvl>
  </w:abstractNum>
  <w:abstractNum w:abstractNumId="729">
    <w:nsid w:val="5EF4B64"/>
    <w:multiLevelType w:val="hybridMultilevel"/>
    <w:lvl w:ilvl="0">
      <w:lvlJc w:val="left"/>
      <w:lvlText w:val="(%1)"/>
      <w:numFmt w:val="lowerLetter"/>
      <w:start w:val="2"/>
    </w:lvl>
  </w:abstractNum>
  <w:abstractNum w:abstractNumId="730">
    <w:nsid w:val="2457647B"/>
    <w:multiLevelType w:val="hybridMultilevel"/>
    <w:lvl w:ilvl="0">
      <w:lvlJc w:val="left"/>
      <w:lvlText w:val="(%1)"/>
      <w:numFmt w:val="lowerRoman"/>
      <w:start w:val="1"/>
    </w:lvl>
  </w:abstractNum>
  <w:abstractNum w:abstractNumId="731">
    <w:nsid w:val="66F06E9"/>
    <w:multiLevelType w:val="hybridMultilevel"/>
    <w:lvl w:ilvl="0">
      <w:lvlJc w:val="left"/>
      <w:lvlText w:val="(%1)"/>
      <w:numFmt w:val="lowerRoman"/>
      <w:start w:val="5"/>
    </w:lvl>
  </w:abstractNum>
  <w:abstractNum w:abstractNumId="732">
    <w:nsid w:val="2ABAB3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59"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2" Type="http://schemas.openxmlformats.org/officeDocument/2006/relationships/image" Target="media/image447.png"/><Relationship Id="rId463" Type="http://schemas.openxmlformats.org/officeDocument/2006/relationships/image" Target="media/image448.png"/><Relationship Id="rId464"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75" Type="http://schemas.openxmlformats.org/officeDocument/2006/relationships/image" Target="media/image460.png"/><Relationship Id="rId476" Type="http://schemas.openxmlformats.org/officeDocument/2006/relationships/image" Target="media/image461.png"/><Relationship Id="rId477" Type="http://schemas.openxmlformats.org/officeDocument/2006/relationships/image" Target="media/image462.png"/><Relationship Id="rId478" Type="http://schemas.openxmlformats.org/officeDocument/2006/relationships/image" Target="media/image463.png"/><Relationship Id="rId479" Type="http://schemas.openxmlformats.org/officeDocument/2006/relationships/image" Target="media/image464.pn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488" Type="http://schemas.openxmlformats.org/officeDocument/2006/relationships/image" Target="media/image473.png"/><Relationship Id="rId489" Type="http://schemas.openxmlformats.org/officeDocument/2006/relationships/image" Target="media/image474.png"/><Relationship Id="rId490" Type="http://schemas.openxmlformats.org/officeDocument/2006/relationships/image" Target="media/image475.png"/><Relationship Id="rId491" Type="http://schemas.openxmlformats.org/officeDocument/2006/relationships/image" Target="media/image476.png"/><Relationship Id="rId492" Type="http://schemas.openxmlformats.org/officeDocument/2006/relationships/image" Target="media/image477.png"/><Relationship Id="rId493" Type="http://schemas.openxmlformats.org/officeDocument/2006/relationships/image" Target="media/image478.png"/><Relationship Id="rId494" Type="http://schemas.openxmlformats.org/officeDocument/2006/relationships/image" Target="media/image479.png"/><Relationship Id="rId495" Type="http://schemas.openxmlformats.org/officeDocument/2006/relationships/image" Target="media/image480.png"/><Relationship Id="rId496" Type="http://schemas.openxmlformats.org/officeDocument/2006/relationships/image" Target="media/image481.png"/><Relationship Id="rId497" Type="http://schemas.openxmlformats.org/officeDocument/2006/relationships/image" Target="media/image482.png"/><Relationship Id="rId498"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505" Type="http://schemas.openxmlformats.org/officeDocument/2006/relationships/image" Target="media/image490.png"/><Relationship Id="rId506" Type="http://schemas.openxmlformats.org/officeDocument/2006/relationships/image" Target="media/image491.png"/><Relationship Id="rId507" Type="http://schemas.openxmlformats.org/officeDocument/2006/relationships/image" Target="media/image492.png"/><Relationship Id="rId508" Type="http://schemas.openxmlformats.org/officeDocument/2006/relationships/image" Target="media/image493.png"/><Relationship Id="rId509" Type="http://schemas.openxmlformats.org/officeDocument/2006/relationships/image" Target="media/image494.png"/><Relationship Id="rId510" Type="http://schemas.openxmlformats.org/officeDocument/2006/relationships/image" Target="media/image495.png"/><Relationship Id="rId511" Type="http://schemas.openxmlformats.org/officeDocument/2006/relationships/image" Target="media/image496.png"/><Relationship Id="rId512" Type="http://schemas.openxmlformats.org/officeDocument/2006/relationships/image" Target="media/image497.png"/><Relationship Id="rId513" Type="http://schemas.openxmlformats.org/officeDocument/2006/relationships/image" Target="media/image498.png"/><Relationship Id="rId514" Type="http://schemas.openxmlformats.org/officeDocument/2006/relationships/image" Target="media/image499.png"/><Relationship Id="rId515" Type="http://schemas.openxmlformats.org/officeDocument/2006/relationships/image" Target="media/image500.png"/><Relationship Id="rId516" Type="http://schemas.openxmlformats.org/officeDocument/2006/relationships/image" Target="media/image501.png"/><Relationship Id="rId517" Type="http://schemas.openxmlformats.org/officeDocument/2006/relationships/image" Target="media/image502.png"/><Relationship Id="rId518" Type="http://schemas.openxmlformats.org/officeDocument/2006/relationships/image" Target="media/image503.png"/><Relationship Id="rId519" Type="http://schemas.openxmlformats.org/officeDocument/2006/relationships/image" Target="media/image504.png"/><Relationship Id="rId520" Type="http://schemas.openxmlformats.org/officeDocument/2006/relationships/image" Target="media/image505.png"/><Relationship Id="rId521" Type="http://schemas.openxmlformats.org/officeDocument/2006/relationships/image" Target="media/image506.png"/><Relationship Id="rId522" Type="http://schemas.openxmlformats.org/officeDocument/2006/relationships/image" Target="media/image507.png"/><Relationship Id="rId523" Type="http://schemas.openxmlformats.org/officeDocument/2006/relationships/image" Target="media/image508.png"/><Relationship Id="rId524" Type="http://schemas.openxmlformats.org/officeDocument/2006/relationships/image" Target="media/image509.png"/><Relationship Id="rId525" Type="http://schemas.openxmlformats.org/officeDocument/2006/relationships/image" Target="media/image510.png"/><Relationship Id="rId526" Type="http://schemas.openxmlformats.org/officeDocument/2006/relationships/image" Target="media/image511.png"/><Relationship Id="rId527" Type="http://schemas.openxmlformats.org/officeDocument/2006/relationships/image" Target="media/image512.png"/><Relationship Id="rId528" Type="http://schemas.openxmlformats.org/officeDocument/2006/relationships/image" Target="media/image513.png"/><Relationship Id="rId529" Type="http://schemas.openxmlformats.org/officeDocument/2006/relationships/image" Target="media/image514.png"/><Relationship Id="rId530" Type="http://schemas.openxmlformats.org/officeDocument/2006/relationships/image" Target="media/image515.png"/><Relationship Id="rId531" Type="http://schemas.openxmlformats.org/officeDocument/2006/relationships/image" Target="media/image516.png"/><Relationship Id="rId532" Type="http://schemas.openxmlformats.org/officeDocument/2006/relationships/image" Target="media/image517.png"/><Relationship Id="rId533" Type="http://schemas.openxmlformats.org/officeDocument/2006/relationships/image" Target="media/image518.png"/><Relationship Id="rId534" Type="http://schemas.openxmlformats.org/officeDocument/2006/relationships/image" Target="media/image519.png"/><Relationship Id="rId535" Type="http://schemas.openxmlformats.org/officeDocument/2006/relationships/image" Target="media/image520.png"/><Relationship Id="rId536" Type="http://schemas.openxmlformats.org/officeDocument/2006/relationships/image" Target="media/image521.png"/><Relationship Id="rId537" Type="http://schemas.openxmlformats.org/officeDocument/2006/relationships/image" Target="media/image522.png"/><Relationship Id="rId538" Type="http://schemas.openxmlformats.org/officeDocument/2006/relationships/image" Target="media/image523.png"/><Relationship Id="rId539" Type="http://schemas.openxmlformats.org/officeDocument/2006/relationships/image" Target="media/image524.png"/><Relationship Id="rId540" Type="http://schemas.openxmlformats.org/officeDocument/2006/relationships/image" Target="media/image525.png"/><Relationship Id="rId541" Type="http://schemas.openxmlformats.org/officeDocument/2006/relationships/image" Target="media/image526.png"/><Relationship Id="rId542" Type="http://schemas.openxmlformats.org/officeDocument/2006/relationships/image" Target="media/image527.png"/><Relationship Id="rId543" Type="http://schemas.openxmlformats.org/officeDocument/2006/relationships/image" Target="media/image528.png"/><Relationship Id="rId544" Type="http://schemas.openxmlformats.org/officeDocument/2006/relationships/image" Target="media/image529.png"/><Relationship Id="rId545" Type="http://schemas.openxmlformats.org/officeDocument/2006/relationships/image" Target="media/image530.png"/><Relationship Id="rId546" Type="http://schemas.openxmlformats.org/officeDocument/2006/relationships/image" Target="media/image531.png"/><Relationship Id="rId547" Type="http://schemas.openxmlformats.org/officeDocument/2006/relationships/image" Target="media/image532.png"/><Relationship Id="rId548" Type="http://schemas.openxmlformats.org/officeDocument/2006/relationships/image" Target="media/image533.png"/><Relationship Id="rId549" Type="http://schemas.openxmlformats.org/officeDocument/2006/relationships/image" Target="media/image534.png"/><Relationship Id="rId550" Type="http://schemas.openxmlformats.org/officeDocument/2006/relationships/image" Target="media/image535.png"/><Relationship Id="rId551" Type="http://schemas.openxmlformats.org/officeDocument/2006/relationships/image" Target="media/image536.png"/><Relationship Id="rId552" Type="http://schemas.openxmlformats.org/officeDocument/2006/relationships/image" Target="media/image537.png"/><Relationship Id="rId553" Type="http://schemas.openxmlformats.org/officeDocument/2006/relationships/image" Target="media/image538.png"/><Relationship Id="rId554" Type="http://schemas.openxmlformats.org/officeDocument/2006/relationships/image" Target="media/image539.png"/><Relationship Id="rId555" Type="http://schemas.openxmlformats.org/officeDocument/2006/relationships/image" Target="media/image540.png"/><Relationship Id="rId556" Type="http://schemas.openxmlformats.org/officeDocument/2006/relationships/image" Target="media/image541.png"/><Relationship Id="rId557" Type="http://schemas.openxmlformats.org/officeDocument/2006/relationships/image" Target="media/image542.png"/><Relationship Id="rId558" Type="http://schemas.openxmlformats.org/officeDocument/2006/relationships/image" Target="media/image543.png"/><Relationship Id="rId559" Type="http://schemas.openxmlformats.org/officeDocument/2006/relationships/image" Target="media/image544.png"/><Relationship Id="rId560" Type="http://schemas.openxmlformats.org/officeDocument/2006/relationships/image" Target="media/image545.png"/><Relationship Id="rId561" Type="http://schemas.openxmlformats.org/officeDocument/2006/relationships/image" Target="media/image546.png"/><Relationship Id="rId562" Type="http://schemas.openxmlformats.org/officeDocument/2006/relationships/image" Target="media/image547.png"/><Relationship Id="rId563" Type="http://schemas.openxmlformats.org/officeDocument/2006/relationships/image" Target="media/image548.jpeg"/><Relationship Id="rId564" Type="http://schemas.openxmlformats.org/officeDocument/2006/relationships/image" Target="media/image549.png"/><Relationship Id="rId565" Type="http://schemas.openxmlformats.org/officeDocument/2006/relationships/image" Target="media/image550.png"/><Relationship Id="rId566" Type="http://schemas.openxmlformats.org/officeDocument/2006/relationships/image" Target="media/image551.png"/><Relationship Id="rId567" Type="http://schemas.openxmlformats.org/officeDocument/2006/relationships/image" Target="media/image552.png"/><Relationship Id="rId568" Type="http://schemas.openxmlformats.org/officeDocument/2006/relationships/image" Target="media/image553.png"/><Relationship Id="rId569" Type="http://schemas.openxmlformats.org/officeDocument/2006/relationships/image" Target="media/image554.png"/><Relationship Id="rId570" Type="http://schemas.openxmlformats.org/officeDocument/2006/relationships/image" Target="media/image555.png"/><Relationship Id="rId571" Type="http://schemas.openxmlformats.org/officeDocument/2006/relationships/image" Target="media/image556.png"/><Relationship Id="rId572" Type="http://schemas.openxmlformats.org/officeDocument/2006/relationships/image" Target="media/image557.png"/><Relationship Id="rId573" Type="http://schemas.openxmlformats.org/officeDocument/2006/relationships/image" Target="media/image558.png"/><Relationship Id="rId574" Type="http://schemas.openxmlformats.org/officeDocument/2006/relationships/image" Target="media/image559.png"/><Relationship Id="rId575" Type="http://schemas.openxmlformats.org/officeDocument/2006/relationships/image" Target="media/image560.png"/><Relationship Id="rId576" Type="http://schemas.openxmlformats.org/officeDocument/2006/relationships/image" Target="media/image561.png"/><Relationship Id="rId577" Type="http://schemas.openxmlformats.org/officeDocument/2006/relationships/image" Target="media/image562.png"/><Relationship Id="rId578" Type="http://schemas.openxmlformats.org/officeDocument/2006/relationships/image" Target="media/image563.png"/><Relationship Id="rId579" Type="http://schemas.openxmlformats.org/officeDocument/2006/relationships/image" Target="media/image564.png"/><Relationship Id="rId580" Type="http://schemas.openxmlformats.org/officeDocument/2006/relationships/image" Target="media/image565.png"/><Relationship Id="rId581" Type="http://schemas.openxmlformats.org/officeDocument/2006/relationships/image" Target="media/image566.png"/><Relationship Id="rId582" Type="http://schemas.openxmlformats.org/officeDocument/2006/relationships/image" Target="media/image567.png"/><Relationship Id="rId583" Type="http://schemas.openxmlformats.org/officeDocument/2006/relationships/image" Target="media/image568.png"/><Relationship Id="rId584" Type="http://schemas.openxmlformats.org/officeDocument/2006/relationships/image" Target="media/image569.png"/><Relationship Id="rId585" Type="http://schemas.openxmlformats.org/officeDocument/2006/relationships/image" Target="media/image570.png"/><Relationship Id="rId586" Type="http://schemas.openxmlformats.org/officeDocument/2006/relationships/image" Target="media/image571.png"/><Relationship Id="rId587" Type="http://schemas.openxmlformats.org/officeDocument/2006/relationships/image" Target="media/image572.png"/><Relationship Id="rId588" Type="http://schemas.openxmlformats.org/officeDocument/2006/relationships/image" Target="media/image573.png"/><Relationship Id="rId589" Type="http://schemas.openxmlformats.org/officeDocument/2006/relationships/image" Target="media/image574.png"/><Relationship Id="rId590" Type="http://schemas.openxmlformats.org/officeDocument/2006/relationships/image" Target="media/image575.png"/><Relationship Id="rId591" Type="http://schemas.openxmlformats.org/officeDocument/2006/relationships/image" Target="media/image576.png"/><Relationship Id="rId592" Type="http://schemas.openxmlformats.org/officeDocument/2006/relationships/image" Target="media/image577.png"/><Relationship Id="rId593" Type="http://schemas.openxmlformats.org/officeDocument/2006/relationships/image" Target="media/image578.png"/><Relationship Id="rId594" Type="http://schemas.openxmlformats.org/officeDocument/2006/relationships/image" Target="media/image579.png"/><Relationship Id="rId595" Type="http://schemas.openxmlformats.org/officeDocument/2006/relationships/image" Target="media/image580.png"/><Relationship Id="rId596" Type="http://schemas.openxmlformats.org/officeDocument/2006/relationships/image" Target="media/image581.png"/><Relationship Id="rId597" Type="http://schemas.openxmlformats.org/officeDocument/2006/relationships/image" Target="media/image582.png"/><Relationship Id="rId598" Type="http://schemas.openxmlformats.org/officeDocument/2006/relationships/image" Target="media/image583.png"/><Relationship Id="rId599" Type="http://schemas.openxmlformats.org/officeDocument/2006/relationships/image" Target="media/image584.png"/><Relationship Id="rId600" Type="http://schemas.openxmlformats.org/officeDocument/2006/relationships/image" Target="media/image585.png"/><Relationship Id="rId601" Type="http://schemas.openxmlformats.org/officeDocument/2006/relationships/image" Target="media/image586.png"/><Relationship Id="rId602" Type="http://schemas.openxmlformats.org/officeDocument/2006/relationships/image" Target="media/image587.png"/><Relationship Id="rId603" Type="http://schemas.openxmlformats.org/officeDocument/2006/relationships/image" Target="media/image588.png"/><Relationship Id="rId604" Type="http://schemas.openxmlformats.org/officeDocument/2006/relationships/image" Target="media/image589.png"/><Relationship Id="rId605" Type="http://schemas.openxmlformats.org/officeDocument/2006/relationships/image" Target="media/image590.png"/><Relationship Id="rId606" Type="http://schemas.openxmlformats.org/officeDocument/2006/relationships/image" Target="media/image591.png"/><Relationship Id="rId607" Type="http://schemas.openxmlformats.org/officeDocument/2006/relationships/image" Target="media/image592.png"/><Relationship Id="rId608" Type="http://schemas.openxmlformats.org/officeDocument/2006/relationships/image" Target="media/image593.png"/><Relationship Id="rId609" Type="http://schemas.openxmlformats.org/officeDocument/2006/relationships/image" Target="media/image594.png"/><Relationship Id="rId610" Type="http://schemas.openxmlformats.org/officeDocument/2006/relationships/image" Target="media/image595.png"/><Relationship Id="rId611" Type="http://schemas.openxmlformats.org/officeDocument/2006/relationships/image" Target="media/image596.png"/><Relationship Id="rId612" Type="http://schemas.openxmlformats.org/officeDocument/2006/relationships/image" Target="media/image597.png"/><Relationship Id="rId613" Type="http://schemas.openxmlformats.org/officeDocument/2006/relationships/image" Target="media/image598.png"/><Relationship Id="rId614" Type="http://schemas.openxmlformats.org/officeDocument/2006/relationships/image" Target="media/image599.png"/><Relationship Id="rId615" Type="http://schemas.openxmlformats.org/officeDocument/2006/relationships/image" Target="media/image600.png"/><Relationship Id="rId616" Type="http://schemas.openxmlformats.org/officeDocument/2006/relationships/image" Target="media/image601.png"/><Relationship Id="rId617" Type="http://schemas.openxmlformats.org/officeDocument/2006/relationships/image" Target="media/image602.png"/><Relationship Id="rId618" Type="http://schemas.openxmlformats.org/officeDocument/2006/relationships/image" Target="media/image603.png"/><Relationship Id="rId619" Type="http://schemas.openxmlformats.org/officeDocument/2006/relationships/image" Target="media/image604.png"/><Relationship Id="rId620" Type="http://schemas.openxmlformats.org/officeDocument/2006/relationships/image" Target="media/image605.png"/><Relationship Id="rId621" Type="http://schemas.openxmlformats.org/officeDocument/2006/relationships/image" Target="media/image606.png"/><Relationship Id="rId622" Type="http://schemas.openxmlformats.org/officeDocument/2006/relationships/image" Target="media/image607.png"/><Relationship Id="rId623" Type="http://schemas.openxmlformats.org/officeDocument/2006/relationships/image" Target="media/image608.png"/><Relationship Id="rId624" Type="http://schemas.openxmlformats.org/officeDocument/2006/relationships/image" Target="media/image609.png"/><Relationship Id="rId625" Type="http://schemas.openxmlformats.org/officeDocument/2006/relationships/image" Target="media/image610.png"/><Relationship Id="rId626" Type="http://schemas.openxmlformats.org/officeDocument/2006/relationships/image" Target="media/image611.png"/><Relationship Id="rId627" Type="http://schemas.openxmlformats.org/officeDocument/2006/relationships/image" Target="media/image612.png"/><Relationship Id="rId628" Type="http://schemas.openxmlformats.org/officeDocument/2006/relationships/image" Target="media/image613.png"/><Relationship Id="rId629" Type="http://schemas.openxmlformats.org/officeDocument/2006/relationships/image" Target="media/image614.png"/><Relationship Id="rId630" Type="http://schemas.openxmlformats.org/officeDocument/2006/relationships/image" Target="media/image615.png"/><Relationship Id="rId631" Type="http://schemas.openxmlformats.org/officeDocument/2006/relationships/image" Target="media/image616.png"/><Relationship Id="rId632" Type="http://schemas.openxmlformats.org/officeDocument/2006/relationships/image" Target="media/image617.png"/><Relationship Id="rId633" Type="http://schemas.openxmlformats.org/officeDocument/2006/relationships/image" Target="media/image618.png"/><Relationship Id="rId634" Type="http://schemas.openxmlformats.org/officeDocument/2006/relationships/image" Target="media/image619.png"/><Relationship Id="rId635" Type="http://schemas.openxmlformats.org/officeDocument/2006/relationships/image" Target="media/image620.png"/><Relationship Id="rId636" Type="http://schemas.openxmlformats.org/officeDocument/2006/relationships/image" Target="media/image621.png"/><Relationship Id="rId637" Type="http://schemas.openxmlformats.org/officeDocument/2006/relationships/image" Target="media/image622.png"/><Relationship Id="rId638" Type="http://schemas.openxmlformats.org/officeDocument/2006/relationships/image" Target="media/image623.png"/><Relationship Id="rId639" Type="http://schemas.openxmlformats.org/officeDocument/2006/relationships/image" Target="media/image624.png"/><Relationship Id="rId640" Type="http://schemas.openxmlformats.org/officeDocument/2006/relationships/image" Target="media/image625.png"/><Relationship Id="rId641" Type="http://schemas.openxmlformats.org/officeDocument/2006/relationships/image" Target="media/image626.png"/><Relationship Id="rId642" Type="http://schemas.openxmlformats.org/officeDocument/2006/relationships/image" Target="media/image627.png"/><Relationship Id="rId643" Type="http://schemas.openxmlformats.org/officeDocument/2006/relationships/image" Target="media/image628.png"/><Relationship Id="rId644" Type="http://schemas.openxmlformats.org/officeDocument/2006/relationships/image" Target="media/image629.png"/><Relationship Id="rId645" Type="http://schemas.openxmlformats.org/officeDocument/2006/relationships/image" Target="media/image630.png"/><Relationship Id="rId646" Type="http://schemas.openxmlformats.org/officeDocument/2006/relationships/image" Target="media/image631.png"/><Relationship Id="rId647" Type="http://schemas.openxmlformats.org/officeDocument/2006/relationships/image" Target="media/image632.png"/><Relationship Id="rId648" Type="http://schemas.openxmlformats.org/officeDocument/2006/relationships/image" Target="media/image633.png"/><Relationship Id="rId649" Type="http://schemas.openxmlformats.org/officeDocument/2006/relationships/image" Target="media/image634.png"/><Relationship Id="rId650" Type="http://schemas.openxmlformats.org/officeDocument/2006/relationships/image" Target="media/image635.png"/><Relationship Id="rId651" Type="http://schemas.openxmlformats.org/officeDocument/2006/relationships/image" Target="media/image636.png"/><Relationship Id="rId652" Type="http://schemas.openxmlformats.org/officeDocument/2006/relationships/image" Target="media/image637.png"/><Relationship Id="rId653" Type="http://schemas.openxmlformats.org/officeDocument/2006/relationships/image" Target="media/image638.png"/><Relationship Id="rId654" Type="http://schemas.openxmlformats.org/officeDocument/2006/relationships/image" Target="media/image639.png"/><Relationship Id="rId655" Type="http://schemas.openxmlformats.org/officeDocument/2006/relationships/image" Target="media/image640.png"/><Relationship Id="rId656" Type="http://schemas.openxmlformats.org/officeDocument/2006/relationships/image" Target="media/image641.png"/><Relationship Id="rId657" Type="http://schemas.openxmlformats.org/officeDocument/2006/relationships/image" Target="media/image642.png"/><Relationship Id="rId658" Type="http://schemas.openxmlformats.org/officeDocument/2006/relationships/image" Target="media/image643.jpeg"/><Relationship Id="rId659" Type="http://schemas.openxmlformats.org/officeDocument/2006/relationships/image" Target="media/image644.jpeg"/><Relationship Id="rId660" Type="http://schemas.openxmlformats.org/officeDocument/2006/relationships/image" Target="media/image645.png"/><Relationship Id="rId661" Type="http://schemas.openxmlformats.org/officeDocument/2006/relationships/image" Target="media/image646.jpeg"/><Relationship Id="rId662" Type="http://schemas.openxmlformats.org/officeDocument/2006/relationships/image" Target="media/image647.jpeg"/><Relationship Id="rId663" Type="http://schemas.openxmlformats.org/officeDocument/2006/relationships/image" Target="media/image648.png"/><Relationship Id="rId664" Type="http://schemas.openxmlformats.org/officeDocument/2006/relationships/image" Target="media/image649.jpeg"/><Relationship Id="rId665" Type="http://schemas.openxmlformats.org/officeDocument/2006/relationships/image" Target="media/image650.jpeg"/><Relationship Id="rId666" Type="http://schemas.openxmlformats.org/officeDocument/2006/relationships/image" Target="media/image651.png"/><Relationship Id="rId667" Type="http://schemas.openxmlformats.org/officeDocument/2006/relationships/image" Target="media/image652.jpeg"/><Relationship Id="rId668" Type="http://schemas.openxmlformats.org/officeDocument/2006/relationships/image" Target="media/image653.jpeg"/><Relationship Id="rId669" Type="http://schemas.openxmlformats.org/officeDocument/2006/relationships/image" Target="media/image654.png"/><Relationship Id="rId670" Type="http://schemas.openxmlformats.org/officeDocument/2006/relationships/image" Target="media/image655.jpeg"/><Relationship Id="rId671" Type="http://schemas.openxmlformats.org/officeDocument/2006/relationships/image" Target="media/image656.jpeg"/><Relationship Id="rId672" Type="http://schemas.openxmlformats.org/officeDocument/2006/relationships/image" Target="media/image657.png"/><Relationship Id="rId673" Type="http://schemas.openxmlformats.org/officeDocument/2006/relationships/image" Target="media/image658.jpeg"/><Relationship Id="rId674" Type="http://schemas.openxmlformats.org/officeDocument/2006/relationships/image" Target="media/image659.jpeg"/><Relationship Id="rId675" Type="http://schemas.openxmlformats.org/officeDocument/2006/relationships/image" Target="media/image660.png"/><Relationship Id="rId676" Type="http://schemas.openxmlformats.org/officeDocument/2006/relationships/image" Target="media/image661.jpeg"/><Relationship Id="rId677" Type="http://schemas.openxmlformats.org/officeDocument/2006/relationships/image" Target="media/image662.jpeg"/><Relationship Id="rId678" Type="http://schemas.openxmlformats.org/officeDocument/2006/relationships/image" Target="media/image663.png"/><Relationship Id="rId679" Type="http://schemas.openxmlformats.org/officeDocument/2006/relationships/image" Target="media/image664.jpeg"/><Relationship Id="rId680" Type="http://schemas.openxmlformats.org/officeDocument/2006/relationships/image" Target="media/image665.jpeg"/><Relationship Id="rId681" Type="http://schemas.openxmlformats.org/officeDocument/2006/relationships/image" Target="media/image666.png"/><Relationship Id="rId682" Type="http://schemas.openxmlformats.org/officeDocument/2006/relationships/image" Target="media/image667.jpeg"/><Relationship Id="rId683" Type="http://schemas.openxmlformats.org/officeDocument/2006/relationships/image" Target="media/image668.jpeg"/><Relationship Id="rId684" Type="http://schemas.openxmlformats.org/officeDocument/2006/relationships/image" Target="media/image669.png"/><Relationship Id="rId685" Type="http://schemas.openxmlformats.org/officeDocument/2006/relationships/image" Target="media/image670.jpeg"/><Relationship Id="rId686" Type="http://schemas.openxmlformats.org/officeDocument/2006/relationships/image" Target="media/image671.jpeg"/><Relationship Id="rId687" Type="http://schemas.openxmlformats.org/officeDocument/2006/relationships/image" Target="media/image672.png"/><Relationship Id="rId688" Type="http://schemas.openxmlformats.org/officeDocument/2006/relationships/image" Target="media/image673.jpeg"/><Relationship Id="rId689" Type="http://schemas.openxmlformats.org/officeDocument/2006/relationships/image" Target="media/image674.jpeg"/><Relationship Id="rId690" Type="http://schemas.openxmlformats.org/officeDocument/2006/relationships/image" Target="media/image675.png"/><Relationship Id="rId691" Type="http://schemas.openxmlformats.org/officeDocument/2006/relationships/image" Target="media/image676.jpeg"/><Relationship Id="rId692" Type="http://schemas.openxmlformats.org/officeDocument/2006/relationships/image" Target="media/image677.png"/><Relationship Id="rId693" Type="http://schemas.openxmlformats.org/officeDocument/2006/relationships/image" Target="media/image678.png"/><Relationship Id="rId694" Type="http://schemas.openxmlformats.org/officeDocument/2006/relationships/image" Target="media/image679.jpeg"/><Relationship Id="rId695" Type="http://schemas.openxmlformats.org/officeDocument/2006/relationships/image" Target="media/image680.png"/><Relationship Id="rId696" Type="http://schemas.openxmlformats.org/officeDocument/2006/relationships/image" Target="media/image681.jpeg"/><Relationship Id="rId697" Type="http://schemas.openxmlformats.org/officeDocument/2006/relationships/image" Target="media/image682.jpeg"/><Relationship Id="rId698" Type="http://schemas.openxmlformats.org/officeDocument/2006/relationships/image" Target="media/image683.png"/><Relationship Id="rId699" Type="http://schemas.openxmlformats.org/officeDocument/2006/relationships/image" Target="media/image684.png"/><Relationship Id="rId700" Type="http://schemas.openxmlformats.org/officeDocument/2006/relationships/image" Target="media/image685.png"/><Relationship Id="rId701" Type="http://schemas.openxmlformats.org/officeDocument/2006/relationships/image" Target="media/image686.png"/><Relationship Id="rId702" Type="http://schemas.openxmlformats.org/officeDocument/2006/relationships/image" Target="media/image687.png"/><Relationship Id="rId703" Type="http://schemas.openxmlformats.org/officeDocument/2006/relationships/image" Target="media/image688.png"/><Relationship Id="rId704" Type="http://schemas.openxmlformats.org/officeDocument/2006/relationships/image" Target="media/image689.png"/><Relationship Id="rId705" Type="http://schemas.openxmlformats.org/officeDocument/2006/relationships/image" Target="media/image690.png"/><Relationship Id="rId706" Type="http://schemas.openxmlformats.org/officeDocument/2006/relationships/image" Target="media/image691.png"/><Relationship Id="rId707" Type="http://schemas.openxmlformats.org/officeDocument/2006/relationships/image" Target="media/image692.png"/><Relationship Id="rId708" Type="http://schemas.openxmlformats.org/officeDocument/2006/relationships/image" Target="media/image693.png"/><Relationship Id="rId709" Type="http://schemas.openxmlformats.org/officeDocument/2006/relationships/image" Target="media/image694.png"/><Relationship Id="rId710" Type="http://schemas.openxmlformats.org/officeDocument/2006/relationships/image" Target="media/image695.png"/><Relationship Id="rId711" Type="http://schemas.openxmlformats.org/officeDocument/2006/relationships/image" Target="media/image696.png"/><Relationship Id="rId712" Type="http://schemas.openxmlformats.org/officeDocument/2006/relationships/image" Target="media/image697.png"/><Relationship Id="rId713" Type="http://schemas.openxmlformats.org/officeDocument/2006/relationships/image" Target="media/image698.png"/><Relationship Id="rId714" Type="http://schemas.openxmlformats.org/officeDocument/2006/relationships/image" Target="media/image699.png"/><Relationship Id="rId715" Type="http://schemas.openxmlformats.org/officeDocument/2006/relationships/image" Target="media/image700.png"/><Relationship Id="rId716" Type="http://schemas.openxmlformats.org/officeDocument/2006/relationships/image" Target="media/image701.png"/><Relationship Id="rId717" Type="http://schemas.openxmlformats.org/officeDocument/2006/relationships/image" Target="media/image702.png"/><Relationship Id="rId718" Type="http://schemas.openxmlformats.org/officeDocument/2006/relationships/image" Target="media/image703.png"/><Relationship Id="rId719" Type="http://schemas.openxmlformats.org/officeDocument/2006/relationships/image" Target="media/image704.png"/><Relationship Id="rId720" Type="http://schemas.openxmlformats.org/officeDocument/2006/relationships/image" Target="media/image705.png"/><Relationship Id="rId721" Type="http://schemas.openxmlformats.org/officeDocument/2006/relationships/image" Target="media/image706.png"/><Relationship Id="rId722" Type="http://schemas.openxmlformats.org/officeDocument/2006/relationships/image" Target="media/image707.png"/><Relationship Id="rId723" Type="http://schemas.openxmlformats.org/officeDocument/2006/relationships/image" Target="media/image708.png"/><Relationship Id="rId724" Type="http://schemas.openxmlformats.org/officeDocument/2006/relationships/image" Target="media/image709.png"/><Relationship Id="rId725" Type="http://schemas.openxmlformats.org/officeDocument/2006/relationships/image" Target="media/image710.png"/><Relationship Id="rId726" Type="http://schemas.openxmlformats.org/officeDocument/2006/relationships/image" Target="media/image711.png"/><Relationship Id="rId727" Type="http://schemas.openxmlformats.org/officeDocument/2006/relationships/image" Target="media/image712.png"/><Relationship Id="rId728" Type="http://schemas.openxmlformats.org/officeDocument/2006/relationships/image" Target="media/image713.png"/><Relationship Id="rId729" Type="http://schemas.openxmlformats.org/officeDocument/2006/relationships/image" Target="media/image714.png"/><Relationship Id="rId730" Type="http://schemas.openxmlformats.org/officeDocument/2006/relationships/image" Target="media/image715.png"/><Relationship Id="rId731" Type="http://schemas.openxmlformats.org/officeDocument/2006/relationships/image" Target="media/image716.png"/><Relationship Id="rId732" Type="http://schemas.openxmlformats.org/officeDocument/2006/relationships/image" Target="media/image717.png"/><Relationship Id="rId733" Type="http://schemas.openxmlformats.org/officeDocument/2006/relationships/image" Target="media/image718.png"/><Relationship Id="rId734" Type="http://schemas.openxmlformats.org/officeDocument/2006/relationships/image" Target="media/image719.png"/><Relationship Id="rId735" Type="http://schemas.openxmlformats.org/officeDocument/2006/relationships/image" Target="media/image720.png"/><Relationship Id="rId736" Type="http://schemas.openxmlformats.org/officeDocument/2006/relationships/image" Target="media/image721.png"/><Relationship Id="rId737" Type="http://schemas.openxmlformats.org/officeDocument/2006/relationships/image" Target="media/image722.png"/><Relationship Id="rId738" Type="http://schemas.openxmlformats.org/officeDocument/2006/relationships/image" Target="media/image723.png"/><Relationship Id="rId739" Type="http://schemas.openxmlformats.org/officeDocument/2006/relationships/image" Target="media/image724.png"/><Relationship Id="rId740" Type="http://schemas.openxmlformats.org/officeDocument/2006/relationships/image" Target="media/image725.png"/><Relationship Id="rId741" Type="http://schemas.openxmlformats.org/officeDocument/2006/relationships/image" Target="media/image726.png"/><Relationship Id="rId742" Type="http://schemas.openxmlformats.org/officeDocument/2006/relationships/image" Target="media/image727.png"/><Relationship Id="rId743" Type="http://schemas.openxmlformats.org/officeDocument/2006/relationships/image" Target="media/image728.png"/><Relationship Id="rId744" Type="http://schemas.openxmlformats.org/officeDocument/2006/relationships/image" Target="media/image729.png"/><Relationship Id="rId745" Type="http://schemas.openxmlformats.org/officeDocument/2006/relationships/image" Target="media/image730.png"/><Relationship Id="rId746" Type="http://schemas.openxmlformats.org/officeDocument/2006/relationships/image" Target="media/image731.png"/><Relationship Id="rId747" Type="http://schemas.openxmlformats.org/officeDocument/2006/relationships/image" Target="media/image732.png"/><Relationship Id="rId748" Type="http://schemas.openxmlformats.org/officeDocument/2006/relationships/image" Target="media/image733.png"/><Relationship Id="rId749" Type="http://schemas.openxmlformats.org/officeDocument/2006/relationships/image" Target="media/image734.png"/><Relationship Id="rId750" Type="http://schemas.openxmlformats.org/officeDocument/2006/relationships/image" Target="media/image735.png"/><Relationship Id="rId751" Type="http://schemas.openxmlformats.org/officeDocument/2006/relationships/image" Target="media/image736.png"/><Relationship Id="rId752" Type="http://schemas.openxmlformats.org/officeDocument/2006/relationships/image" Target="media/image737.png"/><Relationship Id="rId753" Type="http://schemas.openxmlformats.org/officeDocument/2006/relationships/image" Target="media/image738.png"/><Relationship Id="rId754" Type="http://schemas.openxmlformats.org/officeDocument/2006/relationships/image" Target="media/image739.png"/><Relationship Id="rId755" Type="http://schemas.openxmlformats.org/officeDocument/2006/relationships/image" Target="media/image740.png"/><Relationship Id="rId756" Type="http://schemas.openxmlformats.org/officeDocument/2006/relationships/image" Target="media/image741.png"/><Relationship Id="rId757" Type="http://schemas.openxmlformats.org/officeDocument/2006/relationships/image" Target="media/image742.png"/><Relationship Id="rId758" Type="http://schemas.openxmlformats.org/officeDocument/2006/relationships/image" Target="media/image743.png"/><Relationship Id="rId759" Type="http://schemas.openxmlformats.org/officeDocument/2006/relationships/image" Target="media/image744.png"/><Relationship Id="rId760" Type="http://schemas.openxmlformats.org/officeDocument/2006/relationships/image" Target="media/image745.png"/><Relationship Id="rId761" Type="http://schemas.openxmlformats.org/officeDocument/2006/relationships/image" Target="media/image746.png"/><Relationship Id="rId762" Type="http://schemas.openxmlformats.org/officeDocument/2006/relationships/image" Target="media/image747.png"/><Relationship Id="rId763" Type="http://schemas.openxmlformats.org/officeDocument/2006/relationships/image" Target="media/image748.png"/><Relationship Id="rId764" Type="http://schemas.openxmlformats.org/officeDocument/2006/relationships/image" Target="media/image749.png"/><Relationship Id="rId765" Type="http://schemas.openxmlformats.org/officeDocument/2006/relationships/image" Target="media/image750.png"/><Relationship Id="rId766" Type="http://schemas.openxmlformats.org/officeDocument/2006/relationships/image" Target="media/image751.png"/><Relationship Id="rId767" Type="http://schemas.openxmlformats.org/officeDocument/2006/relationships/image" Target="media/image752.png"/><Relationship Id="rId768" Type="http://schemas.openxmlformats.org/officeDocument/2006/relationships/image" Target="media/image753.png"/><Relationship Id="rId769" Type="http://schemas.openxmlformats.org/officeDocument/2006/relationships/image" Target="media/image754.png"/><Relationship Id="rId770" Type="http://schemas.openxmlformats.org/officeDocument/2006/relationships/image" Target="media/image755.png"/><Relationship Id="rId771" Type="http://schemas.openxmlformats.org/officeDocument/2006/relationships/image" Target="media/image756.png"/><Relationship Id="rId772" Type="http://schemas.openxmlformats.org/officeDocument/2006/relationships/image" Target="media/image757.png"/><Relationship Id="rId773" Type="http://schemas.openxmlformats.org/officeDocument/2006/relationships/image" Target="media/image758.png"/><Relationship Id="rId774" Type="http://schemas.openxmlformats.org/officeDocument/2006/relationships/image" Target="media/image759.png"/><Relationship Id="rId775" Type="http://schemas.openxmlformats.org/officeDocument/2006/relationships/image" Target="media/image760.png"/><Relationship Id="rId776" Type="http://schemas.openxmlformats.org/officeDocument/2006/relationships/image" Target="media/image761.png"/><Relationship Id="rId777" Type="http://schemas.openxmlformats.org/officeDocument/2006/relationships/image" Target="media/image762.png"/><Relationship Id="rId778" Type="http://schemas.openxmlformats.org/officeDocument/2006/relationships/image" Target="media/image763.png"/><Relationship Id="rId779" Type="http://schemas.openxmlformats.org/officeDocument/2006/relationships/image" Target="media/image764.png"/><Relationship Id="rId780" Type="http://schemas.openxmlformats.org/officeDocument/2006/relationships/image" Target="media/image765.png"/><Relationship Id="rId781" Type="http://schemas.openxmlformats.org/officeDocument/2006/relationships/image" Target="media/image766.png"/><Relationship Id="rId782" Type="http://schemas.openxmlformats.org/officeDocument/2006/relationships/image" Target="media/image767.png"/><Relationship Id="rId783" Type="http://schemas.openxmlformats.org/officeDocument/2006/relationships/image" Target="media/image768.png"/><Relationship Id="rId784" Type="http://schemas.openxmlformats.org/officeDocument/2006/relationships/image" Target="media/image769.png"/><Relationship Id="rId785" Type="http://schemas.openxmlformats.org/officeDocument/2006/relationships/image" Target="media/image770.png"/><Relationship Id="rId786" Type="http://schemas.openxmlformats.org/officeDocument/2006/relationships/image" Target="media/image771.png"/><Relationship Id="rId787" Type="http://schemas.openxmlformats.org/officeDocument/2006/relationships/image" Target="media/image772.png"/><Relationship Id="rId788" Type="http://schemas.openxmlformats.org/officeDocument/2006/relationships/image" Target="media/image773.png"/><Relationship Id="rId789" Type="http://schemas.openxmlformats.org/officeDocument/2006/relationships/image" Target="media/image774.png"/><Relationship Id="rId790" Type="http://schemas.openxmlformats.org/officeDocument/2006/relationships/image" Target="media/image775.png"/><Relationship Id="rId791" Type="http://schemas.openxmlformats.org/officeDocument/2006/relationships/image" Target="media/image776.png"/><Relationship Id="rId792" Type="http://schemas.openxmlformats.org/officeDocument/2006/relationships/image" Target="media/image777.png"/><Relationship Id="rId793" Type="http://schemas.openxmlformats.org/officeDocument/2006/relationships/image" Target="media/image778.png"/><Relationship Id="rId794" Type="http://schemas.openxmlformats.org/officeDocument/2006/relationships/image" Target="media/image779.png"/><Relationship Id="rId795" Type="http://schemas.openxmlformats.org/officeDocument/2006/relationships/image" Target="media/image780.png"/><Relationship Id="rId796" Type="http://schemas.openxmlformats.org/officeDocument/2006/relationships/image" Target="media/image781.png"/><Relationship Id="rId797" Type="http://schemas.openxmlformats.org/officeDocument/2006/relationships/image" Target="media/image782.png"/><Relationship Id="rId798" Type="http://schemas.openxmlformats.org/officeDocument/2006/relationships/image" Target="media/image783.png"/><Relationship Id="rId799" Type="http://schemas.openxmlformats.org/officeDocument/2006/relationships/image" Target="media/image784.png"/><Relationship Id="rId800" Type="http://schemas.openxmlformats.org/officeDocument/2006/relationships/image" Target="media/image785.png"/><Relationship Id="rId801" Type="http://schemas.openxmlformats.org/officeDocument/2006/relationships/image" Target="media/image786.png"/><Relationship Id="rId802" Type="http://schemas.openxmlformats.org/officeDocument/2006/relationships/image" Target="media/image787.png"/><Relationship Id="rId803" Type="http://schemas.openxmlformats.org/officeDocument/2006/relationships/image" Target="media/image788.png"/><Relationship Id="rId804" Type="http://schemas.openxmlformats.org/officeDocument/2006/relationships/image" Target="media/image789.png"/><Relationship Id="rId805" Type="http://schemas.openxmlformats.org/officeDocument/2006/relationships/image" Target="media/image790.png"/><Relationship Id="rId806" Type="http://schemas.openxmlformats.org/officeDocument/2006/relationships/image" Target="media/image791.png"/><Relationship Id="rId807" Type="http://schemas.openxmlformats.org/officeDocument/2006/relationships/image" Target="media/image792.png"/><Relationship Id="rId808" Type="http://schemas.openxmlformats.org/officeDocument/2006/relationships/image" Target="media/image793.png"/><Relationship Id="rId809" Type="http://schemas.openxmlformats.org/officeDocument/2006/relationships/image" Target="media/image794.png"/><Relationship Id="rId810" Type="http://schemas.openxmlformats.org/officeDocument/2006/relationships/image" Target="media/image795.png"/><Relationship Id="rId811" Type="http://schemas.openxmlformats.org/officeDocument/2006/relationships/image" Target="media/image796.png"/><Relationship Id="rId812" Type="http://schemas.openxmlformats.org/officeDocument/2006/relationships/image" Target="media/image797.png"/><Relationship Id="rId813" Type="http://schemas.openxmlformats.org/officeDocument/2006/relationships/image" Target="media/image798.png"/><Relationship Id="rId814" Type="http://schemas.openxmlformats.org/officeDocument/2006/relationships/image" Target="media/image799.png"/><Relationship Id="rId815" Type="http://schemas.openxmlformats.org/officeDocument/2006/relationships/image" Target="media/image800.png"/><Relationship Id="rId816" Type="http://schemas.openxmlformats.org/officeDocument/2006/relationships/image" Target="media/image801.png"/><Relationship Id="rId817" Type="http://schemas.openxmlformats.org/officeDocument/2006/relationships/image" Target="media/image802.png"/><Relationship Id="rId818" Type="http://schemas.openxmlformats.org/officeDocument/2006/relationships/image" Target="media/image803.png"/><Relationship Id="rId819" Type="http://schemas.openxmlformats.org/officeDocument/2006/relationships/image" Target="media/image804.png"/><Relationship Id="rId820" Type="http://schemas.openxmlformats.org/officeDocument/2006/relationships/image" Target="media/image805.png"/><Relationship Id="rId821" Type="http://schemas.openxmlformats.org/officeDocument/2006/relationships/image" Target="media/image806.png"/><Relationship Id="rId822" Type="http://schemas.openxmlformats.org/officeDocument/2006/relationships/image" Target="media/image807.png"/><Relationship Id="rId823" Type="http://schemas.openxmlformats.org/officeDocument/2006/relationships/image" Target="media/image808.png"/><Relationship Id="rId824" Type="http://schemas.openxmlformats.org/officeDocument/2006/relationships/image" Target="media/image809.png"/><Relationship Id="rId825" Type="http://schemas.openxmlformats.org/officeDocument/2006/relationships/image" Target="media/image810.png"/><Relationship Id="rId826" Type="http://schemas.openxmlformats.org/officeDocument/2006/relationships/image" Target="media/image811.png"/><Relationship Id="rId827" Type="http://schemas.openxmlformats.org/officeDocument/2006/relationships/image" Target="media/image812.png"/><Relationship Id="rId828" Type="http://schemas.openxmlformats.org/officeDocument/2006/relationships/image" Target="media/image813.png"/><Relationship Id="rId829" Type="http://schemas.openxmlformats.org/officeDocument/2006/relationships/image" Target="media/image814.png"/><Relationship Id="rId830" Type="http://schemas.openxmlformats.org/officeDocument/2006/relationships/image" Target="media/image815.png"/><Relationship Id="rId831" Type="http://schemas.openxmlformats.org/officeDocument/2006/relationships/image" Target="media/image816.png"/><Relationship Id="rId832" Type="http://schemas.openxmlformats.org/officeDocument/2006/relationships/image" Target="media/image817.png"/><Relationship Id="rId833" Type="http://schemas.openxmlformats.org/officeDocument/2006/relationships/image" Target="media/image818.png"/><Relationship Id="rId834" Type="http://schemas.openxmlformats.org/officeDocument/2006/relationships/image" Target="media/image819.png"/><Relationship Id="rId835" Type="http://schemas.openxmlformats.org/officeDocument/2006/relationships/image" Target="media/image820.png"/><Relationship Id="rId836" Type="http://schemas.openxmlformats.org/officeDocument/2006/relationships/image" Target="media/image821.png"/><Relationship Id="rId837" Type="http://schemas.openxmlformats.org/officeDocument/2006/relationships/image" Target="media/image822.png"/><Relationship Id="rId838" Type="http://schemas.openxmlformats.org/officeDocument/2006/relationships/image" Target="media/image823.png"/><Relationship Id="rId839" Type="http://schemas.openxmlformats.org/officeDocument/2006/relationships/image" Target="media/image824.png"/><Relationship Id="rId840" Type="http://schemas.openxmlformats.org/officeDocument/2006/relationships/image" Target="media/image825.png"/><Relationship Id="rId841" Type="http://schemas.openxmlformats.org/officeDocument/2006/relationships/image" Target="media/image826.png"/><Relationship Id="rId842" Type="http://schemas.openxmlformats.org/officeDocument/2006/relationships/image" Target="media/image827.png"/><Relationship Id="rId843" Type="http://schemas.openxmlformats.org/officeDocument/2006/relationships/image" Target="media/image828.png"/><Relationship Id="rId844" Type="http://schemas.openxmlformats.org/officeDocument/2006/relationships/image" Target="media/image829.png"/><Relationship Id="rId845" Type="http://schemas.openxmlformats.org/officeDocument/2006/relationships/image" Target="media/image830.png"/><Relationship Id="rId846" Type="http://schemas.openxmlformats.org/officeDocument/2006/relationships/image" Target="media/image831.png"/><Relationship Id="rId847" Type="http://schemas.openxmlformats.org/officeDocument/2006/relationships/image" Target="media/image832.png"/><Relationship Id="rId848" Type="http://schemas.openxmlformats.org/officeDocument/2006/relationships/image" Target="media/image833.png"/><Relationship Id="rId849" Type="http://schemas.openxmlformats.org/officeDocument/2006/relationships/image" Target="media/image834.png"/><Relationship Id="rId850" Type="http://schemas.openxmlformats.org/officeDocument/2006/relationships/image" Target="media/image835.png"/><Relationship Id="rId851" Type="http://schemas.openxmlformats.org/officeDocument/2006/relationships/image" Target="media/image836.png"/><Relationship Id="rId852" Type="http://schemas.openxmlformats.org/officeDocument/2006/relationships/image" Target="media/image837.png"/><Relationship Id="rId853" Type="http://schemas.openxmlformats.org/officeDocument/2006/relationships/image" Target="media/image838.png"/><Relationship Id="rId854" Type="http://schemas.openxmlformats.org/officeDocument/2006/relationships/image" Target="media/image839.png"/><Relationship Id="rId855" Type="http://schemas.openxmlformats.org/officeDocument/2006/relationships/image" Target="media/image840.png"/><Relationship Id="rId856" Type="http://schemas.openxmlformats.org/officeDocument/2006/relationships/image" Target="media/image841.png"/><Relationship Id="rId857" Type="http://schemas.openxmlformats.org/officeDocument/2006/relationships/image" Target="media/image842.png"/><Relationship Id="rId858" Type="http://schemas.openxmlformats.org/officeDocument/2006/relationships/image" Target="media/image843.png"/><Relationship Id="rId859" Type="http://schemas.openxmlformats.org/officeDocument/2006/relationships/image" Target="media/image844.png"/><Relationship Id="rId860" Type="http://schemas.openxmlformats.org/officeDocument/2006/relationships/image" Target="media/image845.png"/><Relationship Id="rId861" Type="http://schemas.openxmlformats.org/officeDocument/2006/relationships/image" Target="media/image846.png"/><Relationship Id="rId862" Type="http://schemas.openxmlformats.org/officeDocument/2006/relationships/image" Target="media/image847.png"/><Relationship Id="rId863" Type="http://schemas.openxmlformats.org/officeDocument/2006/relationships/image" Target="media/image848.png"/><Relationship Id="rId864" Type="http://schemas.openxmlformats.org/officeDocument/2006/relationships/image" Target="media/image849.png"/><Relationship Id="rId865" Type="http://schemas.openxmlformats.org/officeDocument/2006/relationships/image" Target="media/image850.png"/><Relationship Id="rId866" Type="http://schemas.openxmlformats.org/officeDocument/2006/relationships/image" Target="media/image851.png"/><Relationship Id="rId867" Type="http://schemas.openxmlformats.org/officeDocument/2006/relationships/image" Target="media/image852.png"/><Relationship Id="rId868" Type="http://schemas.openxmlformats.org/officeDocument/2006/relationships/image" Target="media/image853.png"/><Relationship Id="rId869" Type="http://schemas.openxmlformats.org/officeDocument/2006/relationships/image" Target="media/image854.png"/><Relationship Id="rId870" Type="http://schemas.openxmlformats.org/officeDocument/2006/relationships/image" Target="media/image855.png"/><Relationship Id="rId871" Type="http://schemas.openxmlformats.org/officeDocument/2006/relationships/image" Target="media/image856.png"/><Relationship Id="rId872" Type="http://schemas.openxmlformats.org/officeDocument/2006/relationships/image" Target="media/image857.png"/><Relationship Id="rId873" Type="http://schemas.openxmlformats.org/officeDocument/2006/relationships/image" Target="media/image858.png"/><Relationship Id="rId874" Type="http://schemas.openxmlformats.org/officeDocument/2006/relationships/image" Target="media/image859.png"/><Relationship Id="rId875" Type="http://schemas.openxmlformats.org/officeDocument/2006/relationships/image" Target="media/image860.png"/><Relationship Id="rId876" Type="http://schemas.openxmlformats.org/officeDocument/2006/relationships/image" Target="media/image861.png"/><Relationship Id="rId877" Type="http://schemas.openxmlformats.org/officeDocument/2006/relationships/image" Target="media/image862.png"/><Relationship Id="rId878" Type="http://schemas.openxmlformats.org/officeDocument/2006/relationships/image" Target="media/image863.png"/><Relationship Id="rId879" Type="http://schemas.openxmlformats.org/officeDocument/2006/relationships/image" Target="media/image864.png"/><Relationship Id="rId880" Type="http://schemas.openxmlformats.org/officeDocument/2006/relationships/image" Target="media/image865.png"/><Relationship Id="rId881" Type="http://schemas.openxmlformats.org/officeDocument/2006/relationships/image" Target="media/image866.png"/><Relationship Id="rId882" Type="http://schemas.openxmlformats.org/officeDocument/2006/relationships/image" Target="media/image867.png"/><Relationship Id="rId883" Type="http://schemas.openxmlformats.org/officeDocument/2006/relationships/image" Target="media/image868.png"/><Relationship Id="rId884" Type="http://schemas.openxmlformats.org/officeDocument/2006/relationships/image" Target="media/image869.png"/><Relationship Id="rId885" Type="http://schemas.openxmlformats.org/officeDocument/2006/relationships/image" Target="media/image870.png"/><Relationship Id="rId886" Type="http://schemas.openxmlformats.org/officeDocument/2006/relationships/image" Target="media/image871.png"/><Relationship Id="rId887" Type="http://schemas.openxmlformats.org/officeDocument/2006/relationships/image" Target="media/image872.png"/><Relationship Id="rId888" Type="http://schemas.openxmlformats.org/officeDocument/2006/relationships/image" Target="media/image873.png"/><Relationship Id="rId889" Type="http://schemas.openxmlformats.org/officeDocument/2006/relationships/image" Target="media/image874.png"/><Relationship Id="rId890" Type="http://schemas.openxmlformats.org/officeDocument/2006/relationships/image" Target="media/image875.png"/><Relationship Id="rId891" Type="http://schemas.openxmlformats.org/officeDocument/2006/relationships/image" Target="media/image876.png"/><Relationship Id="rId892" Type="http://schemas.openxmlformats.org/officeDocument/2006/relationships/image" Target="media/image877.png"/><Relationship Id="rId893" Type="http://schemas.openxmlformats.org/officeDocument/2006/relationships/image" Target="media/image878.png"/><Relationship Id="rId894" Type="http://schemas.openxmlformats.org/officeDocument/2006/relationships/image" Target="media/image879.png"/><Relationship Id="rId895" Type="http://schemas.openxmlformats.org/officeDocument/2006/relationships/image" Target="media/image880.png"/><Relationship Id="rId896" Type="http://schemas.openxmlformats.org/officeDocument/2006/relationships/image" Target="media/image881.png"/><Relationship Id="rId897" Type="http://schemas.openxmlformats.org/officeDocument/2006/relationships/image" Target="media/image882.png"/><Relationship Id="rId898" Type="http://schemas.openxmlformats.org/officeDocument/2006/relationships/image" Target="media/image883.png"/><Relationship Id="rId899" Type="http://schemas.openxmlformats.org/officeDocument/2006/relationships/image" Target="media/image884.png"/><Relationship Id="rId900" Type="http://schemas.openxmlformats.org/officeDocument/2006/relationships/image" Target="media/image885.jpeg"/><Relationship Id="rId901" Type="http://schemas.openxmlformats.org/officeDocument/2006/relationships/image" Target="media/image886.png"/><Relationship Id="rId902" Type="http://schemas.openxmlformats.org/officeDocument/2006/relationships/image" Target="media/image887.jpeg"/><Relationship Id="rId903" Type="http://schemas.openxmlformats.org/officeDocument/2006/relationships/image" Target="media/image888.jpeg"/><Relationship Id="rId904" Type="http://schemas.openxmlformats.org/officeDocument/2006/relationships/image" Target="media/image889.png"/><Relationship Id="rId905" Type="http://schemas.openxmlformats.org/officeDocument/2006/relationships/image" Target="media/image890.jpeg"/><Relationship Id="rId906" Type="http://schemas.openxmlformats.org/officeDocument/2006/relationships/image" Target="media/image891.jpeg"/><Relationship Id="rId907" Type="http://schemas.openxmlformats.org/officeDocument/2006/relationships/image" Target="media/image892.png"/><Relationship Id="rId908" Type="http://schemas.openxmlformats.org/officeDocument/2006/relationships/image" Target="media/image893.jpeg"/><Relationship Id="rId909" Type="http://schemas.openxmlformats.org/officeDocument/2006/relationships/image" Target="media/image894.jpeg"/><Relationship Id="rId910" Type="http://schemas.openxmlformats.org/officeDocument/2006/relationships/image" Target="media/image895.png"/><Relationship Id="rId911" Type="http://schemas.openxmlformats.org/officeDocument/2006/relationships/image" Target="media/image896.jpeg"/><Relationship Id="rId912" Type="http://schemas.openxmlformats.org/officeDocument/2006/relationships/image" Target="media/image897.jpeg"/><Relationship Id="rId913" Type="http://schemas.openxmlformats.org/officeDocument/2006/relationships/image" Target="media/image898.png"/><Relationship Id="rId914" Type="http://schemas.openxmlformats.org/officeDocument/2006/relationships/image" Target="media/image899.jpeg"/><Relationship Id="rId915" Type="http://schemas.openxmlformats.org/officeDocument/2006/relationships/image" Target="media/image900.jpeg"/><Relationship Id="rId916" Type="http://schemas.openxmlformats.org/officeDocument/2006/relationships/image" Target="media/image901.png"/><Relationship Id="rId917" Type="http://schemas.openxmlformats.org/officeDocument/2006/relationships/image" Target="media/image902.jpeg"/><Relationship Id="rId918" Type="http://schemas.openxmlformats.org/officeDocument/2006/relationships/image" Target="media/image903.jpeg"/><Relationship Id="rId919" Type="http://schemas.openxmlformats.org/officeDocument/2006/relationships/image" Target="media/image904.png"/><Relationship Id="rId920" Type="http://schemas.openxmlformats.org/officeDocument/2006/relationships/image" Target="media/image905.jpeg"/><Relationship Id="rId921" Type="http://schemas.openxmlformats.org/officeDocument/2006/relationships/image" Target="media/image906.jpeg"/><Relationship Id="rId922" Type="http://schemas.openxmlformats.org/officeDocument/2006/relationships/image" Target="media/image907.png"/><Relationship Id="rId923" Type="http://schemas.openxmlformats.org/officeDocument/2006/relationships/image" Target="media/image908.jpeg"/><Relationship Id="rId924" Type="http://schemas.openxmlformats.org/officeDocument/2006/relationships/image" Target="media/image909.jpeg"/><Relationship Id="rId925" Type="http://schemas.openxmlformats.org/officeDocument/2006/relationships/image" Target="media/image910.png"/><Relationship Id="rId926" Type="http://schemas.openxmlformats.org/officeDocument/2006/relationships/image" Target="media/image911.jpeg"/><Relationship Id="rId927" Type="http://schemas.openxmlformats.org/officeDocument/2006/relationships/image" Target="media/image912.jpeg"/><Relationship Id="rId928" Type="http://schemas.openxmlformats.org/officeDocument/2006/relationships/image" Target="media/image913.png"/><Relationship Id="rId929" Type="http://schemas.openxmlformats.org/officeDocument/2006/relationships/image" Target="media/image914.jpeg"/><Relationship Id="rId930" Type="http://schemas.openxmlformats.org/officeDocument/2006/relationships/image" Target="media/image915.jpeg"/><Relationship Id="rId931" Type="http://schemas.openxmlformats.org/officeDocument/2006/relationships/image" Target="media/image916.png"/><Relationship Id="rId932" Type="http://schemas.openxmlformats.org/officeDocument/2006/relationships/image" Target="media/image917.jpeg"/><Relationship Id="rId933" Type="http://schemas.openxmlformats.org/officeDocument/2006/relationships/image" Target="media/image918.jpeg"/><Relationship Id="rId934" Type="http://schemas.openxmlformats.org/officeDocument/2006/relationships/image" Target="media/image919.png"/><Relationship Id="rId935" Type="http://schemas.openxmlformats.org/officeDocument/2006/relationships/image" Target="media/image920.jpeg"/><Relationship Id="rId936" Type="http://schemas.openxmlformats.org/officeDocument/2006/relationships/image" Target="media/image921.jpeg"/><Relationship Id="rId937" Type="http://schemas.openxmlformats.org/officeDocument/2006/relationships/image" Target="media/image922.png"/><Relationship Id="rId938" Type="http://schemas.openxmlformats.org/officeDocument/2006/relationships/image" Target="media/image923.jpeg"/><Relationship Id="rId939" Type="http://schemas.openxmlformats.org/officeDocument/2006/relationships/image" Target="media/image924.png"/><Relationship Id="rId940" Type="http://schemas.openxmlformats.org/officeDocument/2006/relationships/image" Target="media/image925.png"/><Relationship Id="rId941" Type="http://schemas.openxmlformats.org/officeDocument/2006/relationships/image" Target="media/image926.jpeg"/><Relationship Id="rId942" Type="http://schemas.openxmlformats.org/officeDocument/2006/relationships/image" Target="media/image927.png"/><Relationship Id="rId943" Type="http://schemas.openxmlformats.org/officeDocument/2006/relationships/image" Target="media/image928.jpeg"/><Relationship Id="rId944" Type="http://schemas.openxmlformats.org/officeDocument/2006/relationships/image" Target="media/image929.jpeg"/><Relationship Id="rId945" Type="http://schemas.openxmlformats.org/officeDocument/2006/relationships/image" Target="media/image930.png"/><Relationship Id="rId946" Type="http://schemas.openxmlformats.org/officeDocument/2006/relationships/image" Target="media/image931.jpeg"/><Relationship Id="rId947" Type="http://schemas.openxmlformats.org/officeDocument/2006/relationships/image" Target="media/image932.jpeg"/><Relationship Id="rId948" Type="http://schemas.openxmlformats.org/officeDocument/2006/relationships/image" Target="media/image933.png"/><Relationship Id="rId949" Type="http://schemas.openxmlformats.org/officeDocument/2006/relationships/image" Target="media/image934.png"/><Relationship Id="rId950" Type="http://schemas.openxmlformats.org/officeDocument/2006/relationships/image" Target="media/image935.png"/><Relationship Id="rId951" Type="http://schemas.openxmlformats.org/officeDocument/2006/relationships/image" Target="media/image936.png"/><Relationship Id="rId952" Type="http://schemas.openxmlformats.org/officeDocument/2006/relationships/image" Target="media/image937.png"/><Relationship Id="rId953" Type="http://schemas.openxmlformats.org/officeDocument/2006/relationships/image" Target="media/image938.png"/><Relationship Id="rId954" Type="http://schemas.openxmlformats.org/officeDocument/2006/relationships/image" Target="media/image939.png"/><Relationship Id="rId955" Type="http://schemas.openxmlformats.org/officeDocument/2006/relationships/image" Target="media/image940.png"/><Relationship Id="rId956" Type="http://schemas.openxmlformats.org/officeDocument/2006/relationships/image" Target="media/image941.png"/><Relationship Id="rId957" Type="http://schemas.openxmlformats.org/officeDocument/2006/relationships/image" Target="media/image942.png"/><Relationship Id="rId958" Type="http://schemas.openxmlformats.org/officeDocument/2006/relationships/image" Target="media/image943.png"/><Relationship Id="rId959" Type="http://schemas.openxmlformats.org/officeDocument/2006/relationships/image" Target="media/image944.png"/><Relationship Id="rId960" Type="http://schemas.openxmlformats.org/officeDocument/2006/relationships/image" Target="media/image945.png"/><Relationship Id="rId961" Type="http://schemas.openxmlformats.org/officeDocument/2006/relationships/image" Target="media/image946.png"/><Relationship Id="rId962" Type="http://schemas.openxmlformats.org/officeDocument/2006/relationships/image" Target="media/image947.png"/><Relationship Id="rId963" Type="http://schemas.openxmlformats.org/officeDocument/2006/relationships/image" Target="media/image948.png"/><Relationship Id="rId964" Type="http://schemas.openxmlformats.org/officeDocument/2006/relationships/image" Target="media/image949.png"/><Relationship Id="rId965" Type="http://schemas.openxmlformats.org/officeDocument/2006/relationships/image" Target="media/image950.png"/><Relationship Id="rId966" Type="http://schemas.openxmlformats.org/officeDocument/2006/relationships/image" Target="media/image951.png"/><Relationship Id="rId967" Type="http://schemas.openxmlformats.org/officeDocument/2006/relationships/image" Target="media/image952.png"/><Relationship Id="rId968" Type="http://schemas.openxmlformats.org/officeDocument/2006/relationships/image" Target="media/image953.png"/><Relationship Id="rId969" Type="http://schemas.openxmlformats.org/officeDocument/2006/relationships/image" Target="media/image954.png"/><Relationship Id="rId970" Type="http://schemas.openxmlformats.org/officeDocument/2006/relationships/image" Target="media/image955.png"/><Relationship Id="rId971" Type="http://schemas.openxmlformats.org/officeDocument/2006/relationships/image" Target="media/image956.png"/><Relationship Id="rId972" Type="http://schemas.openxmlformats.org/officeDocument/2006/relationships/image" Target="media/image957.png"/><Relationship Id="rId973" Type="http://schemas.openxmlformats.org/officeDocument/2006/relationships/image" Target="media/image958.png"/><Relationship Id="rId974" Type="http://schemas.openxmlformats.org/officeDocument/2006/relationships/image" Target="media/image959.png"/><Relationship Id="rId975" Type="http://schemas.openxmlformats.org/officeDocument/2006/relationships/image" Target="media/image960.png"/><Relationship Id="rId976" Type="http://schemas.openxmlformats.org/officeDocument/2006/relationships/image" Target="media/image961.png"/><Relationship Id="rId977" Type="http://schemas.openxmlformats.org/officeDocument/2006/relationships/image" Target="media/image962.png"/><Relationship Id="rId978" Type="http://schemas.openxmlformats.org/officeDocument/2006/relationships/image" Target="media/image963.png"/><Relationship Id="rId979" Type="http://schemas.openxmlformats.org/officeDocument/2006/relationships/image" Target="media/image964.png"/><Relationship Id="rId980" Type="http://schemas.openxmlformats.org/officeDocument/2006/relationships/image" Target="media/image965.png"/><Relationship Id="rId981" Type="http://schemas.openxmlformats.org/officeDocument/2006/relationships/image" Target="media/image966.png"/><Relationship Id="rId982" Type="http://schemas.openxmlformats.org/officeDocument/2006/relationships/image" Target="media/image967.png"/><Relationship Id="rId983" Type="http://schemas.openxmlformats.org/officeDocument/2006/relationships/image" Target="media/image968.png"/><Relationship Id="rId984" Type="http://schemas.openxmlformats.org/officeDocument/2006/relationships/image" Target="media/image969.png"/><Relationship Id="rId985" Type="http://schemas.openxmlformats.org/officeDocument/2006/relationships/image" Target="media/image970.png"/><Relationship Id="rId986" Type="http://schemas.openxmlformats.org/officeDocument/2006/relationships/image" Target="media/image971.png"/><Relationship Id="rId987" Type="http://schemas.openxmlformats.org/officeDocument/2006/relationships/image" Target="media/image972.png"/><Relationship Id="rId988" Type="http://schemas.openxmlformats.org/officeDocument/2006/relationships/image" Target="media/image973.png"/><Relationship Id="rId989" Type="http://schemas.openxmlformats.org/officeDocument/2006/relationships/image" Target="media/image974.png"/><Relationship Id="rId990" Type="http://schemas.openxmlformats.org/officeDocument/2006/relationships/image" Target="media/image975.png"/><Relationship Id="rId991" Type="http://schemas.openxmlformats.org/officeDocument/2006/relationships/image" Target="media/image976.png"/><Relationship Id="rId992" Type="http://schemas.openxmlformats.org/officeDocument/2006/relationships/image" Target="media/image977.png"/><Relationship Id="rId993" Type="http://schemas.openxmlformats.org/officeDocument/2006/relationships/image" Target="media/image978.png"/><Relationship Id="rId994" Type="http://schemas.openxmlformats.org/officeDocument/2006/relationships/image" Target="media/image979.png"/><Relationship Id="rId995" Type="http://schemas.openxmlformats.org/officeDocument/2006/relationships/image" Target="media/image980.png"/><Relationship Id="rId996" Type="http://schemas.openxmlformats.org/officeDocument/2006/relationships/image" Target="media/image981.png"/><Relationship Id="rId997" Type="http://schemas.openxmlformats.org/officeDocument/2006/relationships/image" Target="media/image982.png"/><Relationship Id="rId998" Type="http://schemas.openxmlformats.org/officeDocument/2006/relationships/image" Target="media/image983.png"/><Relationship Id="rId999" Type="http://schemas.openxmlformats.org/officeDocument/2006/relationships/image" Target="media/image984.png"/><Relationship Id="rId1000" Type="http://schemas.openxmlformats.org/officeDocument/2006/relationships/image" Target="media/image985.png"/><Relationship Id="rId1001" Type="http://schemas.openxmlformats.org/officeDocument/2006/relationships/image" Target="media/image986.png"/><Relationship Id="rId1002" Type="http://schemas.openxmlformats.org/officeDocument/2006/relationships/image" Target="media/image987.png"/><Relationship Id="rId1003" Type="http://schemas.openxmlformats.org/officeDocument/2006/relationships/image" Target="media/image988.png"/><Relationship Id="rId1004" Type="http://schemas.openxmlformats.org/officeDocument/2006/relationships/image" Target="media/image989.png"/><Relationship Id="rId1005" Type="http://schemas.openxmlformats.org/officeDocument/2006/relationships/image" Target="media/image990.png"/><Relationship Id="rId259" Type="http://schemas.openxmlformats.org/officeDocument/2006/relationships/hyperlink" Target="http://www.sec.gov/Archives/edgar/data/1636282/000119312523252528/d541146dex101.htm" TargetMode="External"/><Relationship Id="rId260" Type="http://schemas.openxmlformats.org/officeDocument/2006/relationships/hyperlink" Target="http://www.sec.gov/Archives/edgar/data/1636282/000119312523252528/d541146dex102.htm" TargetMode="External"/><Relationship Id="rId261" Type="http://schemas.openxmlformats.org/officeDocument/2006/relationships/hyperlink" Target="http://www.sec.gov/Archives/edgar/data/1636282/000119312523252528/d541146dex103.htm" TargetMode="External"/><Relationship Id="rId262" Type="http://schemas.openxmlformats.org/officeDocument/2006/relationships/hyperlink" Target="http://www.sec.gov/Archives/edgar/data/1636282/000119312523252528/d541146dex105.htm" TargetMode="External"/><Relationship Id="rId263" Type="http://schemas.openxmlformats.org/officeDocument/2006/relationships/hyperlink" Target="http://www.sec.gov/Archives/edgar/data/1636282/000119312523252528/d541146dex1013.htm" TargetMode="External"/><Relationship Id="rId264" Type="http://schemas.openxmlformats.org/officeDocument/2006/relationships/hyperlink" Target="http://www.sec.gov/Archives/edgar/data/1636282/000119312523252528/d541146dex1021.htm" TargetMode="External"/><Relationship Id="rId265" Type="http://schemas.openxmlformats.org/officeDocument/2006/relationships/hyperlink" Target="http://www.sec.gov/Archives/edgar/data/1636282/000119312523252528/d541146dex211.htm" TargetMode="External"/><Relationship Id="rId266" Type="http://schemas.openxmlformats.org/officeDocument/2006/relationships/hyperlink" Target="http://www.sec.gov/Archives/edgar/data/1636282/000119312523252528/d541146ds1a.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2023-11-16T21:50:56Z</dcterms:created>
  <dcterms:modified xsi:type="dcterms:W3CDTF">2023-11-16T21:50:56Z</dcterms:modified>
</cp:coreProperties>
</file>