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jc w:val="center"/>
        <w:rPr>
          <w:rFonts w:ascii="Times New Roman;serif" w:hAnsi="Times New Roman;serif"/>
          <w:b w:val="false"/>
          <w:color w:val="000000"/>
          <w:sz w:val="4"/>
        </w:rPr>
      </w:pPr>
      <w:r>
        <w:rPr>
          <w:rFonts w:ascii="Times New Roman;serif" w:hAnsi="Times New Roman;serif"/>
          <w:b w:val="false"/>
          <w:color w:val="000000"/>
          <w:sz w:val="4"/>
        </w:rPr>
        <w:t>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40" w:after="283"/>
        <w:jc w:val="center"/>
        <w:rPr>
          <w:rFonts w:ascii="Arial;sans-serif" w:hAnsi="Arial;sans-serif"/>
          <w:b/>
          <w:color w:val="000000"/>
          <w:sz w:val="28"/>
        </w:rPr>
      </w:pPr>
      <w:r>
        <w:rPr>
          <w:rFonts w:ascii="Arial;sans-serif" w:hAnsi="Arial;sans-serif"/>
          <w:b/>
          <w:color w:val="000000"/>
          <w:sz w:val="28"/>
        </w:rPr>
        <w:t>FORM 10-K</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For the fiscal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For the transition period from______ to</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7"/>
              </w:rPr>
            </w:pPr>
            <w:r>
              <w:rPr>
                <w:rFonts w:ascii="Arial;sans-serif" w:hAnsi="Arial;sans-serif"/>
                <w:b/>
                <w:color w:val="000000"/>
                <w:sz w:val="17"/>
              </w:rPr>
              <w:t>Commission file number 001-37722</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40" w:after="283"/>
        <w:jc w:val="center"/>
        <w:rPr>
          <w:rFonts w:ascii="Arial;sans-serif" w:hAnsi="Arial;sans-serif"/>
          <w:b/>
          <w:color w:val="000000"/>
          <w:sz w:val="40"/>
        </w:rPr>
      </w:pPr>
      <w:r>
        <w:rPr>
          <w:rFonts w:ascii="Arial;sans-serif" w:hAnsi="Arial;sans-serif"/>
          <w:b/>
          <w:color w:val="000000"/>
          <w:sz w:val="40"/>
        </w:rPr>
        <w:t>SPYRE THERAPEUTICS, INC.</w:t>
      </w:r>
    </w:p>
    <w:p>
      <w:pPr>
        <w:pStyle w:val="TextBody"/>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170" w:type="dxa"/>
        <w:jc w:val="left"/>
        <w:tblInd w:w="0" w:type="dxa"/>
        <w:tblLayout w:type="fixed"/>
        <w:tblCellMar>
          <w:top w:w="28" w:type="dxa"/>
          <w:left w:w="28" w:type="dxa"/>
          <w:bottom w:w="28" w:type="dxa"/>
          <w:right w:w="28" w:type="dxa"/>
        </w:tblCellMar>
      </w:tblPr>
      <w:tblGrid>
        <w:gridCol w:w="1181"/>
        <w:gridCol w:w="1040"/>
        <w:gridCol w:w="1048"/>
        <w:gridCol w:w="109"/>
        <w:gridCol w:w="109"/>
        <w:gridCol w:w="109"/>
        <w:gridCol w:w="460"/>
        <w:gridCol w:w="460"/>
        <w:gridCol w:w="6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46-4312787</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221 Crescent Street</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Building 23, Suite 105</w:t>
            </w:r>
          </w:p>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Waltham,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20"/>
              </w:rPr>
            </w:pPr>
            <w:r>
              <w:rPr>
                <w:rFonts w:ascii="Arial;sans-serif" w:hAnsi="Arial;sans-serif"/>
                <w:b/>
                <w:color w:val="000000"/>
                <w:sz w:val="20"/>
              </w:rPr>
              <w:t>02453</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Registrant’s Telephone Number, including area code: (617) 651-5940</w:t>
      </w:r>
    </w:p>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Securities registered pursuant to Section 12(b) of the Exchange Act:</w:t>
      </w:r>
    </w:p>
    <w:tbl>
      <w:tblPr>
        <w:tblW w:w="9358" w:type="dxa"/>
        <w:jc w:val="left"/>
        <w:tblInd w:w="0" w:type="dxa"/>
        <w:tblLayout w:type="fixed"/>
        <w:tblCellMar>
          <w:top w:w="28" w:type="dxa"/>
          <w:left w:w="28" w:type="dxa"/>
          <w:bottom w:w="28" w:type="dxa"/>
          <w:right w:w="28" w:type="dxa"/>
        </w:tblCellMar>
      </w:tblPr>
      <w:tblGrid>
        <w:gridCol w:w="1491"/>
        <w:gridCol w:w="1309"/>
        <w:gridCol w:w="1325"/>
        <w:gridCol w:w="524"/>
        <w:gridCol w:w="524"/>
        <w:gridCol w:w="526"/>
        <w:gridCol w:w="1071"/>
        <w:gridCol w:w="1071"/>
        <w:gridCol w:w="1517"/>
      </w:tblGrid>
      <w:tr>
        <w:trPr/>
        <w:tc>
          <w:tcPr>
            <w:tcW w:w="14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1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Common Stock, $0.0001 Par Value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SYRE</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The Nasdaq Stock Market LLC</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Securities registered pursuant to Section 12(g) of the Exchange Act: 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40" w:after="283"/>
        <w:ind w:left="0" w:right="0" w:firstLine="1170"/>
        <w:jc w:val="left"/>
        <w:rPr/>
      </w:pPr>
      <w:r>
        <w:rPr>
          <w:rFonts w:ascii="Arial;sans-serif" w:hAnsi="Arial;sans-serif"/>
          <w:b w:val="false"/>
          <w:color w:val="000000"/>
          <w:sz w:val="17"/>
        </w:rPr>
        <w:t>Indicate by check mark if the Registrant is a well-known seasoned issuer, as defined in Rule 405 of the Securities Act. Yes  </w:t>
      </w:r>
      <w:r>
        <w:rPr>
          <w:rFonts w:ascii="Wingdings;sans-serif" w:hAnsi="Wingdings;sans-serif"/>
          <w:b w:val="false"/>
          <w:color w:val="000000"/>
          <w:sz w:val="17"/>
        </w:rPr>
        <w:t>o</w:t>
      </w:r>
      <w:r>
        <w:rPr>
          <w:color w:val="000000"/>
        </w:rPr>
        <w:t xml:space="preserve">   </w:t>
      </w:r>
      <w:r>
        <w:rPr>
          <w:rFonts w:ascii="Arial;sans-serif" w:hAnsi="Arial;sans-serif"/>
          <w:b w:val="false"/>
          <w:color w:val="000000"/>
          <w:sz w:val="17"/>
        </w:rPr>
        <w:t>No  </w:t>
      </w:r>
      <w:r>
        <w:rPr>
          <w:rFonts w:ascii="Wingdings;sans-serif" w:hAnsi="Wingdings;sans-serif"/>
          <w:b w:val="false"/>
          <w:color w:val="000000"/>
          <w:sz w:val="17"/>
        </w:rPr>
        <w:t>x</w:t>
      </w:r>
    </w:p>
    <w:p>
      <w:pPr>
        <w:pStyle w:val="TextBody"/>
        <w:bidi w:val="0"/>
        <w:spacing w:lineRule="auto" w:line="288" w:before="20" w:after="283"/>
        <w:ind w:left="0" w:right="0" w:firstLine="1170"/>
        <w:jc w:val="left"/>
        <w:rPr/>
      </w:pPr>
      <w:r>
        <w:rPr>
          <w:rFonts w:ascii="Arial;sans-serif" w:hAnsi="Arial;sans-serif"/>
          <w:b w:val="false"/>
          <w:color w:val="000000"/>
          <w:sz w:val="17"/>
        </w:rPr>
        <w:t>Indicate by check mark if the Registrant is not required to file reports pursuant to Section 13 or 15(d) of the Exchange Act. Yes  </w:t>
      </w:r>
      <w:r>
        <w:rPr>
          <w:rFonts w:ascii="Wingdings;sans-serif" w:hAnsi="Wingdings;sans-serif"/>
          <w:b w:val="false"/>
          <w:color w:val="000000"/>
          <w:sz w:val="17"/>
        </w:rPr>
        <w:t>o</w:t>
      </w:r>
      <w:r>
        <w:rPr>
          <w:color w:val="000000"/>
        </w:rPr>
        <w:t xml:space="preserve">   </w:t>
      </w:r>
      <w:r>
        <w:rPr>
          <w:rFonts w:ascii="Arial;sans-serif" w:hAnsi="Arial;sans-serif"/>
          <w:b w:val="false"/>
          <w:color w:val="000000"/>
          <w:sz w:val="17"/>
        </w:rPr>
        <w:t>No  </w:t>
      </w:r>
      <w:r>
        <w:rPr>
          <w:rFonts w:ascii="Wingdings;sans-serif" w:hAnsi="Wingdings;sans-serif"/>
          <w:b w:val="false"/>
          <w:color w:val="000000"/>
          <w:sz w:val="17"/>
        </w:rPr>
        <w:t>x</w:t>
      </w:r>
    </w:p>
    <w:p>
      <w:pPr>
        <w:pStyle w:val="TextBody"/>
        <w:bidi w:val="0"/>
        <w:spacing w:lineRule="auto" w:line="288" w:before="20" w:after="283"/>
        <w:ind w:left="0" w:right="0" w:firstLine="117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7"/>
        </w:rPr>
        <w:t>x</w:t>
      </w:r>
      <w:r>
        <w:rPr>
          <w:color w:val="000000"/>
        </w:rPr>
        <w:t xml:space="preserve">   </w:t>
      </w:r>
      <w:r>
        <w:rPr>
          <w:rFonts w:ascii="Arial;sans-serif" w:hAnsi="Arial;sans-serif"/>
          <w:b w:val="false"/>
          <w:color w:val="000000"/>
          <w:sz w:val="17"/>
        </w:rPr>
        <w:t xml:space="preserve">No </w:t>
      </w:r>
      <w:r>
        <w:rPr>
          <w:rFonts w:ascii="Wingdings;sans-serif" w:hAnsi="Wingdings;sans-serif"/>
          <w:b w:val="false"/>
          <w:color w:val="000000"/>
          <w:sz w:val="17"/>
        </w:rPr>
        <w:t>o</w:t>
      </w:r>
    </w:p>
    <w:p>
      <w:pPr>
        <w:pStyle w:val="TextBody"/>
        <w:bidi w:val="0"/>
        <w:spacing w:lineRule="auto" w:line="288" w:before="20" w:after="283"/>
        <w:ind w:left="0" w:right="0" w:firstLine="117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7"/>
        </w:rPr>
        <w:t>x</w:t>
      </w:r>
      <w:r>
        <w:rPr>
          <w:color w:val="000000"/>
        </w:rPr>
        <w:t xml:space="preserve">   </w:t>
      </w:r>
      <w:r>
        <w:rPr>
          <w:rFonts w:ascii="Arial;sans-serif" w:hAnsi="Arial;sans-serif"/>
          <w:b w:val="false"/>
          <w:color w:val="000000"/>
          <w:sz w:val="17"/>
        </w:rPr>
        <w:t xml:space="preserve">No </w:t>
      </w:r>
      <w:r>
        <w:rPr>
          <w:rFonts w:ascii="Wingdings;sans-serif" w:hAnsi="Wingdings;sans-serif"/>
          <w:b w:val="false"/>
          <w:color w:val="000000"/>
          <w:sz w:val="17"/>
        </w:rPr>
        <w:t>o</w:t>
      </w:r>
    </w:p>
    <w:p>
      <w:pPr>
        <w:pStyle w:val="TextBody"/>
        <w:bidi w:val="0"/>
        <w:spacing w:lineRule="auto" w:line="288" w:before="20" w:after="283"/>
        <w:ind w:left="0" w:right="0" w:firstLine="117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0"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7"/>
              </w:rPr>
            </w:pPr>
            <w:r>
              <w:rPr>
                <w:rFonts w:ascii="Arial;sans-serif" w:hAnsi="Arial;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7"/>
              </w:rPr>
            </w:pPr>
            <w:r>
              <w:rPr>
                <w:rFonts w:ascii="Wingdings;sans-serif" w:hAnsi="Wingdings;sans-serif"/>
                <w:b w:val="false"/>
                <w:color w:val="000000"/>
                <w:sz w:val="17"/>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7"/>
              </w:rPr>
            </w:pPr>
            <w:r>
              <w:rPr>
                <w:rFonts w:ascii="Arial;sans-serif" w:hAnsi="Arial;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7"/>
              </w:rPr>
            </w:pPr>
            <w:r>
              <w:rPr>
                <w:rFonts w:ascii="Wingdings;sans-serif" w:hAnsi="Wingdings;sans-serif"/>
                <w:b w:val="false"/>
                <w:color w:val="000000"/>
                <w:sz w:val="17"/>
              </w:rPr>
              <w:t>o</w:t>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7"/>
              </w:rPr>
            </w:pPr>
            <w:r>
              <w:rPr>
                <w:rFonts w:ascii="Arial;sans-serif" w:hAnsi="Arial;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7"/>
              </w:rPr>
            </w:pPr>
            <w:r>
              <w:rPr>
                <w:rFonts w:ascii="Wingdings;sans-serif" w:hAnsi="Wingdings;sans-serif"/>
                <w:b w:val="false"/>
                <w:color w:val="000000"/>
                <w:sz w:val="17"/>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7"/>
              </w:rPr>
            </w:pPr>
            <w:r>
              <w:rPr>
                <w:rFonts w:ascii="Arial;sans-serif" w:hAnsi="Arial;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7"/>
              </w:rPr>
            </w:pPr>
            <w:r>
              <w:rPr>
                <w:rFonts w:ascii="Wingdings;sans-serif" w:hAnsi="Wingdings;sans-serif"/>
                <w:b w:val="false"/>
                <w:color w:val="000000"/>
                <w:sz w:val="17"/>
              </w:rPr>
              <w:t>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7"/>
              </w:rPr>
            </w:pPr>
            <w:r>
              <w:rPr>
                <w:rFonts w:ascii="Arial;sans-serif" w:hAnsi="Arial;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7"/>
              </w:rPr>
            </w:pPr>
            <w:r>
              <w:rPr>
                <w:rFonts w:ascii="Wingdings;sans-serif" w:hAnsi="Wingdings;sans-serif"/>
                <w:b w:val="false"/>
                <w:color w:val="000000"/>
                <w:sz w:val="17"/>
              </w:rPr>
              <w:t>o</w:t>
            </w:r>
          </w:p>
        </w:tc>
      </w:tr>
    </w:tbl>
    <w:p>
      <w:pPr>
        <w:pStyle w:val="TextBody"/>
        <w:bidi w:val="0"/>
        <w:spacing w:lineRule="auto" w:line="288" w:before="20" w:after="283"/>
        <w:ind w:left="0" w:right="0" w:firstLine="117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xml:space="preserve"> </w:t>
      </w:r>
    </w:p>
    <w:p>
      <w:pPr>
        <w:pStyle w:val="TextBody"/>
        <w:bidi w:val="0"/>
        <w:spacing w:lineRule="auto" w:line="288" w:before="20" w:after="283"/>
        <w:ind w:left="0" w:right="0" w:firstLine="1170"/>
        <w:jc w:val="left"/>
        <w:rPr/>
      </w:pPr>
      <w:r>
        <w:rPr>
          <w:rFonts w:ascii="Arial;sans-serif" w:hAnsi="Arial;sans-serif"/>
          <w:b w:val="false"/>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7"/>
        </w:rPr>
        <w:t>x</w:t>
      </w:r>
    </w:p>
    <w:p>
      <w:pPr>
        <w:pStyle w:val="TextBody"/>
        <w:bidi w:val="0"/>
        <w:spacing w:before="20" w:after="283"/>
        <w:ind w:left="0" w:right="0" w:firstLine="1170"/>
        <w:jc w:val="left"/>
        <w:rPr/>
      </w:pPr>
      <w:r>
        <w:rPr/>
      </w:r>
    </w:p>
    <w:p>
      <w:pPr>
        <w:pStyle w:val="TextBody"/>
        <w:bidi w:val="0"/>
        <w:spacing w:lineRule="auto" w:line="288" w:before="20" w:after="283"/>
        <w:ind w:left="0" w:right="0" w:firstLine="1170"/>
        <w:jc w:val="left"/>
        <w:rPr/>
      </w:pPr>
      <w:r>
        <w:rPr>
          <w:rFonts w:ascii="Arial;sans-serif" w:hAnsi="Arial;sans-serif"/>
          <w:b w:val="false"/>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7"/>
        </w:rPr>
        <w:t>o</w:t>
      </w:r>
      <w:r>
        <w:rPr>
          <w:color w:val="000000"/>
        </w:rPr>
        <w:t xml:space="preserve"> </w:t>
      </w:r>
    </w:p>
    <w:p>
      <w:pPr>
        <w:pStyle w:val="TextBody"/>
        <w:bidi w:val="0"/>
        <w:spacing w:lineRule="auto" w:line="288" w:before="240" w:after="283"/>
        <w:ind w:left="0" w:right="0" w:firstLine="1170"/>
        <w:jc w:val="left"/>
        <w:rPr/>
      </w:pPr>
      <w:r>
        <w:rPr>
          <w:rFonts w:ascii="Arial;sans-serif" w:hAnsi="Arial;sans-serif"/>
          <w:b w:val="false"/>
          <w:color w:val="00000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7"/>
        </w:rPr>
        <w:t>o</w:t>
      </w:r>
    </w:p>
    <w:p>
      <w:pPr>
        <w:pStyle w:val="TextBody"/>
        <w:bidi w:val="0"/>
        <w:spacing w:lineRule="auto" w:line="288" w:before="20" w:after="283"/>
        <w:ind w:left="0" w:right="0" w:firstLine="1170"/>
        <w:jc w:val="left"/>
        <w:rPr/>
      </w:pPr>
      <w:r>
        <w:rPr>
          <w:rFonts w:ascii="Arial;sans-serif" w:hAnsi="Arial;sans-serif"/>
          <w:b w:val="false"/>
          <w:color w:val="000000"/>
          <w:sz w:val="17"/>
        </w:rPr>
        <w:t>Indicate by check mark whether the Registrant is a shell company (as defined in Rule 12b-2 of the Exchange Act). Yes  </w:t>
      </w:r>
      <w:r>
        <w:rPr>
          <w:rFonts w:ascii="Wingdings;sans-serif" w:hAnsi="Wingdings;sans-serif"/>
          <w:b w:val="false"/>
          <w:color w:val="000000"/>
          <w:sz w:val="17"/>
        </w:rPr>
        <w:t>o</w:t>
      </w:r>
      <w:r>
        <w:rPr>
          <w:color w:val="000000"/>
        </w:rPr>
        <w:t xml:space="preserve">   </w:t>
      </w:r>
      <w:r>
        <w:rPr>
          <w:rFonts w:ascii="Arial;sans-serif" w:hAnsi="Arial;sans-serif"/>
          <w:b w:val="false"/>
          <w:color w:val="000000"/>
          <w:sz w:val="17"/>
        </w:rPr>
        <w:t xml:space="preserve">No </w:t>
      </w:r>
      <w:r>
        <w:rPr>
          <w:rFonts w:ascii="Wingdings;sans-serif" w:hAnsi="Wingdings;sans-serif"/>
          <w:b w:val="false"/>
          <w:color w:val="000000"/>
          <w:sz w:val="17"/>
        </w:rPr>
        <w:t>x</w:t>
      </w:r>
    </w:p>
    <w:p>
      <w:pPr>
        <w:pStyle w:val="TextBody"/>
        <w:bidi w:val="0"/>
        <w:spacing w:lineRule="auto" w:line="288" w:before="20" w:after="283"/>
        <w:ind w:left="0" w:right="0" w:firstLine="1170"/>
        <w:jc w:val="left"/>
        <w:rPr>
          <w:rFonts w:ascii="Arial;sans-serif" w:hAnsi="Arial;sans-serif"/>
          <w:b w:val="false"/>
          <w:color w:val="000000"/>
          <w:sz w:val="17"/>
        </w:rPr>
      </w:pPr>
      <w:r>
        <w:rPr>
          <w:rFonts w:ascii="Arial;sans-serif" w:hAnsi="Arial;sans-serif"/>
          <w:b w:val="false"/>
          <w:color w:val="000000"/>
          <w:sz w:val="17"/>
        </w:rPr>
        <w:t>The aggregate market value of the voting and non-voting common equity held by non-affiliates of the Registrant on June 30, 2025 (the last business day of the Registrant’s second fiscal quarter), based upon the closing price of $14.97 of the Registrant’s common stock as reported on The Nasdaq Global Select Market, was approximately $1.1 billion.</w:t>
      </w:r>
    </w:p>
    <w:p>
      <w:pPr>
        <w:pStyle w:val="TextBody"/>
        <w:bidi w:val="0"/>
        <w:spacing w:lineRule="auto" w:line="288" w:before="20" w:after="283"/>
        <w:ind w:left="0" w:right="0" w:firstLine="1170"/>
        <w:jc w:val="left"/>
        <w:rPr>
          <w:rFonts w:ascii="Arial;sans-serif" w:hAnsi="Arial;sans-serif"/>
          <w:b w:val="false"/>
          <w:color w:val="000000"/>
          <w:sz w:val="17"/>
        </w:rPr>
      </w:pPr>
      <w:r>
        <w:rPr>
          <w:rFonts w:ascii="Arial;sans-serif" w:hAnsi="Arial;sans-serif"/>
          <w:b w:val="false"/>
          <w:color w:val="000000"/>
          <w:sz w:val="17"/>
        </w:rPr>
        <w:t>Indicate the number of shares outstanding of each of the Registrant's classes of common stock, as of the latest practicable date.</w:t>
      </w:r>
    </w:p>
    <w:tbl>
      <w:tblPr>
        <w:tblW w:w="6475" w:type="dxa"/>
        <w:jc w:val="left"/>
        <w:tblInd w:w="0" w:type="dxa"/>
        <w:tblLayout w:type="fixed"/>
        <w:tblCellMar>
          <w:top w:w="28" w:type="dxa"/>
          <w:left w:w="28" w:type="dxa"/>
          <w:bottom w:w="28" w:type="dxa"/>
          <w:right w:w="28" w:type="dxa"/>
        </w:tblCellMar>
      </w:tblPr>
      <w:tblGrid>
        <w:gridCol w:w="1218"/>
        <w:gridCol w:w="1072"/>
        <w:gridCol w:w="1084"/>
        <w:gridCol w:w="109"/>
        <w:gridCol w:w="109"/>
        <w:gridCol w:w="109"/>
        <w:gridCol w:w="811"/>
        <w:gridCol w:w="811"/>
        <w:gridCol w:w="1152"/>
      </w:tblGrid>
      <w:tr>
        <w:trPr/>
        <w:tc>
          <w:tcPr>
            <w:tcW w:w="121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Outstanding at February 12, 2026</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7"/>
              </w:rPr>
            </w:pPr>
            <w:r>
              <w:rPr>
                <w:rFonts w:ascii="Arial;sans-serif" w:hAnsi="Arial;sans-serif"/>
                <w:b w:val="false"/>
                <w:color w:val="000000"/>
                <w:sz w:val="17"/>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17"/>
              </w:rPr>
            </w:pPr>
            <w:r>
              <w:rPr>
                <w:rFonts w:ascii="Arial;sans-serif" w:hAnsi="Arial;sans-serif"/>
                <w:b w:val="false"/>
                <w:color w:val="000000"/>
                <w:sz w:val="17"/>
              </w:rPr>
              <w:t>78,540,164 shares</w:t>
            </w:r>
          </w:p>
        </w:tc>
      </w:tr>
    </w:tbl>
    <w:p>
      <w:pPr>
        <w:pStyle w:val="TextBody"/>
        <w:bidi w:val="0"/>
        <w:spacing w:lineRule="auto" w:line="288" w:before="120" w:after="283"/>
        <w:jc w:val="center"/>
        <w:rPr>
          <w:rFonts w:ascii="Arial;sans-serif" w:hAnsi="Arial;sans-serif"/>
          <w:b/>
          <w:color w:val="000000"/>
          <w:sz w:val="17"/>
        </w:rPr>
      </w:pPr>
      <w:r>
        <w:rPr>
          <w:rFonts w:ascii="Arial;sans-serif" w:hAnsi="Arial;sans-serif"/>
          <w:b/>
          <w:color w:val="000000"/>
          <w:sz w:val="17"/>
        </w:rPr>
        <w:t>DOCUMENTS INCORPORATED BY REFERENCE</w:t>
      </w:r>
    </w:p>
    <w:p>
      <w:pPr>
        <w:pStyle w:val="TextBody"/>
        <w:bidi w:val="0"/>
        <w:spacing w:lineRule="auto" w:line="288" w:before="120" w:after="283"/>
        <w:ind w:left="0" w:right="0" w:firstLine="1170"/>
        <w:jc w:val="both"/>
        <w:rPr>
          <w:rFonts w:ascii="Arial;sans-serif" w:hAnsi="Arial;sans-serif"/>
          <w:b w:val="false"/>
          <w:color w:val="000000"/>
          <w:sz w:val="17"/>
        </w:rPr>
      </w:pPr>
      <w:r>
        <w:rPr>
          <w:rFonts w:ascii="Arial;sans-serif" w:hAnsi="Arial;sans-serif"/>
          <w:b w:val="false"/>
          <w:color w:val="000000"/>
          <w:sz w:val="17"/>
        </w:rPr>
        <w:t>Portions of the Registrant’s Definitive Proxy Statement (“Proxy Statement”) relating to the 2026 Annual Meeting of Stockholders will be filed with the Commission within 120 days after the end of the Registrant’s 2025 fiscal year and is incorporated by reference into Part III of this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pPr>
      <w:hyperlink w:anchor="i4239289f41804bf78920a5c992d63e00_7">
        <w:r>
          <w:rPr>
            <w:rStyle w:val="InternetLink"/>
            <w:rFonts w:ascii="Arial;sans-serif" w:hAnsi="Arial;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14"/>
        <w:gridCol w:w="275"/>
        <w:gridCol w:w="277"/>
        <w:gridCol w:w="2959"/>
        <w:gridCol w:w="2913"/>
        <w:gridCol w:w="2922"/>
        <w:gridCol w:w="158"/>
        <w:gridCol w:w="158"/>
        <w:gridCol w:w="229"/>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3">
              <w:r>
                <w:rPr>
                  <w:rStyle w:val="InternetLink"/>
                  <w:rFonts w:ascii="Arial;sans-serif" w:hAnsi="Arial;sans-serif"/>
                  <w:b/>
                  <w:color w:val="0000FF"/>
                  <w:sz w:val="20"/>
                  <w:u w:val="single"/>
                </w:rPr>
                <w:t>PART I</w:t>
              </w:r>
            </w:hyperlink>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9">
              <w:r>
                <w:rPr>
                  <w:rStyle w:val="InternetLink"/>
                  <w:rFonts w:ascii="Arial;sans-serif" w:hAnsi="Arial;sans-serif"/>
                  <w:b w:val="false"/>
                  <w:strike w:val="false"/>
                  <w:dstrike w:val="false"/>
                  <w:color w:val="000000"/>
                  <w:sz w:val="20"/>
                  <w:u w:val="none"/>
                  <w:effect w:val="none"/>
                </w:rPr>
                <w:t>Item 1</w:t>
              </w:r>
            </w:hyperlink>
            <w:r>
              <w:rPr>
                <w:rFonts w:ascii="Arial;sans-serif" w:hAnsi="Arial;sans-serif"/>
                <w:b w:val="false"/>
                <w:color w:val="000000"/>
                <w:sz w:val="20"/>
              </w:rPr>
              <w:t>.</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6">
              <w:r>
                <w:rPr>
                  <w:rStyle w:val="InternetLink"/>
                  <w:rFonts w:ascii="Arial;sans-serif" w:hAnsi="Arial;sans-serif"/>
                  <w:b w:val="false"/>
                  <w:color w:val="0000FF"/>
                  <w:sz w:val="20"/>
                  <w:u w:val="single"/>
                </w:rPr>
                <w:t>Business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16">
              <w:r>
                <w:rPr>
                  <w:rStyle w:val="InternetLink"/>
                  <w:rFonts w:ascii="Arial;sans-serif" w:hAnsi="Arial;sans-serif"/>
                  <w:b w:val="false"/>
                  <w:strike w:val="false"/>
                  <w:dstrike w:val="false"/>
                  <w:color w:val="000000"/>
                  <w:sz w:val="20"/>
                  <w:u w:val="none"/>
                  <w:effect w:val="none"/>
                </w:rPr>
                <w:t>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9">
              <w:r>
                <w:rPr>
                  <w:rStyle w:val="InternetLink"/>
                  <w:rFonts w:ascii="Arial;sans-serif" w:hAnsi="Arial;sans-serif"/>
                  <w:b w:val="false"/>
                  <w:strike w:val="false"/>
                  <w:dstrike w:val="false"/>
                  <w:color w:val="000000"/>
                  <w:sz w:val="20"/>
                  <w:u w:val="none"/>
                  <w:effect w:val="none"/>
                </w:rPr>
                <w:t>Item 1A.</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9">
              <w:r>
                <w:rPr>
                  <w:rStyle w:val="InternetLink"/>
                  <w:rFonts w:ascii="Arial;sans-serif" w:hAnsi="Arial;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19">
              <w:r>
                <w:rPr>
                  <w:rStyle w:val="InternetLink"/>
                  <w:rFonts w:ascii="Arial;sans-serif" w:hAnsi="Arial;sans-serif"/>
                  <w:b w:val="false"/>
                  <w:strike w:val="false"/>
                  <w:dstrike w:val="false"/>
                  <w:color w:val="000000"/>
                  <w:sz w:val="20"/>
                  <w:u w:val="none"/>
                  <w:effect w:val="none"/>
                </w:rPr>
                <w:t>42</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52">
              <w:r>
                <w:rPr>
                  <w:rStyle w:val="InternetLink"/>
                  <w:rFonts w:ascii="Arial;sans-serif" w:hAnsi="Arial;sans-serif"/>
                  <w:b w:val="false"/>
                  <w:strike w:val="false"/>
                  <w:dstrike w:val="false"/>
                  <w:color w:val="000000"/>
                  <w:sz w:val="20"/>
                  <w:u w:val="none"/>
                  <w:effect w:val="none"/>
                </w:rPr>
                <w:t>Item 1B.</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
              <w:r>
                <w:rPr>
                  <w:rStyle w:val="InternetLink"/>
                  <w:rFonts w:ascii="Arial;sans-serif" w:hAnsi="Arial;sans-serif"/>
                  <w:b w:val="false"/>
                  <w:color w:val="0000FF"/>
                  <w:sz w:val="20"/>
                  <w:u w:val="single"/>
                </w:rPr>
                <w:t>Unresolved Staff Comments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2">
              <w:r>
                <w:rPr>
                  <w:rStyle w:val="InternetLink"/>
                  <w:rFonts w:ascii="Arial;sans-serif" w:hAnsi="Arial;sans-serif"/>
                  <w:b w:val="false"/>
                  <w:strike w:val="false"/>
                  <w:dstrike w:val="false"/>
                  <w:color w:val="000000"/>
                  <w:sz w:val="20"/>
                  <w:u w:val="none"/>
                  <w:effect w:val="none"/>
                </w:rPr>
                <w:t>90</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52">
              <w:r>
                <w:rPr>
                  <w:rStyle w:val="InternetLink"/>
                  <w:rFonts w:ascii="Arial;sans-serif" w:hAnsi="Arial;sans-serif"/>
                  <w:b w:val="false"/>
                  <w:strike w:val="false"/>
                  <w:dstrike w:val="false"/>
                  <w:color w:val="000000"/>
                  <w:sz w:val="20"/>
                  <w:u w:val="none"/>
                  <w:effect w:val="none"/>
                </w:rPr>
                <w:t>Item 1C.</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5">
              <w:r>
                <w:rPr>
                  <w:rStyle w:val="InternetLink"/>
                  <w:rFonts w:ascii="Arial;sans-serif" w:hAnsi="Arial;sans-serif"/>
                  <w:b w:val="false"/>
                  <w:color w:val="0000FF"/>
                  <w:sz w:val="20"/>
                  <w:u w:val="single"/>
                </w:rPr>
                <w:t>Cybersecurity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5">
              <w:r>
                <w:rPr>
                  <w:rStyle w:val="InternetLink"/>
                  <w:rFonts w:ascii="Arial;sans-serif" w:hAnsi="Arial;sans-serif"/>
                  <w:b w:val="false"/>
                  <w:strike w:val="false"/>
                  <w:dstrike w:val="false"/>
                  <w:color w:val="000000"/>
                  <w:sz w:val="20"/>
                  <w:u w:val="none"/>
                  <w:effect w:val="none"/>
                </w:rPr>
                <w:t>90</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55">
              <w:r>
                <w:rPr>
                  <w:rStyle w:val="InternetLink"/>
                  <w:rFonts w:ascii="Arial;sans-serif" w:hAnsi="Arial;sans-serif"/>
                  <w:b w:val="false"/>
                  <w:strike w:val="false"/>
                  <w:dstrike w:val="false"/>
                  <w:color w:val="000000"/>
                  <w:sz w:val="20"/>
                  <w:u w:val="none"/>
                  <w:effect w:val="none"/>
                </w:rPr>
                <w:t>Item 2.</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8">
              <w:r>
                <w:rPr>
                  <w:rStyle w:val="InternetLink"/>
                  <w:rFonts w:ascii="Arial;sans-serif" w:hAnsi="Arial;sans-serif"/>
                  <w:b w:val="false"/>
                  <w:color w:val="0000FF"/>
                  <w:sz w:val="20"/>
                  <w:u w:val="single"/>
                </w:rPr>
                <w:t>Properties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8">
              <w:r>
                <w:rPr>
                  <w:rStyle w:val="InternetLink"/>
                  <w:rFonts w:ascii="Arial;sans-serif" w:hAnsi="Arial;sans-serif"/>
                  <w:b w:val="false"/>
                  <w:strike w:val="false"/>
                  <w:dstrike w:val="false"/>
                  <w:color w:val="000000"/>
                  <w:sz w:val="20"/>
                  <w:u w:val="none"/>
                  <w:effect w:val="none"/>
                </w:rPr>
                <w:t>91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58">
              <w:r>
                <w:rPr>
                  <w:rStyle w:val="InternetLink"/>
                  <w:rFonts w:ascii="Arial;sans-serif" w:hAnsi="Arial;sans-serif"/>
                  <w:b w:val="false"/>
                  <w:strike w:val="false"/>
                  <w:dstrike w:val="false"/>
                  <w:color w:val="000000"/>
                  <w:sz w:val="20"/>
                  <w:u w:val="none"/>
                  <w:effect w:val="none"/>
                </w:rPr>
                <w:t>Item 3.</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31">
              <w:r>
                <w:rPr>
                  <w:rStyle w:val="InternetLink"/>
                  <w:rFonts w:ascii="Arial;sans-serif" w:hAnsi="Arial;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31">
              <w:r>
                <w:rPr>
                  <w:rStyle w:val="InternetLink"/>
                  <w:rFonts w:ascii="Arial;sans-serif" w:hAnsi="Arial;sans-serif"/>
                  <w:b w:val="false"/>
                  <w:strike w:val="false"/>
                  <w:dstrike w:val="false"/>
                  <w:color w:val="000000"/>
                  <w:sz w:val="20"/>
                  <w:u w:val="none"/>
                  <w:effect w:val="none"/>
                </w:rPr>
                <w:t>91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61">
              <w:r>
                <w:rPr>
                  <w:rStyle w:val="InternetLink"/>
                  <w:rFonts w:ascii="Arial;sans-serif" w:hAnsi="Arial;sans-serif"/>
                  <w:b w:val="false"/>
                  <w:strike w:val="false"/>
                  <w:dstrike w:val="false"/>
                  <w:color w:val="000000"/>
                  <w:sz w:val="20"/>
                  <w:u w:val="none"/>
                  <w:effect w:val="none"/>
                </w:rPr>
                <w:t>Item 4.</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34">
              <w:r>
                <w:rPr>
                  <w:rStyle w:val="InternetLink"/>
                  <w:rFonts w:ascii="Arial;sans-serif" w:hAnsi="Arial;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34">
              <w:r>
                <w:rPr>
                  <w:rStyle w:val="InternetLink"/>
                  <w:rFonts w:ascii="Arial;sans-serif" w:hAnsi="Arial;sans-serif"/>
                  <w:b w:val="false"/>
                  <w:strike w:val="false"/>
                  <w:dstrike w:val="false"/>
                  <w:color w:val="000000"/>
                  <w:sz w:val="20"/>
                  <w:u w:val="none"/>
                  <w:effect w:val="none"/>
                </w:rPr>
                <w:t>91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67">
              <w:r>
                <w:rPr>
                  <w:rStyle w:val="InternetLink"/>
                  <w:rFonts w:ascii="Arial;sans-serif" w:hAnsi="Arial;sans-serif"/>
                  <w:b/>
                  <w:color w:val="0000FF"/>
                  <w:sz w:val="20"/>
                  <w:u w:val="single"/>
                </w:rPr>
                <w:t>PART II</w:t>
              </w:r>
            </w:hyperlink>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70">
              <w:r>
                <w:rPr>
                  <w:rStyle w:val="InternetLink"/>
                  <w:rFonts w:ascii="Arial;sans-serif" w:hAnsi="Arial;sans-serif"/>
                  <w:b w:val="false"/>
                  <w:strike w:val="false"/>
                  <w:dstrike w:val="false"/>
                  <w:color w:val="000000"/>
                  <w:sz w:val="20"/>
                  <w:u w:val="none"/>
                  <w:effect w:val="none"/>
                </w:rPr>
                <w:t>Item 5.</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40">
              <w:r>
                <w:rPr>
                  <w:rStyle w:val="InternetLink"/>
                  <w:rFonts w:ascii="Arial;sans-serif" w:hAnsi="Arial;sans-serif"/>
                  <w:b w:val="false"/>
                  <w:strike w:val="false"/>
                  <w:dstrike w:val="false"/>
                  <w:color w:val="000000"/>
                  <w:sz w:val="20"/>
                  <w:u w:val="none"/>
                  <w:effect w:val="none"/>
                </w:rPr>
                <w:t>92</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73">
              <w:r>
                <w:rPr>
                  <w:rStyle w:val="InternetLink"/>
                  <w:rFonts w:ascii="Arial;sans-serif" w:hAnsi="Arial;sans-serif"/>
                  <w:b w:val="false"/>
                  <w:strike w:val="false"/>
                  <w:dstrike w:val="false"/>
                  <w:color w:val="000000"/>
                  <w:sz w:val="20"/>
                  <w:u w:val="none"/>
                  <w:effect w:val="none"/>
                </w:rPr>
                <w:t>Item 6.</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3">
              <w:r>
                <w:rPr>
                  <w:rStyle w:val="InternetLink"/>
                  <w:rFonts w:ascii="Arial;sans-serif" w:hAnsi="Arial;sans-serif"/>
                  <w:b w:val="false"/>
                  <w:color w:val="0000FF"/>
                  <w:sz w:val="20"/>
                  <w:u w:val="single"/>
                </w:rPr>
                <w:t>[Reserved]</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43">
              <w:r>
                <w:rPr>
                  <w:rStyle w:val="InternetLink"/>
                  <w:rFonts w:ascii="Arial;sans-serif" w:hAnsi="Arial;sans-serif"/>
                  <w:b w:val="false"/>
                  <w:strike w:val="false"/>
                  <w:dstrike w:val="false"/>
                  <w:color w:val="000000"/>
                  <w:sz w:val="20"/>
                  <w:u w:val="none"/>
                  <w:effect w:val="none"/>
                </w:rPr>
                <w:t>93</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76">
              <w:r>
                <w:rPr>
                  <w:rStyle w:val="InternetLink"/>
                  <w:rFonts w:ascii="Arial;sans-serif" w:hAnsi="Arial;sans-serif"/>
                  <w:b w:val="false"/>
                  <w:strike w:val="false"/>
                  <w:dstrike w:val="false"/>
                  <w:color w:val="000000"/>
                  <w:sz w:val="20"/>
                  <w:u w:val="none"/>
                  <w:effect w:val="none"/>
                </w:rPr>
                <w:t>Item 7.</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46">
              <w:r>
                <w:rPr>
                  <w:rStyle w:val="InternetLink"/>
                  <w:rFonts w:ascii="Arial;sans-serif" w:hAnsi="Arial;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46">
              <w:r>
                <w:rPr>
                  <w:rStyle w:val="InternetLink"/>
                  <w:rFonts w:ascii="Arial;sans-serif" w:hAnsi="Arial;sans-serif"/>
                  <w:b w:val="false"/>
                  <w:strike w:val="false"/>
                  <w:dstrike w:val="false"/>
                  <w:color w:val="000000"/>
                  <w:sz w:val="20"/>
                  <w:u w:val="none"/>
                  <w:effect w:val="none"/>
                </w:rPr>
                <w:t>94</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00">
              <w:r>
                <w:rPr>
                  <w:rStyle w:val="InternetLink"/>
                  <w:rFonts w:ascii="Arial;sans-serif" w:hAnsi="Arial;sans-serif"/>
                  <w:b w:val="false"/>
                  <w:strike w:val="false"/>
                  <w:dstrike w:val="false"/>
                  <w:color w:val="000000"/>
                  <w:sz w:val="20"/>
                  <w:u w:val="none"/>
                  <w:effect w:val="none"/>
                </w:rPr>
                <w:t>Item 7A.</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73">
              <w:r>
                <w:rPr>
                  <w:rStyle w:val="InternetLink"/>
                  <w:rFonts w:ascii="Arial;sans-serif" w:hAnsi="Arial;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73">
              <w:r>
                <w:rPr>
                  <w:rStyle w:val="InternetLink"/>
                  <w:rFonts w:ascii="Arial;sans-serif" w:hAnsi="Arial;sans-serif"/>
                  <w:b w:val="false"/>
                  <w:strike w:val="false"/>
                  <w:dstrike w:val="false"/>
                  <w:color w:val="000000"/>
                  <w:sz w:val="20"/>
                  <w:u w:val="none"/>
                  <w:effect w:val="none"/>
                </w:rPr>
                <w:t>107</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03">
              <w:r>
                <w:rPr>
                  <w:rStyle w:val="InternetLink"/>
                  <w:rFonts w:ascii="Arial;sans-serif" w:hAnsi="Arial;sans-serif"/>
                  <w:b w:val="false"/>
                  <w:strike w:val="false"/>
                  <w:dstrike w:val="false"/>
                  <w:color w:val="000000"/>
                  <w:sz w:val="20"/>
                  <w:u w:val="none"/>
                  <w:effect w:val="none"/>
                </w:rPr>
                <w:t>Item 8.</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76">
              <w:r>
                <w:rPr>
                  <w:rStyle w:val="InternetLink"/>
                  <w:rFonts w:ascii="Arial;sans-serif" w:hAnsi="Arial;sans-serif"/>
                  <w:b w:val="false"/>
                  <w:color w:val="0000FF"/>
                  <w:sz w:val="20"/>
                  <w:u w:val="single"/>
                </w:rPr>
                <w:t>Financial Statements and Supplementary Data</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76">
              <w:r>
                <w:rPr>
                  <w:rStyle w:val="InternetLink"/>
                  <w:rFonts w:ascii="Arial;sans-serif" w:hAnsi="Arial;sans-serif"/>
                  <w:b w:val="false"/>
                  <w:strike w:val="false"/>
                  <w:dstrike w:val="false"/>
                  <w:color w:val="000000"/>
                  <w:sz w:val="20"/>
                  <w:u w:val="none"/>
                  <w:effect w:val="none"/>
                </w:rPr>
                <w:t>109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08">
              <w:r>
                <w:rPr>
                  <w:rStyle w:val="InternetLink"/>
                  <w:rFonts w:ascii="Arial;sans-serif" w:hAnsi="Arial;sans-serif"/>
                  <w:b w:val="false"/>
                  <w:strike w:val="false"/>
                  <w:dstrike w:val="false"/>
                  <w:color w:val="000000"/>
                  <w:sz w:val="20"/>
                  <w:u w:val="none"/>
                  <w:effect w:val="none"/>
                </w:rPr>
                <w:t>Item 9.</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99">
              <w:r>
                <w:rPr>
                  <w:rStyle w:val="InternetLink"/>
                  <w:rFonts w:ascii="Arial;sans-serif" w:hAnsi="Arial;sans-serif"/>
                  <w:b w:val="false"/>
                  <w:color w:val="0000FF"/>
                  <w:sz w:val="20"/>
                  <w:u w:val="single"/>
                </w:rPr>
                <w:t>Changes in and Disagreements with Accountants on Accounting and Financial Disclosure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199">
              <w:r>
                <w:rPr>
                  <w:rStyle w:val="InternetLink"/>
                  <w:rFonts w:ascii="Arial;sans-serif" w:hAnsi="Arial;sans-serif"/>
                  <w:b w:val="false"/>
                  <w:strike w:val="false"/>
                  <w:dstrike w:val="false"/>
                  <w:color w:val="000000"/>
                  <w:sz w:val="20"/>
                  <w:u w:val="none"/>
                  <w:effect w:val="none"/>
                </w:rPr>
                <w:t>159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11">
              <w:r>
                <w:rPr>
                  <w:rStyle w:val="InternetLink"/>
                  <w:rFonts w:ascii="Arial;sans-serif" w:hAnsi="Arial;sans-serif"/>
                  <w:b w:val="false"/>
                  <w:strike w:val="false"/>
                  <w:dstrike w:val="false"/>
                  <w:color w:val="000000"/>
                  <w:sz w:val="20"/>
                  <w:u w:val="none"/>
                  <w:effect w:val="none"/>
                </w:rPr>
                <w:t>Item 9A.</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02">
              <w:r>
                <w:rPr>
                  <w:rStyle w:val="InternetLink"/>
                  <w:rFonts w:ascii="Arial;sans-serif" w:hAnsi="Arial;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02">
              <w:r>
                <w:rPr>
                  <w:rStyle w:val="InternetLink"/>
                  <w:rFonts w:ascii="Arial;sans-serif" w:hAnsi="Arial;sans-serif"/>
                  <w:b w:val="false"/>
                  <w:strike w:val="false"/>
                  <w:dstrike w:val="false"/>
                  <w:color w:val="000000"/>
                  <w:sz w:val="20"/>
                  <w:u w:val="none"/>
                  <w:effect w:val="none"/>
                </w:rPr>
                <w:t>159</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14">
              <w:r>
                <w:rPr>
                  <w:rStyle w:val="InternetLink"/>
                  <w:rFonts w:ascii="Arial;sans-serif" w:hAnsi="Arial;sans-serif"/>
                  <w:b w:val="false"/>
                  <w:strike w:val="false"/>
                  <w:dstrike w:val="false"/>
                  <w:color w:val="000000"/>
                  <w:sz w:val="20"/>
                  <w:u w:val="none"/>
                  <w:effect w:val="none"/>
                </w:rPr>
                <w:t>Item 9B.</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05">
              <w:r>
                <w:rPr>
                  <w:rStyle w:val="InternetLink"/>
                  <w:rFonts w:ascii="Arial;sans-serif" w:hAnsi="Arial;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05">
              <w:r>
                <w:rPr>
                  <w:rStyle w:val="InternetLink"/>
                  <w:rFonts w:ascii="Arial;sans-serif" w:hAnsi="Arial;sans-serif"/>
                  <w:b w:val="false"/>
                  <w:strike w:val="false"/>
                  <w:dstrike w:val="false"/>
                  <w:color w:val="000000"/>
                  <w:sz w:val="20"/>
                  <w:u w:val="none"/>
                  <w:effect w:val="none"/>
                </w:rPr>
                <w:t>160</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9C.</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08">
              <w:r>
                <w:rPr>
                  <w:rStyle w:val="InternetLink"/>
                  <w:rFonts w:ascii="Arial;sans-serif" w:hAnsi="Arial;sans-serif"/>
                  <w:b w:val="false"/>
                  <w:color w:val="0000FF"/>
                  <w:sz w:val="20"/>
                  <w:u w:val="single"/>
                </w:rPr>
                <w:t>Disclosure Regarding Foreign Jurisdictions that Prevent Inspections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08">
              <w:r>
                <w:rPr>
                  <w:rStyle w:val="InternetLink"/>
                  <w:rFonts w:ascii="Arial;sans-serif" w:hAnsi="Arial;sans-serif"/>
                  <w:b w:val="false"/>
                  <w:strike w:val="false"/>
                  <w:dstrike w:val="false"/>
                  <w:color w:val="000000"/>
                  <w:sz w:val="20"/>
                  <w:u w:val="none"/>
                  <w:effect w:val="none"/>
                </w:rPr>
                <w:t>160</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0">
              <w:r>
                <w:rPr>
                  <w:rStyle w:val="InternetLink"/>
                  <w:rFonts w:ascii="Arial;sans-serif" w:hAnsi="Arial;sans-serif"/>
                  <w:b/>
                  <w:color w:val="0000FF"/>
                  <w:sz w:val="20"/>
                  <w:u w:val="single"/>
                </w:rPr>
                <w:t>PART III</w:t>
              </w:r>
            </w:hyperlink>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3">
              <w:r>
                <w:rPr>
                  <w:rStyle w:val="InternetLink"/>
                  <w:rFonts w:ascii="Arial;sans-serif" w:hAnsi="Arial;sans-serif"/>
                  <w:b w:val="false"/>
                  <w:strike w:val="false"/>
                  <w:dstrike w:val="false"/>
                  <w:color w:val="000000"/>
                  <w:sz w:val="20"/>
                  <w:u w:val="none"/>
                  <w:effect w:val="none"/>
                </w:rPr>
                <w:t>Item 10.</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14">
              <w:r>
                <w:rPr>
                  <w:rStyle w:val="InternetLink"/>
                  <w:rFonts w:ascii="Arial;sans-serif" w:hAnsi="Arial;sans-serif"/>
                  <w:b w:val="false"/>
                  <w:color w:val="0000FF"/>
                  <w:sz w:val="20"/>
                  <w:u w:val="single"/>
                </w:rPr>
                <w:t>Directors, Executive Officers and Corporate Governance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14">
              <w:r>
                <w:rPr>
                  <w:rStyle w:val="InternetLink"/>
                  <w:rFonts w:ascii="Arial;sans-serif" w:hAnsi="Arial;sans-serif"/>
                  <w:b w:val="false"/>
                  <w:strike w:val="false"/>
                  <w:dstrike w:val="false"/>
                  <w:color w:val="000000"/>
                  <w:sz w:val="20"/>
                  <w:u w:val="none"/>
                  <w:effect w:val="none"/>
                </w:rPr>
                <w:t>161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6">
              <w:r>
                <w:rPr>
                  <w:rStyle w:val="InternetLink"/>
                  <w:rFonts w:ascii="Arial;sans-serif" w:hAnsi="Arial;sans-serif"/>
                  <w:b w:val="false"/>
                  <w:strike w:val="false"/>
                  <w:dstrike w:val="false"/>
                  <w:color w:val="000000"/>
                  <w:sz w:val="20"/>
                  <w:u w:val="none"/>
                  <w:effect w:val="none"/>
                </w:rPr>
                <w:t>Item 11.</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17">
              <w:r>
                <w:rPr>
                  <w:rStyle w:val="InternetLink"/>
                  <w:rFonts w:ascii="Arial;sans-serif" w:hAnsi="Arial;sans-serif"/>
                  <w:b w:val="false"/>
                  <w:color w:val="0000FF"/>
                  <w:sz w:val="20"/>
                  <w:u w:val="single"/>
                </w:rPr>
                <w:t>Executive Compensation</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17">
              <w:r>
                <w:rPr>
                  <w:rStyle w:val="InternetLink"/>
                  <w:rFonts w:ascii="Arial;sans-serif" w:hAnsi="Arial;sans-serif"/>
                  <w:b w:val="false"/>
                  <w:strike w:val="false"/>
                  <w:dstrike w:val="false"/>
                  <w:color w:val="000000"/>
                  <w:sz w:val="20"/>
                  <w:u w:val="none"/>
                  <w:effect w:val="none"/>
                </w:rPr>
                <w:t>161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9">
              <w:r>
                <w:rPr>
                  <w:rStyle w:val="InternetLink"/>
                  <w:rFonts w:ascii="Arial;sans-serif" w:hAnsi="Arial;sans-serif"/>
                  <w:b w:val="false"/>
                  <w:strike w:val="false"/>
                  <w:dstrike w:val="false"/>
                  <w:color w:val="000000"/>
                  <w:sz w:val="20"/>
                  <w:u w:val="none"/>
                  <w:effect w:val="none"/>
                </w:rPr>
                <w:t>Item 12.</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0">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20">
              <w:r>
                <w:rPr>
                  <w:rStyle w:val="InternetLink"/>
                  <w:rFonts w:ascii="Arial;sans-serif" w:hAnsi="Arial;sans-serif"/>
                  <w:b w:val="false"/>
                  <w:strike w:val="false"/>
                  <w:dstrike w:val="false"/>
                  <w:color w:val="000000"/>
                  <w:sz w:val="20"/>
                  <w:u w:val="none"/>
                  <w:effect w:val="none"/>
                </w:rPr>
                <w:t>161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2">
              <w:r>
                <w:rPr>
                  <w:rStyle w:val="InternetLink"/>
                  <w:rFonts w:ascii="Arial;sans-serif" w:hAnsi="Arial;sans-serif"/>
                  <w:b w:val="false"/>
                  <w:strike w:val="false"/>
                  <w:dstrike w:val="false"/>
                  <w:color w:val="000000"/>
                  <w:sz w:val="20"/>
                  <w:u w:val="none"/>
                  <w:effect w:val="none"/>
                </w:rPr>
                <w:t>Item 13.</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3">
              <w:r>
                <w:rPr>
                  <w:rStyle w:val="InternetLink"/>
                  <w:rFonts w:ascii="Arial;sans-serif" w:hAnsi="Arial;sans-serif"/>
                  <w:b w:val="false"/>
                  <w:color w:val="0000FF"/>
                  <w:sz w:val="20"/>
                  <w:u w:val="single"/>
                </w:rPr>
                <w:t>Certain Relationships and Related Transactions, and Director Independence</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23">
              <w:r>
                <w:rPr>
                  <w:rStyle w:val="InternetLink"/>
                  <w:rFonts w:ascii="Arial;sans-serif" w:hAnsi="Arial;sans-serif"/>
                  <w:b w:val="false"/>
                  <w:strike w:val="false"/>
                  <w:dstrike w:val="false"/>
                  <w:color w:val="000000"/>
                  <w:sz w:val="20"/>
                  <w:u w:val="none"/>
                  <w:effect w:val="none"/>
                </w:rPr>
                <w:t>161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5">
              <w:r>
                <w:rPr>
                  <w:rStyle w:val="InternetLink"/>
                  <w:rFonts w:ascii="Arial;sans-serif" w:hAnsi="Arial;sans-serif"/>
                  <w:b w:val="false"/>
                  <w:strike w:val="false"/>
                  <w:dstrike w:val="false"/>
                  <w:color w:val="000000"/>
                  <w:sz w:val="20"/>
                  <w:u w:val="none"/>
                  <w:effect w:val="none"/>
                </w:rPr>
                <w:t>Item 14.</w:t>
              </w:r>
            </w:hyperlink>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26">
              <w:r>
                <w:rPr>
                  <w:rStyle w:val="InternetLink"/>
                  <w:rFonts w:ascii="Arial;sans-serif" w:hAnsi="Arial;sans-serif"/>
                  <w:b w:val="false"/>
                  <w:color w:val="0000FF"/>
                  <w:sz w:val="20"/>
                  <w:u w:val="single"/>
                </w:rPr>
                <w:t>Principal Accountant Fees and Services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26">
              <w:r>
                <w:rPr>
                  <w:rStyle w:val="InternetLink"/>
                  <w:rFonts w:ascii="Arial;sans-serif" w:hAnsi="Arial;sans-serif"/>
                  <w:b w:val="false"/>
                  <w:strike w:val="false"/>
                  <w:dstrike w:val="false"/>
                  <w:color w:val="000000"/>
                  <w:sz w:val="20"/>
                  <w:u w:val="none"/>
                  <w:effect w:val="none"/>
                </w:rPr>
                <w:t>161</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8">
              <w:r>
                <w:rPr>
                  <w:rStyle w:val="InternetLink"/>
                  <w:rFonts w:ascii="Arial;sans-serif" w:hAnsi="Arial;sans-serif"/>
                  <w:b/>
                  <w:color w:val="0000FF"/>
                  <w:sz w:val="20"/>
                  <w:u w:val="single"/>
                </w:rPr>
                <w:t>PART IV</w:t>
              </w:r>
            </w:hyperlink>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15.</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2">
              <w:r>
                <w:rPr>
                  <w:rStyle w:val="InternetLink"/>
                  <w:rFonts w:ascii="Arial;sans-serif" w:hAnsi="Arial;sans-serif"/>
                  <w:b w:val="false"/>
                  <w:color w:val="0000FF"/>
                  <w:sz w:val="20"/>
                  <w:u w:val="single"/>
                </w:rPr>
                <w:t>Exhibits and Financial Statement Schedules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32">
              <w:r>
                <w:rPr>
                  <w:rStyle w:val="InternetLink"/>
                  <w:rFonts w:ascii="Arial;sans-serif" w:hAnsi="Arial;sans-serif"/>
                  <w:b w:val="false"/>
                  <w:strike w:val="false"/>
                  <w:dstrike w:val="false"/>
                  <w:color w:val="000000"/>
                  <w:sz w:val="20"/>
                  <w:u w:val="none"/>
                  <w:effect w:val="none"/>
                </w:rPr>
                <w:t>162</w:t>
              </w:r>
            </w:hyperlink>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16.</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5">
              <w:r>
                <w:rPr>
                  <w:rStyle w:val="InternetLink"/>
                  <w:rFonts w:ascii="Arial;sans-serif" w:hAnsi="Arial;sans-serif"/>
                  <w:b w:val="false"/>
                  <w:color w:val="0000FF"/>
                  <w:sz w:val="20"/>
                  <w:u w:val="single"/>
                </w:rPr>
                <w:t>Form 10-K Summary</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35">
              <w:r>
                <w:rPr>
                  <w:rStyle w:val="InternetLink"/>
                  <w:rFonts w:ascii="Arial;sans-serif" w:hAnsi="Arial;sans-serif"/>
                  <w:b w:val="false"/>
                  <w:strike w:val="false"/>
                  <w:dstrike w:val="false"/>
                  <w:color w:val="000000"/>
                  <w:sz w:val="20"/>
                  <w:u w:val="none"/>
                  <w:effect w:val="none"/>
                </w:rPr>
                <w:t>165</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38">
              <w:r>
                <w:rPr>
                  <w:rStyle w:val="InternetLink"/>
                  <w:rFonts w:ascii="Arial;sans-serif" w:hAnsi="Arial;sans-serif"/>
                  <w:b w:val="false"/>
                  <w:color w:val="0000FF"/>
                  <w:sz w:val="20"/>
                  <w:u w:val="single"/>
                </w:rPr>
                <w:t>SIGNATURES</w:t>
              </w:r>
            </w:hyperlink>
          </w:p>
        </w:tc>
        <w:tc>
          <w:tcPr>
            <w:tcW w:w="54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239289f41804bf78920a5c992d63e00_238">
              <w:r>
                <w:rPr>
                  <w:rStyle w:val="InternetLink"/>
                  <w:rFonts w:ascii="Arial;sans-serif" w:hAnsi="Arial;sans-serif"/>
                  <w:b w:val="false"/>
                  <w:strike w:val="false"/>
                  <w:dstrike w:val="false"/>
                  <w:color w:val="000000"/>
                  <w:sz w:val="20"/>
                  <w:u w:val="none"/>
                  <w:effect w:val="none"/>
                </w:rPr>
                <w:t>166</w:t>
              </w:r>
            </w:hyperlink>
          </w:p>
        </w:tc>
      </w:tr>
    </w:tbl>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TextBody"/>
        <w:bidi w:val="0"/>
        <w:spacing w:before="3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NOTE ABOUT FORWARD-LOOKING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This Annual Report on Form 10-K, or Annual Report,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any future payouts under our contingent value rights ("CVRs") issued in connection with the Asset Acquisition (as defined herein); our ability to achieve the expected benefits or opportunities and related timing with respect to our acquisition of the assets of Spyre Therapeutics, Inc. ("Pre-Merger Spyre") (the "Asset Acquisition"); our future results of operations and financial position; our business strategy, including our ability to develop best-in-class therapeutics for inflammatory bowel disease (IBD), rheumatoid arthritis (RA), psoriatic arthritis (PsA), axial spondyloarthritis (axSpA) and other immune-mediated diseases that meaningfully improve both efficacy and convenience compared to today's standard of care and our ability to develop first-in-class therapeutics for rheumatic diseases (RD); our plans to expand the development of our product candidates, including SPY002, to indications beyond IBD and RD; the potential consistency of the SPY001, SPY002, SPY072 and SPY003 Phase 1 trial final data readouts with previously disclosed data for our programs; the planned induction and maintenance dosing regimen for SPY001 and our other product candidates, including the potential for a Q3M-Q6M dosing profile; the potential for increased or accelerated efficacy; potential alignment with regulatory authorities and anticipated regulatory submissions; expected timing for regulatory feedback; the length of time that we believe our existing cash resources will fund operations; estimated market sizes and potential growth opportunities; expected competitors and competing products; our nonclinical and clinical development activities, including clinical trial designs, submission of investigational new drug ("IND") applications and biologics license applications ("BLA"), as well as foreign equivalents, our plans for and timing of cohort initiation and data readouts for the ongoing SKYWAY Phase 2 basket trial and SKYLINE Phase 2 platform trial, enrollment of clinical trials, the inclusion of each rational combination in Part B of the SKYLINE-UC Phase 2 platform trial and the number of data readouts expected to be delivered in 2026 and 2027, and related regulatory feedback; the potential efficacy, tolerability, convenience, commercial viability and safety profile of our product candidates, including in combinations; the potential therapeutic benefits and economic value of our product candidates as monotherapies or in combinations and their extended half-life; our ability to provide anticipated readouts ahead of any disclosed bispecific approaches against our targets; expectations regarding our intellectual property portfolio, including our current and future patents and patent applications; use of net proceeds from our public offerings; the expected impact of macroeconomic conditions, including inflation, increasing interest rates and volatile market conditions, current or potential bank failures, as well as global events, including the ongoing military conflict in Ukraine, conflict between Israel and various other parties, recent events in Venezuela, geopolitical tensions between the United States and other countries, including China, on our operations, and the implementation of tariffs, sanctions, export or import controls, and other measures that restrict international trade by the United States, China or other governments;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These forward-looking statements are subject to a number of risks, uncertainties and assumptions, including those described in Item 1A, “Risk Factors” included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Unless the context indicates otherwise, as used in this Annual Report, the terms “Spyre,” "Aeglea BioTherapeutics, Inc.," "Aeglea," “the Company,” “we,” “us,” and “our” refer to Spyre Therapeutics, Inc., a Delaware corporation, and its consolidated subsidiaries taken as a whole. “Spyre”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All references to “our product candidates,” “our programs” and “our pipeline” in this Annual Report refer to the research programs with respect to which we have signed a license agreement for, exercised the option to acquire intellectual property license rights to or have the option to acquire intellectual property license rights to pursuant to that certain antibody discovery and option agreement, dated May 25, 2023 and subsequently amended and restated on September 29, 2023 and May 14, 2024, by and among us, Paragon Therapeutics, Inc. (“Paragon”) and Parapyre Holding LLC (“Parapyre”) (the “Paragon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Please be advised that on September 8, 2023, we effected a reverse stock split of our common stock at a ratio of 1-for-25 (the “Reverse Split”). Except as indicated otherwise, all share numbers related to our common stock disclosed in this Annual Report have been adjusted on a post-Reverse Split basis. In addition, on November 28, 2023, we changed our name from “Aeglea BioTherapeutics, Inc.” to “Spyre Therapeutics,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Spyre Therapeutics, Inc. (NASDAQ: SYRE) is a clinical-stage biotechnology company pioneering long-acting antibodies and antibody combinations to redefine the standard of care for inflammatory bowel disease (“IBD”) and rheumatic diseases. Spyre’s pipeline includes extended half-life antibodies targeting α4β7, TL1A, and IL-23 in development as monotherapies and pair-wise combinations.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Strategy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goal is to develop next-generation therapeutics to redefine the standard of care for the treatment of IBD and other immune-mediated diseases, relying on three strategic pillars: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Advancing a portfolio of next-generation monotherapies - novel antibody candidates engineered for optimized potency, selectivity, and pharmacokinetics ("PK") against validated IBD targets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Evaluating paradigm-changing IBD combinations - fixed-dose-combinations of our engineered investigational antibodies designed to enable superior efficacy, safety, and convenience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Expansion of our anti-TL1A program into additional indications - pipeline-in-a-product potential in diseases with first-in-class and best-in-class opportunity, starting with rheumatoid arthritis ("RA"), psoriatic arthritis ("PsA"), and axial spondyloarthritis ("axSpA")</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Next-generation monotherapies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next-generation monotherapy antibody candidates targeting α4β7, TL1A, and IL-23 are engineered to match or exceed the potency of comparator first generation molecules (Figure 1), maintain selectivity, incorporate Fc domain modifications called YTE substitutions in order to increase pharmacokinetic half-life (Figure 2), and are formulated as high-concentration, citrate-free formulations. Combined, these attributes have the potential to enable quarterly or twice annual subcutaneous ("SC") maintenance dosing, and have upside potential to increase or accelerate efficacy via increasing PK exposures, based on published exposure-response or dose-response relationships for each mechanism in IBD.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1. Potency of SPY001, SPY002, and SPY003 compared to first-generation in-class molecules</w:t>
      </w:r>
    </w:p>
    <w:p>
      <w:pPr>
        <w:pStyle w:val="TextBody"/>
        <w:bidi w:val="0"/>
        <w:spacing w:before="240" w:after="283"/>
        <w:ind w:left="0" w:right="0" w:firstLine="720"/>
        <w:jc w:val="both"/>
        <w:rPr/>
      </w:pPr>
      <w:r>
        <w:rPr/>
        <w:drawing>
          <wp:inline distT="0" distB="0" distL="0" distR="0">
            <wp:extent cx="5829300" cy="18288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829300" cy="1828800"/>
                    </a:xfrm>
                    <a:prstGeom prst="rect">
                      <a:avLst/>
                    </a:prstGeom>
                  </pic:spPr>
                </pic:pic>
              </a:graphicData>
            </a:graphic>
          </wp:inline>
        </w:drawing>
      </w:r>
      <w:bookmarkStart w:id="0" w:name="i-1"/>
      <w:bookmarkEnd w:id="0"/>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Source: Data on file. Potency refers to in vitro potency: SPY001 assay reports inhibition of cells expressing a4b7 binding to MAdCAM-1. SPY002 assay reports inhibition of TL1A-induced apoptosis in TF-1 cells. SPY003 assay reports inhibition of cellular STAT3 signaling. Vedolizumab, tulisokibart, and risankizumab are synthesized comparator antibodies.</w:t>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2. Increased pharmacokinetic half-life of SPY001, SPY002, and SPY003 compared to first-generation in-class molecules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240" w:after="283"/>
        <w:ind w:left="0" w:right="0" w:firstLine="720"/>
        <w:jc w:val="both"/>
        <w:rPr/>
      </w:pPr>
      <w:r>
        <w:rPr/>
        <w:drawing>
          <wp:inline distT="0" distB="0" distL="0" distR="0">
            <wp:extent cx="5829300" cy="23050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5829300" cy="2305050"/>
                    </a:xfrm>
                    <a:prstGeom prst="rect">
                      <a:avLst/>
                    </a:prstGeom>
                  </pic:spPr>
                </pic:pic>
              </a:graphicData>
            </a:graphic>
          </wp:inline>
        </w:drawing>
      </w:r>
      <w:bookmarkStart w:id="1" w:name="i-2"/>
      <w:bookmarkEnd w:id="1"/>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SPY001 PK simulation based on PK data as of 03/19/2025 cutoff; SPY002 PK simulation based on PK data from 5/31/2025 cutoff; SPY003 PK simulation based on PK data from 9/15/2025 cutoff. Vedolizumab, Afimkibart, and Risankizumab simulations based on published data (Rosario, M, et. al. (2015); Danese, Silvio, et al. (2024); Thakre, Neha et. al. (2024)); no head-to-head clinical trials have been conducted. Concept image of drug delivery device shown for illustrative purposes only.</w: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Paradigm-changing IBD combinations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Each of our next-generation monotherapy antibody candidates was selected for its attractive risk-benefit profile in preclinical development and targets distinct pathways involved in the pathogenesis of IBD, with the goal of developing pairwise combination therapies. The benefits of co-administration of two targeted therapies in IBD were previously demonstrated by a third-party clinical trial where combination treatment with an anti-TNF antibody and an anti-IL-23 antibody resulted in approximately additive efficacy (47% clinical remission for the combination vs. 25% and 24% for each of the monotherapy agents, Figure 3). Spyre's portfolio of investigational combination therapies has unique potential to deliver products with superior efficacy, safety, and convenience compared to the other combination products in clinical development in IBD.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3. Third-party demonstration of combination therapy in IBD</w:t>
      </w:r>
    </w:p>
    <w:p>
      <w:pPr>
        <w:pStyle w:val="TextBody"/>
        <w:bidi w:val="0"/>
        <w:spacing w:before="240" w:after="283"/>
        <w:ind w:left="0" w:right="0" w:firstLine="720"/>
        <w:jc w:val="both"/>
        <w:rPr/>
      </w:pPr>
      <w:r>
        <w:rPr/>
        <w:drawing>
          <wp:inline distT="0" distB="0" distL="0" distR="0">
            <wp:extent cx="5276850" cy="31051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5276850" cy="3105150"/>
                    </a:xfrm>
                    <a:prstGeom prst="rect">
                      <a:avLst/>
                    </a:prstGeom>
                  </pic:spPr>
                </pic:pic>
              </a:graphicData>
            </a:graphic>
          </wp:inline>
        </w:drawing>
      </w:r>
      <w:bookmarkStart w:id="2" w:name="i-3"/>
      <w:bookmarkEnd w:id="2"/>
    </w:p>
    <w:p>
      <w:pPr>
        <w:pStyle w:val="TextBody"/>
        <w:bidi w:val="0"/>
        <w:spacing w:lineRule="auto" w:line="288" w:before="240" w:after="283"/>
        <w:ind w:left="0" w:right="0" w:firstLine="720"/>
        <w:jc w:val="both"/>
        <w:rPr>
          <w:rFonts w:ascii="Arial;sans-serif" w:hAnsi="Arial;sans-serif"/>
          <w:b w:val="false"/>
          <w:i/>
          <w:color w:val="000000"/>
          <w:sz w:val="16"/>
        </w:rPr>
      </w:pPr>
      <w:r>
        <w:rPr>
          <w:rFonts w:ascii="Arial;sans-serif" w:hAnsi="Arial;sans-serif"/>
          <w:b w:val="false"/>
          <w:i/>
          <w:color w:val="000000"/>
          <w:sz w:val="16"/>
        </w:rPr>
        <w:t>Source: Feagan, B. G. et al. Lancet Gastroenterol. Hepatol. 8, 307–320 (2023). mMS=modified mayo score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9"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Anti-TL1A indication expansion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TL1A has been implicated in a wide range of human diseases beyond IBD based on genetic, translational, and/or preclinical data, including diseases within but not limited to: rheumatic diseases such as RA, PsA, and axSpA, as well as systemic sclerosis-interstitial lung disease, asthma, pulmonary sarcoidosis, psoriasis, hidradentis suppurativa, and atopic dermatitis. Among these diseases, multiple publications support anti-TL1A as a potential treatment option for rheumatic disease, with further validation from in-house in vivo experiments: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TL1A is elevated in RA, PsA, and axSpA patients relative to healthy controls and increases with disease duration and severity (Figure 4)</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TL1A administration exacerbates arthritis in murine models of arthritis and administration of anti-TL1A antibodies reduces arthritis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TL1A blockade using Spyre's anti-TL1A antibodies matched or exceeded the efficacy of anti-TNF treatment in a collagen induced rat model of arthritis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Robust anti-TL1A activity further replicated in mouse models of arthritis and match the efficacy of anti-TNF (Figure 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Additionally, anti-TL1A treatment led to comparable improvements in psoriatic skin lesions in mouse IMQ model as anti-IL-23 and anti-TNF (Figure 6)</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successful in development and in obtaining regulatory approval, SPY072's projected quarterly to twice-annual subcutaneous dosing in a single autoinjector has the potential to be the first-in-class and best-in-class anti-TL1A for these rheumatic diseases and represents an attractive opportunity to meaningfully expand the value of our portfolio.</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4. Upregulation of TL1A in RA, PsA, and axSpA relative to healthy controls</w:t>
      </w:r>
    </w:p>
    <w:p>
      <w:pPr>
        <w:pStyle w:val="TextBody"/>
        <w:bidi w:val="0"/>
        <w:spacing w:before="240" w:after="283"/>
        <w:ind w:left="0" w:right="0" w:firstLine="720"/>
        <w:jc w:val="both"/>
        <w:rPr/>
      </w:pPr>
      <w:r>
        <w:rPr/>
        <w:drawing>
          <wp:inline distT="0" distB="0" distL="0" distR="0">
            <wp:extent cx="5829300" cy="22669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5829300" cy="2266950"/>
                    </a:xfrm>
                    <a:prstGeom prst="rect">
                      <a:avLst/>
                    </a:prstGeom>
                  </pic:spPr>
                </pic:pic>
              </a:graphicData>
            </a:graphic>
          </wp:inline>
        </w:drawing>
      </w:r>
      <w:bookmarkStart w:id="3" w:name="i-4"/>
      <w:bookmarkEnd w:id="3"/>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Spyre analysis of RA-MAP, Li, Sifang, et al. BMC Musculoskeletal Disorders 25.1 (2024), and Johnsson, Hanna, et al. Arthritis Research &amp; Therapy. ** P≤0.01, *** P ≤0.001, **** P ≤0.0001. Unpaired tailed t-test used for RA and axSpA analysis, One-way ANOVA used in PsA. RA=rheumatoid arthritis; PsA=psoriatic arthritis; axSpA=axial spondyloarthritis; HC=healthy controls.</w:t>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5. TL1A blockade matched or exceeded the efficacy of anti-TNF in rodent models of arthritis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1"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240" w:after="283"/>
        <w:ind w:left="0" w:right="0" w:firstLine="720"/>
        <w:jc w:val="both"/>
        <w:rPr/>
      </w:pPr>
      <w:r>
        <w:rPr/>
        <w:drawing>
          <wp:inline distT="0" distB="0" distL="0" distR="0">
            <wp:extent cx="5829300" cy="24479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5829300" cy="2447925"/>
                    </a:xfrm>
                    <a:prstGeom prst="rect">
                      <a:avLst/>
                    </a:prstGeom>
                  </pic:spPr>
                </pic:pic>
              </a:graphicData>
            </a:graphic>
          </wp:inline>
        </w:drawing>
      </w:r>
      <w:bookmarkStart w:id="4" w:name="i-5"/>
      <w:bookmarkEnd w:id="4"/>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Source: Data on file. **** P ≤0.0001</w:t>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6. Anti-TL1A treatment improved IMQ-induced psoriatic skin lesions in mice with comparable efficacy to anti-IL-23 and anti-TNF</w:t>
      </w:r>
    </w:p>
    <w:p>
      <w:pPr>
        <w:pStyle w:val="TextBody"/>
        <w:bidi w:val="0"/>
        <w:spacing w:before="240" w:after="283"/>
        <w:ind w:left="0" w:right="0" w:firstLine="720"/>
        <w:jc w:val="both"/>
        <w:rPr/>
      </w:pPr>
      <w:r>
        <w:rPr/>
        <w:drawing>
          <wp:inline distT="0" distB="0" distL="0" distR="0">
            <wp:extent cx="5829300" cy="23812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5829300" cy="2381250"/>
                    </a:xfrm>
                    <a:prstGeom prst="rect">
                      <a:avLst/>
                    </a:prstGeom>
                  </pic:spPr>
                </pic:pic>
              </a:graphicData>
            </a:graphic>
          </wp:inline>
        </w:drawing>
      </w:r>
      <w:bookmarkStart w:id="5" w:name="i-6"/>
      <w:bookmarkEnd w:id="5"/>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Source: Data on file. **** P ≤0.0001</w:t>
      </w:r>
    </w:p>
    <w:p>
      <w:pPr>
        <w:pStyle w:val="TextBody"/>
        <w:bidi w:val="0"/>
        <w:spacing w:before="0" w:after="0"/>
        <w:jc w:val="left"/>
        <w:rPr/>
      </w:pPr>
      <w:r>
        <w:rPr/>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Inflammatory Bowel Disease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IBD is a chronic condition characterized by inflammation within the gastrointestinal tract. It encompasses two main disorders: ulcerative colitis ("UC") and Crohn's disease ("CD"). UC primarily affects the colon and the rectum. Inflammation occurs in the innermost lining of the colon. Symptoms include bloody diarrhea, abdominal pain, bowel urgency, and frequent bowel movements. CD can affect any part of the gastrointestinal tract, from the mouth to the anus. It is characterized by inflammation that extends through multiple layers of the bowel wall. Symptoms include abdominal pain, diarrhea, weight loss, fatigue, and complications such as strictures or fistulas. Both conditions can significantly impact patients’ quality of life in terms of physical health, emotional well-being, and the unpredictability of symptom onset.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IBD affects millions of individuals worldwide, with increasing prevalence and incidence in both developed and developing countries. In the United States, it is estimated that approximately 2.4 million individuals currently have IBD, with approximately 70,000 patients newly diagnosed every year. Based on research from the Crohn's and Colitis Foundation of America, the market for IBD therapeutics is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4"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experience steady growth, driven by rising disease prevalence, increasing diagnosis rates, and evolving treatment paradigms.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range of pharmaceutical options exists, including anti-inflammatory drugs, immunosuppressants, and biologics. Treatment plans are often tailored to the individual patient’s disease severity, location, and response to therapy. In some cases, surgical interventions such as bowel resection or ostomy formation may be necessary to manage complications or improve quality of life.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Despite available treatments, there remain substantial unmet needs in IBD management,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Inadequate response or loss of response to existing therapies;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Side effects and safety concerns associated with long-term medication use;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Limited options for patients with refractory or severe disease;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Poor adherence to frequent and/or inconvenient dosing regimens.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Rheumatoid Arthritis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RA is a chronic inflammatory autoimmune condition that primarily affects the joints. It is characterized by pain, stiffness and swelling of one or more joints and can progress from mild swelling of the joints in early stages to severe deformations of the feet, ankles, and hands in late/severe stages. RA is thought to arise from an aberrant immune response to modified proteins in mucosal tissue and the synovium, driven by genetic risk factors and environmental stressors. RA affects more than 1.5 million individuals in the U.S., with stable-to-increasing incidence of ~40 per 100,000 individuals. Despite several advanced treatment options, a significant number of people living with RA continue to suffer from active disease. Today’s treatments are associated with many challenges, including low rates of remission, loss of response, and a high frequency of injections that may lead to poor compliance.</w:t>
      </w:r>
    </w:p>
    <w:p>
      <w:pPr>
        <w:pStyle w:val="TextBody"/>
        <w:bidi w:val="0"/>
        <w:spacing w:before="0" w:after="0"/>
        <w:jc w:val="both"/>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Psoriatic Arthritis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PsA is a chronic inflammatory autoimmune condition that typically affects both the joints and skin. It is characterized by pain, stiffness, and swelling of one or more joints and can progress from mild swelling of the joints in early stages to severe deformations of the joints in late/severe stages. Other characteristics can include psoriasis (PsO; scaly patches on the skin and/or nail discoloration and pitting), dactylitis (swollen fingers and toes), and spondylitis (painful inflammation in the spine). PsA is thought to arise from genetic and environmental triggers, though the pathogenesis is multifactorial and not well understood. PsA affects approximately 0.8 million individuals in the U.S., with estimates suggesting that up to 15% of PsO patients may have undiagnosed PsA. Despite several advanced treatment options, a significant number of people living with PsA continue to suffer from active disease. Today’s treatments are associated with many challenges, including inability to adequately address both joint and skin symptoms, loss of response, and a high frequency of injections that may lead to poor compliance.</w:t>
      </w:r>
    </w:p>
    <w:p>
      <w:pPr>
        <w:pStyle w:val="TextBody"/>
        <w:bidi w:val="0"/>
        <w:spacing w:lineRule="auto" w:line="288" w:before="240" w:after="283"/>
        <w:ind w:left="0" w:right="0" w:firstLine="720"/>
        <w:jc w:val="both"/>
        <w:rPr>
          <w:rFonts w:ascii="Arial;sans-serif" w:hAnsi="Arial;sans-serif"/>
          <w:b/>
          <w:color w:val="000000"/>
          <w:sz w:val="20"/>
        </w:rPr>
      </w:pPr>
      <w:r>
        <w:rPr>
          <w:rFonts w:ascii="Arial;sans-serif" w:hAnsi="Arial;sans-serif"/>
          <w:b/>
          <w:color w:val="000000"/>
          <w:sz w:val="20"/>
        </w:rPr>
        <w:t>Axial Spondyloarthritis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AxSpA is a chronic inflammatory autoimmune condition that primarily affects the axial skeleton (spine), with radiographic and non-radiographic subtypes. It is characterized by persistent back pain, stiffness, fatigue, joint stiffness, and frequent occurrence of extra-articular manifestations, such as anterior uveitis, IBD, and psoriasis. AxSpA is thought to arise when biomechanical stress, genetics, environmental triggers, and other factors lead to overactivation of the immune system in the spine. AxSpA affects an estimated 3 million individuals in the U.S., though only approximately 1 million of those are diagnosed. Despite some advanced treatment options, a significant number of people living with axSpA continue to suffer from active disease.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5"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Today’s treatments are associated with many challenges, including incomplete / loss of response, lack of MOAs to cycle through, and a high frequency of injections that may lead to poor compliance.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Our Portfolio</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advancing a pipeline of monoclonal antibodies (“mAbs”) for the treatment of IBD and other immune-mediated diseases. The following table (Figure 7) summarizes our pipeline and development strategy, including our SKYLINE Phase 2 platform trial evaluating SPY001, SPY002, SPY003, and pairwise combinations thereof in patients with moderately to severely active UC and our SKYWAY basket trial evaluating SPY072 in three rheumatic diseases: RA, PsA, and axSpA: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7. Spyre portfolio</w:t>
      </w:r>
    </w:p>
    <w:p>
      <w:pPr>
        <w:pStyle w:val="TextBody"/>
        <w:bidi w:val="0"/>
        <w:spacing w:before="240" w:after="283"/>
        <w:ind w:left="0" w:right="0" w:firstLine="720"/>
        <w:jc w:val="both"/>
        <w:rPr/>
      </w:pPr>
      <w:r>
        <w:rPr/>
        <w:drawing>
          <wp:inline distT="0" distB="0" distL="0" distR="0">
            <wp:extent cx="5829300" cy="220027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5829300" cy="2200275"/>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7"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240" w:after="283"/>
        <w:ind w:left="0" w:right="0" w:firstLine="720"/>
        <w:jc w:val="both"/>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SKYLINE Phase 2 Platform Trial in UC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2025, we initiated our SKYLINE Phase 2 platform trial evaluating SPY001, SPY002, SPY003, as well as pairwise combinations thereof (six investigational agents in total), in patients with moderately to severely active UC (Figure 8). The trial consists of two parts:</w:t>
      </w:r>
    </w:p>
    <w:p>
      <w:pPr>
        <w:pStyle w:val="TextBody"/>
        <w:bidi w:val="0"/>
        <w:spacing w:lineRule="auto" w:line="288" w:before="240" w:after="283"/>
        <w:ind w:left="0" w:right="0" w:firstLine="360"/>
        <w:jc w:val="both"/>
        <w:rPr/>
      </w:pPr>
      <w:r>
        <w:rPr>
          <w:color w:val="000000"/>
        </w:rPr>
        <w:t>•</w:t>
      </w:r>
      <w:r>
        <w:rPr>
          <w:rFonts w:ascii="Arial;sans-serif" w:hAnsi="Arial;sans-serif"/>
          <w:b/>
          <w:color w:val="000000"/>
          <w:sz w:val="20"/>
        </w:rPr>
        <w:t>Part A:</w:t>
      </w:r>
      <w:r>
        <w:rPr>
          <w:color w:val="000000"/>
        </w:rPr>
        <w:t xml:space="preserve"> </w:t>
      </w:r>
      <w:r>
        <w:rPr>
          <w:rFonts w:ascii="Arial;sans-serif" w:hAnsi="Arial;sans-serif"/>
          <w:b w:val="false"/>
          <w:color w:val="000000"/>
          <w:sz w:val="20"/>
        </w:rPr>
        <w:t>Open-label assessment of the safety and preliminary efficacy of a single dose level of each investigational monotherapy, with induction data expected to begin reading out in Q2 2026.</w:t>
      </w:r>
    </w:p>
    <w:p>
      <w:pPr>
        <w:pStyle w:val="TextBody"/>
        <w:bidi w:val="0"/>
        <w:spacing w:lineRule="auto" w:line="288" w:before="240" w:after="283"/>
        <w:ind w:left="0" w:right="0" w:firstLine="360"/>
        <w:jc w:val="both"/>
        <w:rPr/>
      </w:pPr>
      <w:r>
        <w:rPr>
          <w:color w:val="000000"/>
        </w:rPr>
        <w:t>•</w:t>
      </w:r>
      <w:r>
        <w:rPr>
          <w:rFonts w:ascii="Arial;sans-serif" w:hAnsi="Arial;sans-serif"/>
          <w:b/>
          <w:color w:val="000000"/>
          <w:sz w:val="20"/>
        </w:rPr>
        <w:t>Part B:</w:t>
      </w:r>
      <w:r>
        <w:rPr>
          <w:color w:val="000000"/>
        </w:rPr>
        <w:t xml:space="preserve"> </w:t>
      </w:r>
      <w:r>
        <w:rPr>
          <w:rFonts w:ascii="Arial;sans-serif" w:hAnsi="Arial;sans-serif"/>
          <w:b w:val="false"/>
          <w:color w:val="000000"/>
          <w:sz w:val="20"/>
        </w:rPr>
        <w:t>Randomized and placebo-controlled assessment of the safety and efficacy of monotherapies and combinations, designed to provide dose-ranging data on monotherapies, proof-of-concept and contribution of components for combinations, with induction data expected in 2027.</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SKYLINE is currently enrolling subjects into Part A of the trial, with Part B expected to begin enrolling after all Part A arms complete enrollment.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Figure 8. SKYLINE trial design</w:t>
      </w:r>
    </w:p>
    <w:p>
      <w:pPr>
        <w:pStyle w:val="TextBody"/>
        <w:bidi w:val="0"/>
        <w:spacing w:before="240" w:after="283"/>
        <w:jc w:val="both"/>
        <w:rPr/>
      </w:pPr>
      <w:r>
        <w:rPr/>
        <w:drawing>
          <wp:inline distT="0" distB="0" distL="0" distR="0">
            <wp:extent cx="5829300" cy="246697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5829300" cy="2466975"/>
                    </a:xfrm>
                    <a:prstGeom prst="rect">
                      <a:avLst/>
                    </a:prstGeom>
                  </pic:spPr>
                </pic:pic>
              </a:graphicData>
            </a:graphic>
          </wp:inline>
        </w:drawing>
      </w:r>
      <w:bookmarkStart w:id="7" w:name="i-8"/>
      <w:bookmarkEnd w:id="7"/>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mMS=modified mayo score; RHI=Robarts Histopathology Index; HEMI=Histo-Endoscopic Mucosal Improvement; P=primary endpoint; S=secondary endpoint. Initiation of each cohort subject to regulatory clearance.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SKYWAY Phase 2 Basket Trial in Rheumatic Diseases (RA, PsA, axSpA)</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September 2025, we initiated our SKYWAY Phase 2 randomized and placebo-controlled basket trial of SPY072 in patients with moderately to severely active RA, PsA, or axSpA (Figure 9). The trial consists of three sub-studies:</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pPr>
      <w:r>
        <w:rPr>
          <w:color w:val="000000"/>
        </w:rPr>
        <w:t>•</w:t>
      </w:r>
      <w:r>
        <w:rPr>
          <w:rFonts w:ascii="Arial;sans-serif" w:hAnsi="Arial;sans-serif"/>
          <w:b/>
          <w:color w:val="000000"/>
          <w:sz w:val="20"/>
        </w:rPr>
        <w:t>RA sub-study:</w:t>
      </w:r>
      <w:r>
        <w:rPr>
          <w:color w:val="000000"/>
        </w:rPr>
        <w:t xml:space="preserve"> </w:t>
      </w:r>
      <w:r>
        <w:rPr>
          <w:rFonts w:ascii="Arial;sans-serif" w:hAnsi="Arial;sans-serif"/>
          <w:b w:val="false"/>
          <w:color w:val="000000"/>
          <w:sz w:val="20"/>
        </w:rPr>
        <w:t>Double-blind, placebo-controlled safety and efficacy study of two dose levels of SPY072 at Week 12 with open-label follow-up through Week 36.</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pPr>
      <w:r>
        <w:rPr>
          <w:color w:val="000000"/>
        </w:rPr>
        <w:t>•</w:t>
      </w:r>
      <w:r>
        <w:rPr>
          <w:rFonts w:ascii="Arial;sans-serif" w:hAnsi="Arial;sans-serif"/>
          <w:b/>
          <w:color w:val="000000"/>
          <w:sz w:val="20"/>
        </w:rPr>
        <w:t>PsA sub-study:</w:t>
      </w:r>
      <w:r>
        <w:rPr>
          <w:color w:val="000000"/>
        </w:rPr>
        <w:t xml:space="preserve"> </w:t>
      </w:r>
      <w:r>
        <w:rPr>
          <w:rFonts w:ascii="Arial;sans-serif" w:hAnsi="Arial;sans-serif"/>
          <w:b w:val="false"/>
          <w:color w:val="000000"/>
          <w:sz w:val="20"/>
        </w:rPr>
        <w:t>Double-blind, placebo-controlled safety and efficacy study of a single dose level of SPY072 at Week 16 with open-label follow-up through Week 40.</w:t>
      </w:r>
    </w:p>
    <w:p>
      <w:pPr>
        <w:pStyle w:val="TextBody"/>
        <w:bidi w:val="0"/>
        <w:spacing w:before="0" w:after="0"/>
        <w:ind w:left="0" w:right="0" w:firstLine="720"/>
        <w:jc w:val="both"/>
        <w:rPr/>
      </w:pPr>
      <w:r>
        <w:rPr/>
      </w:r>
    </w:p>
    <w:p>
      <w:pPr>
        <w:pStyle w:val="TextBody"/>
        <w:bidi w:val="0"/>
        <w:spacing w:lineRule="auto" w:line="276" w:before="0" w:after="0"/>
        <w:ind w:left="0" w:right="0" w:firstLine="360"/>
        <w:jc w:val="both"/>
        <w:rPr/>
      </w:pPr>
      <w:r>
        <w:rPr>
          <w:color w:val="000000"/>
        </w:rPr>
        <w:t>•</w:t>
      </w:r>
      <w:r>
        <w:rPr>
          <w:rFonts w:ascii="Arial;sans-serif" w:hAnsi="Arial;sans-serif"/>
          <w:b/>
          <w:color w:val="000000"/>
          <w:sz w:val="20"/>
        </w:rPr>
        <w:t>axSpA sub-study:</w:t>
      </w:r>
      <w:r>
        <w:rPr>
          <w:color w:val="000000"/>
        </w:rPr>
        <w:t xml:space="preserve"> </w:t>
      </w:r>
      <w:r>
        <w:rPr>
          <w:rFonts w:ascii="Arial;sans-serif" w:hAnsi="Arial;sans-serif"/>
          <w:b w:val="false"/>
          <w:color w:val="000000"/>
          <w:sz w:val="20"/>
        </w:rPr>
        <w:t>Double-blind, placebo-controlled safety and efficacy study of a single dose level of SPY072 at Week 16 with open-label follow-up through Week 40.</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Topline proof-of-concept data for all three indications are expected in Q4 2026.</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Figure 9. SKYWAY trial design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drawing>
          <wp:inline distT="0" distB="0" distL="0" distR="0">
            <wp:extent cx="5829300" cy="24765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5829300" cy="2476500"/>
                    </a:xfrm>
                    <a:prstGeom prst="rect">
                      <a:avLst/>
                    </a:prstGeom>
                  </pic:spPr>
                </pic:pic>
              </a:graphicData>
            </a:graphic>
          </wp:inline>
        </w:drawing>
      </w:r>
      <w:bookmarkStart w:id="8" w:name="i-9"/>
      <w:bookmarkEnd w:id="8"/>
    </w:p>
    <w:p>
      <w:pPr>
        <w:pStyle w:val="TextBody"/>
        <w:bidi w:val="0"/>
        <w:spacing w:lineRule="auto" w:line="288" w:before="240" w:after="283"/>
        <w:jc w:val="both"/>
        <w:rPr>
          <w:rFonts w:ascii="Arial;sans-serif" w:hAnsi="Arial;sans-serif"/>
          <w:b w:val="false"/>
          <w:i/>
          <w:color w:val="000000"/>
          <w:sz w:val="16"/>
        </w:rPr>
      </w:pPr>
      <w:r>
        <w:rPr>
          <w:rFonts w:ascii="Arial;sans-serif" w:hAnsi="Arial;sans-serif"/>
          <w:b w:val="false"/>
          <w:i/>
          <w:color w:val="000000"/>
          <w:sz w:val="16"/>
        </w:rPr>
        <w:t>RF=rheumatoid factor; ACPA= Anti-citrullinated protein antibodies; cs/b/tsDMARD=conventional synthetic, biologic, or targeted synthetic disease modifying antirheumatic drugs; BASDAI=Bath Ankylosing Spondylitis Disease Activity Index; P=primary endpoint; S=secondary endpoint; E=exploratory endpoint. IR=inadequate response</w:t>
      </w:r>
    </w:p>
    <w:p>
      <w:pPr>
        <w:pStyle w:val="TextBody"/>
        <w:bidi w:val="0"/>
        <w:spacing w:before="0" w:after="0"/>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SPY001 – anti-α4β7 mAb</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SPY001 is a highly potent, highly selective, and humanized monoclonal immunoglobulin G1 investigational antibody designed to bind selectively to the α4β7 integrin being developed for the treatment of IBD (UC and CD). The α4β7 integrin is a protein found on the surface of immune cells. This integrin regulates the migration of immune cells to the gut where they contribute to the inflammatory process in IBD. By selectively binding to the α4β7 integrin, SPY001 is designed to prevent the interaction of these immune cells with MAdCAM-1, a molecule expressed on endothelial cells lining the blood vessels in the gut. By blocking the interaction between α4β7 integrin and MAdCAM-1, SPY001 aims to reduce the recruitment of immune cells to the gut, leading to a decrease in inflammation. Since it specifically targets the gut immune system, SPY001 is designed to minimize systemic immunosuppressive effects unrelated to IBD pathology.</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SPY001 demonstrates similar potency and selectivity as synthesized vedolizumab in preclinical </w:t>
      </w:r>
      <w:r>
        <w:rPr>
          <w:rFonts w:ascii="Arial;sans-serif" w:hAnsi="Arial;sans-serif"/>
          <w:b w:val="false"/>
          <w:i/>
          <w:color w:val="000000"/>
          <w:sz w:val="20"/>
        </w:rPr>
        <w:t>in vitro</w:t>
      </w:r>
      <w:r>
        <w:rPr>
          <w:color w:val="000000"/>
        </w:rPr>
        <w:t xml:space="preserve"> </w:t>
      </w:r>
      <w:r>
        <w:rPr>
          <w:rFonts w:ascii="Arial;sans-serif" w:hAnsi="Arial;sans-serif"/>
          <w:b w:val="false"/>
          <w:color w:val="000000"/>
          <w:sz w:val="20"/>
        </w:rPr>
        <w:t xml:space="preserve">models including surface plasmon residence and cellular adhesion assays. We initiated a first-in-human ("FIH") Phase 1 trial for SPY001 in June 2024. The SPY001 Phase 1 trial was a double blind, placebo-controlled trial in healthy volunteers consisting of a single-ascending dose ("SAD") component and a multi-ascending dose ("MAD") component. The trial enrolled 56 healthy adult participants into five SAD cohorts and two MAD cohorts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the main portion of the trial. The primary endpoint was safety, with PK and anti-drug antibodies ("ADA") serving as secondary endpoints. Additional cohorts were added to the trial to evaluate PK in healthy volunteers of various ethnicities to facilitate subsequent global clinical trials.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results were initially presented in November 2024, with additional data presented in May 2025 with up to eight months of follow up. To date, SPY001 has demonstrated a favorable safety profile across all dose groups, a meaningfully differentiated PK profile supporting potential quarterly or twice annual maintenance dosing, and rapid, complete saturation of α4β7 receptors beyond six months with a single dose of 600mg. Based on these results, SPY001 was advanced into the SKYLINE Phase 2 platform clinical trial.</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SPY002 and SPY072 – anti-TL1A mAbs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our anti-TL1A program, we nominated two highly potent, highly selective, and fully human mAb candidates designed to bind to tumor necrosis factor-like ligand 1A (“TL1A”). SPY002 (formerly SPY002-091) is being developed for the treatment of IBD (UC and CD) and SPY072 (formerly SPY002-072) is being developed for the treatment of RD.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TL1A is a protein that plays a role in regulating the immune system and is elevated in gut tissue of individuals with IBD and serum or synovial tissue of individuals with RA, PsA, and axSpA. TL1A interacts with its receptor, death receptor 3 (“DR3”), which is expressed in various immune cells, including T cells and fibroblast-like synoviocytes. This interaction triggers signaling pathways that contribute to inflammation and joint injury in RD, leading to symptomology, such as pain and swelling. SPY002 and SPY072 have been designed to block the interaction between TL1A and DR3, and thereby inhibit the downstream signaling events to dampen the inflammatory response. By neutralizing TL1A, we believe that SPY002 and SPY072 have the potential to modulate the immune response in IBD and rheumatic disease patients, potentially reducing disease activity.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SPY002 and SPY072 bind and inhibit TL1A with subnanomolar potency in preclinical cellular assays. We initiated FIH Phase 1 trials for SPY002 and SPY072 in the fourth quarter of 2024. The Phase 1 trials were each double blind, placebo-controlled evaluations in healthy volunteers, consisting of five SAD cohorts. Each trial enrolled 40 healthy adult participants across the five SAD cohorts in the main portion of the trial. The primary endpoint is safety, with PK and ADAs serving as secondary endpoints, and PD markers as exploratory endpoints. Phase 1 trial enrollment is complete.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Phase 1 data were presented in June 2025 and October 2025, with up to 24-weeks of follow up. To date, SPY002 and SPY072 have demonstrated favorable safety profiles, meaningfully differentiated PK profiles supporting potential quarterly or twice annual maintenance dosing, and complete suppression of free TL1A through up to 20-24 weeks at single 100mg doses. Based on these results, SPY002 has advanced to the SKYLINE Phase 2 platform trial and SPY072 has advanced to the SKYWAY Phase 2 basket trial. </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SPY003 – anti-IL-23 mAb</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SPY003 is a clinical-stage program designed to bind to interleukin 23 (“IL-23”) and incorporates half-life extending modifications. IL-23 is a cytokine that is produced by immune cells and is involved in immune response regulation. IL-23 promotes the survival, expansion, and activity of Th17 cells. Th17 cells produce inflammatory cytokines, such as IL-17, which contribute to the inflammation seen in IBD. IL-23 also helps in the recruitment and activation of other immune cells, such as neutrophils, which further contribute to tissue damage in the gut.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SPY003 binds to the p19 subunit of IL-23 with subnanomolar potency in cellular assays. SPY003 also exhibited extended PK half-life of greater than three-fold relative to a synthesized risankizumab comparator that does not incorporate half-life extending modifications, based on head-to-head preclinical studies in non-human primates ("NHPs").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20"/>
        </w:rPr>
        <w:t xml:space="preserve">We initiated a FIH trial in March 2025. The SPY003 Phase 1 trial is a double blind, placebo-controlled trial in healthy volunteers trial that enrolled </w:t>
      </w:r>
      <w:r>
        <w:rPr>
          <w:rFonts w:ascii="Arial;sans-serif" w:hAnsi="Arial;sans-serif"/>
          <w:b w:val="false"/>
          <w:color w:val="000000"/>
          <w:sz w:val="20"/>
          <w:shd w:fill="FFFFFF" w:val="clear"/>
        </w:rPr>
        <w:t>59</w:t>
      </w:r>
      <w:r>
        <w:rPr>
          <w:color w:val="000000"/>
        </w:rPr>
        <w:t xml:space="preserve"> </w:t>
      </w:r>
      <w:r>
        <w:rPr>
          <w:rFonts w:ascii="Arial;sans-serif" w:hAnsi="Arial;sans-serif"/>
          <w:b w:val="false"/>
          <w:color w:val="000000"/>
          <w:sz w:val="20"/>
        </w:rPr>
        <w:t>healthy adult participants into five SAD cohorts, one multiple dose (MD) cohort, and one Chinese ethnobridging cohort. The primary endpoint is safety, with PK and ADAs serving as secondary endpoints. Phase 1 trial enrollment is now complete.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Arial;sans-serif" w:hAnsi="Arial;sans-serif"/>
          <w:b w:val="false"/>
          <w:color w:val="000000"/>
          <w:sz w:val="20"/>
        </w:rPr>
        <w:t xml:space="preserve">Interim Phase 1 data were disclosed in November 2025, and additional data were presented in February 2026 with up to </w:t>
      </w:r>
      <w:r>
        <w:rPr>
          <w:rFonts w:ascii="Arial;sans-serif" w:hAnsi="Arial;sans-serif"/>
          <w:b w:val="false"/>
          <w:color w:val="000000"/>
          <w:sz w:val="20"/>
          <w:shd w:fill="FFFFFF" w:val="clear"/>
        </w:rPr>
        <w:t>20 weeks</w:t>
      </w:r>
      <w:r>
        <w:rPr>
          <w:color w:val="000000"/>
        </w:rPr>
        <w:t xml:space="preserve"> </w:t>
      </w:r>
      <w:r>
        <w:rPr>
          <w:rFonts w:ascii="Arial;sans-serif" w:hAnsi="Arial;sans-serif"/>
          <w:b w:val="false"/>
          <w:color w:val="000000"/>
          <w:sz w:val="20"/>
        </w:rPr>
        <w:t xml:space="preserve">of follow-up, demonstrating that SPY003 exhibited a favorable safety profile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and a meaningfully differentiated PK profile supporting quarterly or twice annual maintenance dosing. Based on these results, SPY003 was advanced to the SKYLINE Phase 2 platform trial.</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SPY120 - combination, anti-α4β7 and anti-TL1A mAbs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SPY120 combines SPY001 (anti-α4β7) and SPY002 (anti-TL1A) antibodies, pairing two complementary mechanisms studied in third-party clinical trials targeting non-overlapping sites of action.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February and May 2025, we presented preclinical data demonstrating that combinations resulted in additive or greater than additive in vivo biological activity relative to either monotherapy in mouse hapten reagent 2,4,6-trinitrobenzene sulfonic acid ("TNBS") and anti-CD40 colitis models. In October 2025, we presented preclinical data further demonstrating that combined inhibition resulted in superior efficacy relative to constituent monotherapies in a mouse TNBS-induced colitis model. In addition, combination toxicology studies have been completed with no drug-related adverse findings observed.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These preclinical data, in addition to our positive interim Phase 1 results for SPY001 and SPY002, support the advancement of SPY120 into Part B of the SKYLINE Phase 2 platform trial.</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SPY130 - combination anti-α4β7 and anti-IL-23 mAbs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SPY130 combines SPY001 (anti-α4β7) and SPY003 (anti-IL-23) antibodies, pairing two commercially validated mechanisms targeting non-overlapping sites of action.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October 2024, we presented preclinical data, demonstrating in a T-cell transfer model of IBD, that combinations with anti-IL-23 and anti-α4ß7 improved body weight and reduced colonic CD4+ infiltration and IL-17 levels relative to monotherapy.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These preclinical data, in addition to our positive interim Phase 1 results for SPY001 and SPY003, support SPY130 being advanced in Part B of the SKYLINE Phase 2 platform trial.</w:t>
      </w:r>
    </w:p>
    <w:p>
      <w:pPr>
        <w:pStyle w:val="TextBody"/>
        <w:bidi w:val="0"/>
        <w:spacing w:before="0" w:after="0"/>
        <w:ind w:left="0" w:right="0" w:firstLine="72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SPY230 – combination anti-TL1A and anti-IL-23 mAbs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SPY230 combines SPY002 (anti-TL1A) and SPY003 (anti-IL-23) antibodies, pairing two complementary mechanisms of action with potential to address overlapping and non-overlapping triggers of inflammation.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October 2024, we presented preclinical data, demonstrating that anti-IL-23 and anti-TL1A have a synergistic effect on promoting IL-17 secretion from human and mouse cells, and that the combination of anti-IL-23 and anti-TL1A suppressed IL-17 secretion more effectively than either agent alone. In March and October 2025, we presented additional preclinical data, demonstrating that combinations resulted in superior in vivo biological activity relative to either monotherapy in mouse TNBS model. In addition, combination toxicology studies have been completed with no drug-related adverse findings observed.</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These preclinical data, in addition to our positive interim Phase 1 results for SPY002 and SPY003, support SPY230 being advanced in Part B of the SKYLINE Phase 2 platform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Employees and Human Capital Resources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we had 102 employees, all of whom were employed full time. We also engage temporary employees and consultants to augment our existing workforce. None of our employees are represented by a labor union or covered under a collective bargaining agreement. We consider our relationship with our employees to be good.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 that attracting, motivating, and retaining talent at all levels is vital to continuing our success. We invest in our employees through high-quality benefits, professional development opportunities, and various health and wellness initiatives and offer competitive compensation packages (base salary and incentive plans), ensuring fairness in internal compensation practices. The principal purposes of our incentive plans (bonus and equity) are to align with the long-term interests of our stakeholders and stockholders.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Commercial</w:t>
      </w:r>
    </w:p>
    <w:p>
      <w:pPr>
        <w:pStyle w:val="TextBody"/>
        <w:bidi w:val="0"/>
        <w:spacing w:lineRule="auto" w:line="288" w:before="240" w:after="283"/>
        <w:ind w:left="0" w:right="0" w:firstLine="490"/>
        <w:jc w:val="both"/>
        <w:rPr>
          <w:rFonts w:ascii="Arial;sans-serif" w:hAnsi="Arial;sans-serif"/>
          <w:b w:val="false"/>
          <w:color w:val="000000"/>
          <w:sz w:val="20"/>
        </w:rPr>
      </w:pPr>
      <w:r>
        <w:rPr>
          <w:rFonts w:ascii="Arial;sans-serif" w:hAnsi="Arial;sans-serif"/>
          <w:b w:val="false"/>
          <w:color w:val="000000"/>
          <w:sz w:val="20"/>
        </w:rPr>
        <w:t>Should any of our product candidates be approved for commercialization, we intend to develop a plan to commercialize them in the United States and other key markets, through internal infrastructure and/or external partnerships in a manner that will enable us to realize the full commercial value of our product candidates. In January 2026 we hired our first Chief Commercial Officer, but given our stage of development, we have not yet established a robust commercial organization or distribution capabilities.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Manufacturing and Supply</w:t>
      </w:r>
    </w:p>
    <w:p>
      <w:pPr>
        <w:pStyle w:val="TextBody"/>
        <w:bidi w:val="0"/>
        <w:spacing w:lineRule="auto" w:line="288" w:before="240" w:after="283"/>
        <w:ind w:left="0" w:right="0" w:firstLine="490"/>
        <w:jc w:val="both"/>
        <w:rPr>
          <w:rFonts w:ascii="Arial;sans-serif" w:hAnsi="Arial;sans-serif"/>
          <w:b w:val="false"/>
          <w:color w:val="000000"/>
          <w:sz w:val="20"/>
        </w:rPr>
      </w:pPr>
      <w:r>
        <w:rPr>
          <w:rFonts w:ascii="Arial;sans-serif" w:hAnsi="Arial;sans-serif"/>
          <w:b w:val="false"/>
          <w:color w:val="000000"/>
          <w:sz w:val="20"/>
        </w:rPr>
        <w:t xml:space="preserve">We do not currently own or operate facilities for product manufacturing, testing, storage, and distribution. All of our nonclinical and clinical drug supply development, manufacturing, storage, distribution and testing are outsourced to third-party manufacturers and facilities. Our manufacturing strategy enables us to more efficiently direct financial resources to the research, development and commercialization of programs rather than diverting resources to internally develop and maintain manufacturing facilities. As our programs advance through development, we expect to enter into longer-term commercial supply agreements with key suppliers and manufacturers to fulfill and secure our supply needs. </w:t>
      </w:r>
    </w:p>
    <w:p>
      <w:pPr>
        <w:pStyle w:val="TextBody"/>
        <w:bidi w:val="0"/>
        <w:spacing w:lineRule="auto" w:line="288" w:before="240" w:after="283"/>
        <w:ind w:left="0" w:right="0" w:firstLine="490"/>
        <w:jc w:val="both"/>
        <w:rPr>
          <w:rFonts w:ascii="Arial;sans-serif" w:hAnsi="Arial;sans-serif"/>
          <w:b w:val="false"/>
          <w:color w:val="000000"/>
          <w:sz w:val="20"/>
        </w:rPr>
      </w:pPr>
      <w:r>
        <w:rPr>
          <w:rFonts w:ascii="Arial;sans-serif" w:hAnsi="Arial;sans-serif"/>
          <w:b w:val="false"/>
          <w:color w:val="000000"/>
          <w:sz w:val="20"/>
        </w:rPr>
        <w:t>Pursuant to a Novation Agreement dated September 19, 2023 (the “Novation Agreement”), by and between us, Paragon and WuXi Biologics (Hong Kong) Limited (“WuXi Biologics”), we novated (i) a Biologics Master Services Agreement (the “WuXi Biologics MSA”) and (ii) a Cell Line License Agreement (the “Cell Line License Agreement”).</w:t>
      </w:r>
    </w:p>
    <w:p>
      <w:pPr>
        <w:pStyle w:val="TextBody"/>
        <w:bidi w:val="0"/>
        <w:spacing w:lineRule="auto" w:line="288" w:before="240" w:after="283"/>
        <w:ind w:left="0" w:right="0" w:firstLine="490"/>
        <w:jc w:val="both"/>
        <w:rPr/>
      </w:pPr>
      <w:r>
        <w:rPr>
          <w:rFonts w:ascii="Arial;sans-serif" w:hAnsi="Arial;sans-serif"/>
          <w:b w:val="false"/>
          <w:color w:val="000000"/>
          <w:sz w:val="20"/>
        </w:rPr>
        <w:t>On December 18, 2025, President Trump signed the Fiscal Year 2026 National Defense Authorization Act, which includes the BIOSECURE Act. The BIOSECURE Act prohibits federal departments and agencies from contracting with or providing loans or grants to any entity where the biotechnology equipment or services of a designated "biotechnology company of concern" ("BCOC") would be used in the performance of that contract, grant, or loan. Generally, a BCOC is a biotechnology company that is subject to the jurisdiction, direction, control, or operates on behalf of a foreign adversary's government and poses a risk to the national security of the U.S. BCOCs include entities listed on the Department of Defense Section 1260H list of "Chinese military companies" and additional entities to be designated through an interagency process led by the Office of Management and Budget ("OMB"). OMB has not yet identified any BCOCs. We are in the process of creating manufacturing capabilities with third parties outside of China, including within the United States, and have taken several measures to strengthen our supply chain in the event that our manufacturers are impacted. Among other things, we intend to establish domestic inventory of key materials and are accelerating our clinical resupply campaigns to ensure we have a sufficient stockpile of drug substance. We will also continue to closely monitor geopolitical risk and implement additional mitigations and supply chain redundancies, as needed. See the risk factors entitled “We may be negatively impacted by changes in law or other policy, including healthcare reform initiatives,” and “We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r>
        <w:rPr>
          <w:rFonts w:ascii="Arial;sans-serif" w:hAnsi="Arial;sans-serif"/>
          <w:b w:val="false"/>
          <w:i/>
          <w:color w:val="000000"/>
          <w:sz w:val="20"/>
        </w:rPr>
        <w:t>.</w:t>
      </w:r>
      <w:r>
        <w:rPr>
          <w:color w:val="000000"/>
        </w:rPr>
        <w: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Biologics Master Services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2023, Paragon and WuXi Biologics entered into the WuXi Biologics MSA, which was subsequently novated to us by Paragon on September 19, 2023 pursuant to the Novation Agreement. The WuXi Biologics MSA was subsequently amended and restated in October 2024. The WuXi Biologics MSA governs certain development activities and Good Manufacturing Practice ("GMP") manufacturing and testing for the SPY001, SPY002, and SPY003 programs, as well as potential future programs, on a work order basis. Under the WuXi Biologics MSA, we are obligated to pay WuXi Biologics a service fee and all non-cancellable obligations in the amount specified in each work order associated with the agreement for the provision of services.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WuXi Biologics MSA terminates on the later of (i) October 14, 2029 or (ii) the completion of services under all work orders executed by the parties prior to October 14, 2029,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We can also terminate the WuXi Biologics MSA, or any work order, in the event that any law is enacted that has, or could be reasonably expected to have, a material adverse effect on us or any of our products that is the subject of the WuXi Biologics MSA, in each case, as a result of WuXi Biologics providing services under the WuXi Biologics MSA or us being a party to the WuXi Biologics MSA. Either party may terminate a work order (i) at any time upon six months’ prior notice with reasonable cause, provided however that if WuXi Biologics terminates a work order in such manner, no termination or cancellation fees shall be paid by us and (ii) immediately for cause upon (a) the other party’s material breach that remains uncured for 30 days after notice of such breach, (b) the other party’s bankruptcy or (c) a force majeure event that prevents performance for a period of at least 90 days.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Cell Line License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2023, Paragon and WuXi Biologics entered into the Cell Line License Agreement, which was subsequently novated to us by Paragon pursuant to the Novation Agreement. The Cell Line License Agreement was subsequently amended and restated in October 2024. Under the Cell Line License Agreement, we received a non-exclusive, worldwide, sublicensable license to certain of WuXi Biologics’s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SPY001, SPY002, and SPY003 programs.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less than one percent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Subject to the terms of the Cell Line License Agreement, royalties owed under the Cell Line License Agreement may be bought out on a product-by-product basis for a lump-sum payment.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Intellectual Property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strive to protect the proprietary programs and technologies that we believe are important to our business, including seeking and maintaining patent protection intended to cover the composition of matter of our programs, their methods of use, related technologies, diagnostics, and other inventions.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Patent Rights Relating to Our Anti-α4β7 Program</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of January 31, 2026, we exclusively license or owned four patent families directed to antibodies that target integrin receptor α4β7, including SPY001, pharmaceutical formulations and compositions, and methods of using those antibodies. The first patent family is directed to compositions of matter including SPY001, method of treatment and dosing regimen and includes 2 U.S granted patents and patent applications filed in the U.S. and in foreign jurisdictions including Europe, Japan, and China. We would expect these patents upon issuance to expire in 2044, absent any applicable patent term extensions. The second patent family is directed to methods of using SPY001 and includes an international (PCT) patent application. If the PCT patent application is pursued in the U.S. or any foreign jurisdictions and matures into one or more issued patents, we would expect those patents to expire in 2045, absent any applicable patent term extensions. The third patent family is directed to pharmaceutical formulations containing SPY001 and includes a PCT patent application. If the PCT patent application is pursued in the U.S. or any foreign jurisdictions and matures into one or more issued patents, we would expect those patents to expire in 2045, absent any applicable patent term extensions. The fourth patent family is directed to other α4β7 antibody compositions and includes a U.S. patent application and a PCT patent application. If the PCT patent application is pursued in any foreign jurisdictions and matures into one or more issued patents, and if the US patent application matures into a U.S. patent, we would expect those patents upon issuance to expire in 2044, absent any applicable patent term extensions.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Patent Rights Relating to Our Anti-Tl1A Program</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of January 31, 2026, we exclusively license or own ten patent families directed to antibodies that target TL1A, including SPY002 and SPY072, and methods of using those antibodies. The first patent family is directed to SPY002 and SPY072 compositions of matter and includes 2 U.S. granted patents, and a PCT patent application. If the PCT application is pursued in any foreign jurisdictions and matures into one or more issued patents, we would expect those patents upon issuance to expire in 2044, absent any applicable patent term extensions. The second patent family is directed to composition comprising other anti-TL1A antibody compositions and includes applications filed in the U.S., Europe, Japan, and China. If Spyre pursues the U.S. or any foreign jurisdictions and it matures into one or more issued patents, we would expect those patents upon issuance to expire in 2044, absent any applicable patent term extensions. The next six patent families are directed to methods of using SPY002 and SPY072 and includes six PCT patent applications. If these PCT patent applications are pursued in the U.S. and any foreign jurisdictions and mature into one or more issued patents, we would expect those patents upon issuance to expire in 2046, absent any applicable patent term extensions. The remaining two patent families are directed to SPY002 and SPY072 compositions and as of January 31, 2026, each family includes two provisional patent applications. If these provisional applications are pursued non-provisionally and mature into one or more issued patents, we would expect those patents upon issuance to expire in 2046, absent any applicable patent term extensions.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Patent Rights Relating to Our Anti-IL-23 Program</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of January 31, 2026, we exclusively license or own two patent families directed to antibodies that target IL-23, including SPY003, and methods of using those antibodies and formulations thereof. The first patent family is directed to compositions of matter including SPY003 and includes a U.S. patent application and a PCT patent application. If the PCT patent application is pursued in any foreign jurisdictions and matures into an issued patent or the Argentina or Taiwan applications are pursued and mature into one or more issued patents, we would expect those patents upon issuance to expire in 2045, absent any applicable patent term extensions. The second patent family is directed to pharmaceutical formulations and compositions including SPY003 and as of January 31, 2026, includes one provisional application. If the provisional application is pursued non-provisionally and matures into one or more issued patents, we would expect those patents upon issuance to expire in 2046, absent any applicable patent term extensions.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Patent Rights Relating to Our Combination Programs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January 31, 2026, we own four patent families directed to combinations of SPY001, SPY002, and SPY003. The first patent family is directed to methods of treatment with a combination of SPY001 and SPY002 (SPY120) and includes a PCT patent application. If the PCT application is pursued in the U.S. or any foreign jurisdictions and matures into one or more issued patents, we would expect those patents upon issuance to expire in 2045, absent any applicable patent term extensions. The second patent family is directed to methods of treatment with a combination of SPY001 and SPY003 (SPY130) and includes, as of January 31, 2026,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provisional application. If this provisional application is pursued non-provisionally and matures into one or more issued patents, we would expect those patents upon issuance to expire in 2046, absent any applicable patent term extensions. The remaining two patent families are directed to methods of treatment with a combination of SPY002 and SPY072 and SPY003 (SPY230) and as of January 31, 2026, each family includes two provisional patent applications. If these provisional applications are pursued non-provisionally and mature into one or more issued patents, we would expect those patents upon issuance to expire in 2046, absent any applicable patent term extensions.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Other IP Rights</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addition to patents, we rely upon unpatented trade secrets,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that such agreements will not be breached, or that these agreements will afford us adequate protection of our intellectual property and proprietary rights. For more information, see the section entitled “Risk Factors - Risks Related to Our Intellectual Property”.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Trademark Rights Relating to the Spyre Therapeutics Name and Logo</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January 31, 2026, we own trademark registrations for the Spyre name and name plus logo for research and development services of new pharmaceutical products in Australia, China, Europe, and the UK.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2023, Pre-Merger Spyre entered into the Paragon Agreement with Paragon and Parapyre. Pursuant to the Paragon Agreement, we received the option to license the intellectual property rights related to four research programs (collectively, the "Option") from Paragon in accordance with a license agreement to be entered into following each exercise of the Option.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12, 2023, December 14, 2023 and June 5, 2024, we exercised our Option available under the Paragon Agreement with respect to the SPY001, SPY002 and SPY003 research programs, respectively. In May 2024, we signed license agreements with Paragon for rights to royalty-bearing, world-wide, exclusive licenses to develop, manufacture, commercialize or otherwise exploit certain antibodies and products targeting ɑ4β7 integrin (SPY001 program) (the "SPY001 License Agreement") and TL1A (SPY002 program) (the "SPY002 License Agreement") and, in October 2024, we signed a license agreement for rights to a royalty-bearing, world-wide, exclusive license to develop, manufacture, commercialize or otherwise exploit certain antibodies and products targeting IL-23 (SPY003 program) (the "SPY003 License Agreement" and, together with the SPY001 License Agreement and the SPY002 License Agreement, the "License Agreements") in the field of IBD. The SPY003 License Agreement was subsequently amended and restated in February 2025 to, among other things, clarify each party's rights and obligations with respect to license exclusivity and patent prosecution and correct certain clerical errors. The Option with respect to one additional program remains unexercised under the 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each License Agreement, we are obligated to pay Paragon up to $22.0 million upon the achievement of specific development, regulatory and clinical milestones for the first product under each agreement, respectively, that achieves such specified milestones, including a milestone payment of $5 million upon the first dosing of a human patient in a Phase 3 trial. With respect to the SPY002 License Agreement only, on a product by product basis, we are obligated to pay sublicensing fees of up to approximately $20 million upon the achievement of mostly commercial milestones. Subject to the execution of the Option with respect to the remaining research program, we expect to be obligated to make similar payments upon and following the execution of a license agreement with respect to such research program.</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expect to face intense competition from other biopharmaceutical companies that are developing agents for the treatment of inflammatory diseases. If approved for the treatment of patients with moderate-to-severe IBD, our portfolio of products would compete with TNF antibodies including Humira (AbbVie), Remicade (Johnson &amp; Johnson), and Simponi (Johnson &amp; Johnson); IL-12/23 and IL-23 antibodies including Stelara (Johnson &amp; Johnson), Skyrizi (AbbVie), Omvoh (Lilly), and Tremfya (Johnson &amp; Johnson); α4ß7 antibody Entyvio (Takeda); JAK inhibitors including Xeljanz (Pfizer) and Rinvoq (AbbVie); and S1P1 receptor modulating therapies including Zeposia (Bristol Myers Squibb) and Velsipity (Pfizer). Our products would also compete with biosimilars or generics, either currently approved or in development, to many of these products.</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aware of several companies with product candidates in development for the treatment of patients with IBD, including Merck’s tulisokibart, Roche/Roivant’s afimkibart, and Sanofi/Teva’s duvakitug TL1A antibodies; additional IL-23/IL-23Rs including icotrokinra (Johnson &amp; Johnson) and picankibart (Innovent); oral anti-integrin agents including Lilly’s MORF-057, and Gilead’s GS-1427; PDE4 inhibitor PALI-2108 (Palisade Bio); multispecifics including PF-07261271 targeting TL1A and IL-12/23 (Pfizer and Roche), SOR102 targeting TNF and IL-23 (Sorriso), HXN-1002 targeting α4β7 and TL1A (Sanofi/Earendil), HXN-1003 targeting TL1A and IL-23 (Sanofi/Earendil), SIM0709 targeting TL1A and IL-23 (Simcere and Boehringer Ingelheim) and XmAb412 targeting TL1A and IL-23 (Xencor).</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If approved for the treatment of patients with moderate-to-severe RA, SPY072 would compete with TNF antibodies including Humira (AbbVie), Cimzia (UCB), Enbrel (Amgen), Remicade (Johnson &amp; Johnson), and Simponi (Johnson &amp; Johnson); T-cell activation inhibitor Orencia (Bristol Myers Squibb); IL-6R antibodies Actemra (Roche) and Kevzara (Sanofi); CD20 antibody Rituxan (Roche); IL-1R antibody Kineret (Sobi); and JAK inhibitors including Xeljanz (Pfizer), Rinvoq (AbbVie), and Olumiant (Lilly). Our products would also compete with biosimilars or generics, either currently approved or in development, to many of these products.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aware of several companies with product candidates in development for the treatment of patients with RA, including Merck’s tulisokibart and Roche/Roivant’s afimkibart TL1A antibodies; Anaptys’ rosnilimab, Johnson and Johnson’s JNJ-4703, and Gilead’s GS-0151 PD-1 agonists; RIPK1 inhibitors including Lilly’s ocadusertib; additional TNF inhibitors including Zenas’ ZB002 half-life extended antibody and Sanofi’s oral small molecule balinatunfib; BTLA agonist GS-0272 (Gilead); Treg cell therapy SBT-77-7101 (Sonoma Biotherapeutics); MC1/3 agonist resomelagon/AP1189 (Synact Pharma); bispecific fusion proteins including plamotamab/XmAb-13676 (Xencor); and IL-1α/β inhibitors including a lutikizumab and ravagalimab combination (AbbVie).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If approved for the treatment of patients with moderate-to-severe PsA, SPY072 would compete with TNF antibodies including Humira (AbbVie), Cimzia (UCB), Enbrel (Amgen), Remicade (Johnson &amp; Johnson), and Simponi (Johnson &amp; Johnson); T-cell activation inhibitor Orencia (Bristol Myers Squibb); IL-17 antibodies Cosentyx (Novartis), Taltz (Lilly), and Bimzelx (UCB); CD20 antibody Rituxan (Roche); IL-12/23 antibody Stelara (Johnson &amp; Johnson); IL-23 antibodies Skyrizi (AbbVie) and Tremfya (Johnson &amp; Johnson); PDE4 antibody Otezla (Amgen); and JAK inhibitors including Xeljanz (Pfizer) and Rinvoq (AbbVie). Our products would also compete with biosimilars or generics, either currently approved or in development, to many of these products.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aware of several companies with product candidates in development for the treatment of patients with PsA, including TYK2 inhibitor Sotyktu (Bristol Myers Squibb); IL-23 antibodies including icotrokinra (Johnson &amp; Johnson) and tildrakizumab (Sun Pharma); IL-17A/F nanobody sonelokimab (MoonLake); and multiple combination trials including a Tremfya (IL-23) and Simponi (TNF) combination (Johnson &amp; Johnson), a lutikizumab (IL-1α/β) and Skyrizi (IL-23) combination (AbbVie), and a Taltz (IL-17) and Zepbound (GIP/GLP-1 receptor agonist) combination (Lilly).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If approved for the treatment of patients with moderate-to-severe axSpA, SPY072 would compete with TNF antibodies including Humira (AbbVie), Cimzia (UCB), Enbrel (Amgen), Remicade (Johnson &amp; Johnson), and Simponi (Johnson &amp; Johnson); IL-17 antibodies Cosentyx (Novartis), Taltz (Lilly), and Bimzelx (UCB); and JAK inhibitors including Xeljanz (Pfizer) and Rinvoq (AbbVie). Our products would also compete with biosimilars or generics, either currently approved or in development, to many of these products.</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aware of several companies with product candidates in development for the treatment of patients with axSpA, including TL1A inhibitor tulisokibart (Merck); IL-17A inhibitor gumokimab (Akesobio) and IL-17A/F nanobody sonelokimab (MoonLake); and PDE4 inhibtior mufemilast (Hemay).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100"/>
        <w:jc w:val="both"/>
        <w:rPr>
          <w:rFonts w:ascii="Arial;sans-serif" w:hAnsi="Arial;sans-serif"/>
          <w:b/>
          <w:color w:val="000000"/>
          <w:sz w:val="20"/>
        </w:rPr>
      </w:pPr>
      <w:r>
        <w:rPr>
          <w:rFonts w:ascii="Arial;sans-serif" w:hAnsi="Arial;sans-serif"/>
          <w:b/>
          <w:color w:val="000000"/>
          <w:sz w:val="20"/>
        </w:rPr>
        <w:t>Government Regulation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requirements of the governing regulatory agencies of the countries in which we wish to conduct studies or seek approval or licensure of our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our company and our products or product candidates.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United States Biologics Regulation</w:t>
      </w:r>
    </w:p>
    <w:p>
      <w:pPr>
        <w:pStyle w:val="TextBody"/>
        <w:bidi w:val="0"/>
        <w:spacing w:lineRule="auto" w:line="288" w:before="240" w:after="283"/>
        <w:ind w:left="0" w:right="0" w:firstLine="490"/>
        <w:jc w:val="both"/>
        <w:rPr>
          <w:rFonts w:ascii="Arial;sans-serif" w:hAnsi="Arial;sans-serif"/>
          <w:b w:val="false"/>
          <w:color w:val="000000"/>
          <w:sz w:val="20"/>
        </w:rPr>
      </w:pPr>
      <w:r>
        <w:rPr>
          <w:rFonts w:ascii="Arial;sans-serif" w:hAnsi="Arial;sans-serif"/>
          <w:b w:val="false"/>
          <w:color w:val="000000"/>
          <w:sz w:val="20"/>
        </w:rPr>
        <w:t>In the United States, biological products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pStyle w:val="TextBody"/>
        <w:bidi w:val="0"/>
        <w:spacing w:before="0" w:after="0"/>
        <w:ind w:left="0" w:right="0" w:firstLine="490"/>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completion of preclinical laboratory tests and animal studies performed in accordance with the FDA’s current Good Laboratory Practices ("GLPs") regulation;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submission to the FDA of an IND, which must become effective before clinical trials may begin and must be updated annually or when significant changes are made;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approval by an independent institutional review board (“IRB”), or ethics committee at each clinical site before the trial is commenced;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manufacture of the proposed biologic candidate in accordance with current Good Manufacturing Practices (“cGMPs”);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performance of adequate and well-controlled human clinical trials in accordance with current Good Clinical Practice (“GCP”) requirements to establish the safety, purity and potency of the proposed biologic product candidate for its intended purpose;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preparation of and submission to the FDA of a Biologics License Application ("BLA"), after completion of all pivotal clinical trials;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satisfactory completion of an FDA Advisory Committee review, if applicable;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determination by the FDA within 60 days of its receipt of a BLA to file the application for review;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satisfactory completion of an FDA pre-approval inspection of the manufacturing facility or facilities at which the proposed product is produced to assess compliance with cGMPs, and to assure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facilities, methods and controls are adequate to preserve the biological product’s continued safety, purity and potency, and of selected clinical investigation sites to assess compliance with GCP;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FDA review and approval of a BLA to permit commercial marketing of the product for particular indications for use in the United States.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Preclinical and Clinical Development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Once a therapeutic product candidate is identified for development, it must undergo preclinical studies before commencing any testing in humans. Preclinical studies include laboratory evaluations of product chemistry, formulation and stability, as well as studies to evaluate the candidate's potential for efficacy and toxicity in animals. The conduct of preclinical tests and formulation of the compounds for testing must comply with federal regulations and requirements, including current GLPs.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Prior to beginning any clinical trial with a product candidate in the United States, we must submit an IND application to the FDA. An IND application is a request for authorization from the FDA to administer an investigational new drug product to humans. The central focus of an IND application is on the general investigational plan, supportive nonclinical evaluations, and the protocol or protocols for clinical trials. The IND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Clinical trials involve the administration of the investigational product to human subjects under the supervision of qualified investigators in accordance with current GCPs,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trial until completed.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clinical trials and clinical trial results to public registries.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Human clinical trials are typically conducted in three sequential phases that may overlap.</w:t>
      </w:r>
    </w:p>
    <w:p>
      <w:pPr>
        <w:pStyle w:val="TextBody"/>
        <w:bidi w:val="0"/>
        <w:spacing w:before="0" w:after="0"/>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methods must be developed for testing the safety, purity and potency of the biologic. Additionally, appropriate packaging must be selected and tested, and stability studies must be conducted to demonstrate that the product candidate does not undergo unacceptable deterioration over its claimed shelf life.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 sponsor may choose, but is not required, to conduct a foreign clinical trial under an IND. When a foreign clinical trial is conducted under an IND, all IND requirements must be met unless waived. When the foreign clinical trial is not conducted under an IND, the sponsor must ensure that the trial complies with certain FDA regulatory requirements in order to use the trial in support of a BLA, including that the trial was conducted in accordance with GCP, review and approval by an independent ethics committee, use of proper procedures for obtaining informed consent from subjects, and the FDA is able to validate the data from the trial through an onsite inspection if the FDA deems such inspection necessary. The GCP requirements encompass both ethical and data integrity standards for clinical studies.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BLA Submission and Review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unless a different timeline has been previously agreed upon by the FDA, through approval of a pediatric study plan, described below.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FDA accepts the application for filing,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and data integrity of the submitted clinical trial data.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requirements for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and/or surveillance in addition to that required of every approved product to further assess and monitor the product’s safety and effectiveness after commercialization, and may limit further marketing of the product based on the results of these post-marketing studies.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Expedited Development and Review Programs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data demonstrate the potential to address unmet medical needs for the disease or condition. Fast track designation applies to the combination of the product and the specific indication for which it is being studied.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products studied for their safety and effectiveness in treating serious or life-threatening diseases or conditions may receive accelerated approval upon a determination that the product has an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2"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measure. Under the Food and Drug Omnibus Reform Act of 2022 the FDA may require, as appropriate, that such studies be underway prior to approval or within a specific time period after the date of approval for a product granted accelerated approval.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there is evidence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acceptance date (as compared to ten months under standard review).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Combination Therapy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Combination therapy is a treatment modality that involves the use of two or more drugs to be used in combination to treat a disease or condition. If those drugs are combined in one dosage form, such as a single injection, that is known as a fixed dose combination product, and it is reviewed pursuant to the FDA’s Combination Rule at 21 CFR 300.50. The rule provides that two or more drugs may be combined in a single dosage form when each component contributes to the claimed effects and the dosage of each component (amount, frequency, duration) is such that the combination is safe and effective for a significant patient population requiring such concurrent therapy, as defined in the labeling for the drug.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However, not all combination therapy falls under the category of a fixed dose combination. For example, the FDA recognizes that two drugs in separate dosage forms and in separate packaging, that otherwise might be administered as monotherapy for an indication, also may be used in combination for the same indication. In 2013, the FDA issued guidance to assist sponsors that were developing the range of combination therapies that fall outside the category of fixed dose combinations. That guidance provides recommendations and advice on such topics as: (1) assessment at the outset whether two or more therapies are appropriate for use in combination; (2) guiding principles for nonclinical and clinical development of the combination; (3) options for regulatory pathways to seek marketing approval of the combination; and (4) post-marketing safety monitoring and reporting obligations. Given the wide range of potential combination therapy variations, the FDA indicated it intends to assess each potential combination on a case-by case basis and encouraged sponsors to engage in early and regular consultation with the relevant review division at the agency throughout the development process for its proposed combination.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3"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Regulation of Combination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Certain therapeutic products are comprised of multiple components, such as drug components, biologic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drug/biologic-device combination product is attributable to the drug or biological product, the FDA center responsible for premarket review of the drug or biological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or biologic component generally would be reviewed and approved pursuant to the drug or biologic approval processes set forth in the FDCA. In reviewing the new drug application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applicable to medical devices.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Post-Approval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review and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post-marketing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4"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restrictions on the marketing or manufacturing of a product, complete withdrawal of the product from the market or product recalls;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fines, warning letters or holds on post-approval clinical studies;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refusal of the FDA to approve pending applications or supplements to approved applications, or suspension or revocation of existing product approvals;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product seizure or detention, or refusal of the FDA to permit the import or export of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consent decrees, corporate integrity agreements, debarment or exclusion from federal healthcare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mandated modification of promotional materials and labeling and the issuance of corrective information;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issuance of safety alerts, Dear Healthcare Provider letters, press releases and other communications containing warnings or other safety information about the product; or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injunctions or the imposition of civil or criminal penalties.</w:t>
      </w:r>
    </w:p>
    <w:p>
      <w:pPr>
        <w:pStyle w:val="TextBody"/>
        <w:bidi w:val="0"/>
        <w:spacing w:lineRule="auto" w:line="288" w:before="240" w:after="283"/>
        <w:ind w:left="0" w:right="0" w:firstLine="490"/>
        <w:jc w:val="both"/>
        <w:rPr>
          <w:rFonts w:ascii="Arial;sans-serif" w:hAnsi="Arial;sans-serif"/>
          <w:b w:val="false"/>
          <w:color w:val="000000"/>
          <w:sz w:val="20"/>
        </w:rPr>
      </w:pPr>
      <w:r>
        <w:rPr>
          <w:rFonts w:ascii="Arial;sans-serif" w:hAnsi="Arial;sans-serif"/>
          <w:b w:val="false"/>
          <w:color w:val="000000"/>
          <w:sz w:val="20"/>
        </w:rPr>
        <w:t>The FDA closely regulates the marketing, labeling, advertising and promotion of biologics. A company can make only those claims relating to safety and efficacy, purity and potency that are approved by the FDA and consistent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uses of their products. Additionally, promotional materials for approved biologic products must be submitted to the FDA in conjunction with their first use.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Biosimilars and Reference Product Exclusivity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Biosimilarity, which requires that there be no clinically meaningful differences between the biological product and the reference product in terms of safety, purity, and potency, is generally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and the FDA has issued guidance documents intended to inform prospective applicants and facilitate the development of proposed biosimilars and interchangeable biosimilars, as well as to describe the FDA’s interpretation of certain statutory requirements added by the BPCIA.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5"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that applicant’s own preclinical data and data from adequate and well-controlled clinical trials to demonstrate the safety, purity and potency of its product. The BPCIA also created certain exclusivity periods for biosimilars approved as interchangeable products. Additionally, many states have passed laws concerning the ability of pharmacies to substitute biosimilar and interchangeable products for the reference product.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 reference biologic is granted twelve years of exclusivity from the time of first licensure (BLA approval)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below, the Inflation Reduction Act of 2022 (“IRA”) is a significant new law that intends to foster generic and biosimilar competition and to lower drug and biologic costs.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Patent Term Extension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Healthcare Laws and Compliance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Biopharmaceutical manufacturers, particularly manufacturers of marketed products, are subject to wide-ranging healthcare regulation and enforcement by federal, state and local government authorities in the U.S. as well as by foreign jurisdictions. Biopharmaceutical manufacturers must comply with various federal, state and local laws targeting fraud and abuse in the healthcare industry, including anti-kickback and false claims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A person or entity does not need to have actual knowledge of the statute or a specific intent to violate the statute. There are a number of statutory exceptions and regulatory safe harbors protecting some common activities from prosecution, but protection is available only if all requirements are met. Our practices, such as paying physicians for consulting services,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statute. Instead, the legality of the arrangement will be evaluated on a case-by-case basis based on a cumulative review of all of its facts and circumstances. A claim arising from a violation of the federal Anti-Kickback Statute also constitutes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6"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false or fraudulent claim for purposes of the FCA. Other federal and state anti-kickback statutes exist. For example, another healthcare anti-kickback statute prohibits certain payments related to referrals of patients to certain providers (such as clinical laboratories) and applies to services reimbursed by private health plans as well as government health care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Federal and state false claims laws, such as the federal civil False Claims Act (“FCA”), generally prohibit anyone from knowingly and willfully, among other activities, presenting, or causing to be presented for payment to third party payors (including Medicare and Medicaid) claims for drugs or services that are false or fraudulent. Pharmaceutical and other healthcare companies have been prosecuted under these laws for engaging in a variety of different types of conduct that “caused” the submission of false claims to federal healthcare programs. Such laws are not always limited to activities involving government programs or payors. For example, a federal healthcare fraud statute prohibits the knowing and willful execution, or attempt to execute, a scheme to defraud a health care benefit program, including private health plans, or obtain, through false or fraudulent pretenses, money or property owned by, or under the custody or control of, such a health care benefit program. Laws and regulations have also been enacted by the federal government and various states to regulate the sales and marketing practices of pharmaceutical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to the government and/or public of financial interactions (so-called “sunshine laws” and "sunshine reporting"). State and local laws may also require disclosure of pharmaceutical pricing information and marketing expenditures or licensure of sales representatives. Manufacturers must also submit information to the FDA on the identity and quantity of drug samples requested and distributed by a manufacturer during each year.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Biopharmaceutical manufacturers are also subject to federal pricing and price reporting laws. Such laws require manufacturers to calculate and report complex pricing metrics to government programs, where such reported prices may be used in the calculation of reimbursement and/or discounts on approved products. The laws may also require biopharmaceutical manufacturers to offer products at discounted prices to specific government programs or specific purchasers as a condition for participation in certain government health benefit programs. Federal consumer protection and unfair competition laws broadly regulate our marketplace activities and activities that potentially harm consumers.</w:t>
      </w:r>
    </w:p>
    <w:p>
      <w:pPr>
        <w:pStyle w:val="TextBody"/>
        <w:bidi w:val="0"/>
        <w:spacing w:before="0" w:after="0"/>
        <w:jc w:val="both"/>
        <w:rPr/>
      </w:pPr>
      <w:r>
        <w:rPr/>
      </w:r>
    </w:p>
    <w:p>
      <w:pPr>
        <w:pStyle w:val="TextBody"/>
        <w:bidi w:val="0"/>
        <w:spacing w:lineRule="auto" w:line="288" w:before="0" w:after="0"/>
        <w:ind w:left="0" w:right="0" w:firstLine="490"/>
        <w:jc w:val="both"/>
        <w:rPr>
          <w:rFonts w:ascii="Arial;sans-serif" w:hAnsi="Arial;sans-serif"/>
          <w:b w:val="false"/>
          <w:color w:val="000000"/>
          <w:sz w:val="20"/>
        </w:rPr>
      </w:pPr>
      <w:r>
        <w:rPr>
          <w:rFonts w:ascii="Arial;sans-serif" w:hAnsi="Arial;sans-serif"/>
          <w:b w:val="false"/>
          <w:color w:val="000000"/>
          <w:sz w:val="20"/>
        </w:rPr>
        <w:t>The distribution of biological products is subject to additional requirements and regulations, including extensive record-keeping, licensing, storage, and security requirements intended to prevent the unauthorized sale of such products.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rFonts w:ascii="Arial;sans-serif" w:hAnsi="Arial;sans-serif"/>
          <w:b w:val="false"/>
          <w:color w:val="000000"/>
          <w:sz w:val="20"/>
        </w:rPr>
      </w:pPr>
      <w:r>
        <w:rPr>
          <w:rFonts w:ascii="Arial;sans-serif" w:hAnsi="Arial;sans-serif"/>
          <w:b w:val="false"/>
          <w:color w:val="000000"/>
          <w:sz w:val="20"/>
        </w:rPr>
        <w:t xml:space="preserve">Sanctions for the violation of healthcare laws vary by law but may be significant and compliance is challenging. For example, violations of fraud and abuse laws may be punishable by criminal or civil sanctions, including fines and civil monetary penalties, and/or exclusion from federal health care programs (including Medicare and Medicaid). The scope of the federal and the various analogous state anti-kickback, false claims, and similar fraud and abuse laws vary, but is generally broad. Many of the fraud and abuse laws and regulations contain ambiguous requirements or require administrative guidance for implementation. Federal and state authorities are paying increased attention to enforcement of these laws within the pharmaceutical industry, and private individuals have been active in alleging violations of the laws and bringing suits on behalf of the government under the FCA as evidenced by numerous significant settlements. Violations of international fraud and abuse laws could result in similar penalties, including exclusion from participation in health programs outside the U.S. </w:t>
      </w:r>
    </w:p>
    <w:p>
      <w:pPr>
        <w:pStyle w:val="TextBody"/>
        <w:bidi w:val="0"/>
        <w:spacing w:before="0" w:after="0"/>
        <w:ind w:left="0" w:right="0" w:firstLine="720"/>
        <w:jc w:val="both"/>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Given the scope, complexity and lack of clarity in healthcare laws and their implementation, our activities could be subject to scrutiny and the imposition of penalties under the laws. If we were subject to allegations concerning, or were convicted of violating, these laws, our business could be harmed.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Data Privacy and Cybersecurity Requirements (U.S.)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numerous and evolving U.S. federal and state laws and regulations governing the collection, use, disclosure, transfer, and security of personal information, including health</w:t>
        <w:noBreakHyphen/>
        <w:t xml:space="preserve">related information, any of which may impose operational constraints, create compliance complexity, and increase enforcement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7"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litigation exposure. Applicable federal and state frameworks include HIPAA, as amended by the Health Information Technology for Economic and Clinical Health Act (“HITECH”), and its implementing regulations (including the Privacy, Security, Breach Notification, and Enforcement Rules), state health information privacy laws, state data breach notification laws, a growing number of state comprehensive consumer privacy laws, as well as other consumer protection laws and regulations that could apply to our operations or the operations of our partners. In addition, sector- and data-specific laws—such as those addressing marketing communications, data security, and the sale/transfer of certain bulk sensitive data—may apply to aspects of our operations or the operations of our partners. In addition to statutory regimes, we are also subject to evolving state tort and other common law restrictions that may govern privacy and data security practices, including potential duties and liability under theories such as negligence, invasion of privacy, breach of confidence, and implied contract. Courts and enforcement authorities continue to apply and test these doctrines in the data privacy and cybersecurity context, which can expand obligations and remedies and increase litigation exposure and compliance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of our activities may be subject to HIPAA, which imposes standards for the privacy of protected health information (“PHI”), the security of electronic PHI, breach notification to individuals and regulators, and enforcement. HIPAA applies directly to “covered entities” (health care providers, health plans, and health care clearinghouses), as well as their “business associates” and their covered subcontractors that perform certain services that involve using, disclosing, creating, receiving, maintaining, or transmitting individually identifiable PHI for or on behalf of such covered entities.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Requirements imposed by HIPAA on covered entities and business associates include: (i) entering into agreements that require business associates and their covered subcontracts to protect PHI provided by the covered entity against improper use or disclosure; (ii) complying with HIPAA privacy standards that limit the use and disclosure of information about a patient’s past, present, or future physical or mental health or condition, or the patient’s receipt of health care, where the information identifies, or could reasonably be used to identify, the individual; (iii) implementing administrative, physical, and technical safeguards to ensure the confidentiality, integrity, and availability of electronic PHI and to protect against reasonably anticipated threats, hazards, or impermissible uses or disclosures; and (iv) reporting of breaches of unsecured PHI to affected individuals and, where applicable, regulators. Entities found to be in violation of HIPAA may be subject to significant civil, criminal, and administrative fines and penalties, and may be required to enter into resolution agreements and corrective action plan with the U.S. Department of Health and Human Services (“HHS”) to resolve allegations of non-compliance. A covered entity or business associate can also be liable for civil money penalties for violations based on an act or omission of its agents, including downstream business associates. HITECH increased the civil and criminal penalties applicable to covered entities and business associates and authorized state attorneys general to bring civil actions in federal court to enforce HIPAA and seek damages, injunctive relief, and attorneys’ fees and costs. To the extent we submit electronic healthcare claims and payment transactions that do not comply with HIPAA’s electronic data transmission standards, payments to us may be delayed or denied.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Several states have enacted or are implementing health-data-specific statutes outside HIPAA—such as laws in Washington and Nevada—that broadly regulate the collection, use, and disclosure of “consumer health data,” including certain research, analytics, website, and marketing activities. These laws may impose consent, notice, contract, and data security obligations, create limitations on sharing with third parties and processors, and provide private rights of action or enhanced enforcement, which could affect aspects of our operations that are not subject to HIPAA. Even where HIPAA and state health information privacy laws do not apply, the FTC and state attorneys general have asserted that violations of consumer privacy or failures to implement appropriate data security measures may constitute unfair acts or practices in or affecting commerce in violation of Section 5(a) of the Federal Trade Commission Act and state consumer protection laws.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the amended CCPA and approximately 19 other comprehensive state privacy laws, together with their implementing regulations, establish individual rights regarding personal information, impose notice, purpose-limitation, data minimization, and security obligations, and require specific contracts with service providers and other third parties. Some of these laws also require honoring opt-out signals for targeted advertising or certain profiling, restrict processing of “sensitive” personal information, and mandate assessments for higher-risk processing activities. Scope and exemptions vary by state: for example, the CCPA applies to personal information of consumers, business representatives, and employees, includes additional protections for “sensitive personal information,” and generally excludes PHI subject to HIPAA; other states may exempt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8"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entities regulated by HIPAA or data processed in the context of clinical trials, or neither, which complicates compliance and increases legal risk and costs. We are also subject to state data breach notification statutes, like the New York SHIELD Act, that require notification to affected individuals and, in some cases, regulators and consumer reporting agencies following certain security incidents.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clinical research, we also handle personal information subject to privacy and/or confidentiality obligations in informed consent documents and clinical trial agreements, as well as ethical and regulatory standards governing human subjects research. Depending on the trial and role of the parties involved, our activities may be subject to oversight by institutional review boards, and we may rely on de-identification, coding, or limited data sets, along with contractual restrictions, to manage privacy and data sharing in research contexts.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also depend on a network of service providers and partners-including clinical sites, contract research organizations, laboratories, data hosting providers, and other vendors-to support our operations. As a result, we implement contractual and technical controls, diligence, and monitoring of third parties that create, receive, maintain, or transmit personal information on our behalf, and, where data is accessed from or transferred to locations outside the United States, we apply or rely on third parties to implement cross-border transfer mechanisms and safeguards as required by applicable law.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addition, the U.S. Department of Justice (“DOJ”) has promulgated rules restricting the sale, transfer, or access to certain categories of bulk sensitive personal data, including health data, genetic information, and other categories deemed to present heightened risks if aggregated and transferred in large volumes. The DOJ Bulk Data Rule is designed to prevent the misuse of bulk data by foreign adversaries and to mitigate national security risks associated with the transfer of sensitive information. We are actively evaluating the applicability of these requirements to our operations and monitoring regulatory developments in this area. Should the rule apply to any aspect of our business, we may be required to implement additional due diligence, risk assessment, notification, and recordkeeping measures, particularly with respect to cross-border data transfers and transactions involving bulk sensitive data. Noncompliance may result in civil or criminal penalties, and ongoing evaluation of our obligations under the DOJ Bulk Data Rule remains a component of our broader data governance and compliance program.</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use of artificial intelligence (“AI”) and machine learning technologies in research, analytics, and business operations is subject to a rapidly evolving legal and regulatory landscape. Federal and state authorities are increasingly focused on the responsible use of AI, including requirements for transparency, accountability, and the mitigation of algorithmic bias and discrimination. Several states have enacted or are considering laws that regulate the use of AI in processing personal information, mandate impact assessments for high-risk AI applications, and require disclosures regarding automated decision-making. We may be required to implement measures to assess and address potential biases in AI models, ensure explainability and fairness, and provide individuals with rights regarding automated processing of their data. In addition, federal agencies such as the FDA have issued guidance on the use of AI in medical device development and clinical research, which may impact our operations. As regulatory expectations continue to develop, we may need to update our policies, procedures, and technical controls to ensure compliance with applicable AI-related requirements. The requirements of these laws and regulations continue to develop, and new laws, amendments, or interpretive guidance may require us to modify our data handling practices, implement additional controls, or incur increased compliance costs. Noncompliance or perceived noncompliance could result in regulatory investigations and enforcement actions, private litigation, fines and penalties, or orders requiring changes to our business practices.</w:t>
      </w:r>
    </w:p>
    <w:p>
      <w:pPr>
        <w:pStyle w:val="TextBody"/>
        <w:bidi w:val="0"/>
        <w:spacing w:before="0" w:after="0"/>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Coverage and Reimbursement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the U.S. and markets in other countries, patients generally rely on third-party payors to reimburse all or part of the costs associated with their treatment. Adequate coverage and reimbursement from government healthcare programs, such as Medicare and Medicaid, and private payors is critical to new product acceptance. Our ability to successfully commercialize our product candidates, if and when approved, will depend in part on the extent to which coverage and adequate reimbursement for these products and related treatments will be available from government healthcare programs, private health insurers and other organizations.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9"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Within the U.S., no uniform policy for coverage and reimbursement exists in the United States, and coverage and reimbursement for drug products can differ significantly from payor to payor. One third-party payor’s decision to cover a particular drug product does not ensure that other payors will also provide coverage for the drug product. Factors payors consider in determining coverage include whether the product is: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 covered benefit under its health plan;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safe, effective and medically necessary;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cost-effective;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neither experimental nor investigational.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products are covered, third party payors may seek to control utilization of the products through various mechanisms (e.g., requiring a prescriber to obtain prior authorization from a health plan before the product will be covered by the health plan or establishing patient copays and deductibles that encourage use of other products over our products). Coverage of a product by a third-party payor does not mean that reimbursement will be adequate. Third party reimbursement may not be sufficient to enable us to maintain price levels high enough to realize an appropriate return on our investment in product development. Net prices for drugs may be reduced by mandatory discounts or rebates required by government healthcare programs or requested by private payors in exchange for coverage or by any future relaxation of laws that presently restrict imports of drugs from countries where they may be sold. Our ability to commercialize our product candidates successfully may be adversely affected by discounts or rebates that we are required to provide in order to ensure coverage of our products and compete in the marketplace.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Significant uncertainty exists as to the coverage and reimbursement status of new drug products. There may be considerable delays in obtaining reimbursement for newly-approved drugs, and coverage may be more limited than the indications for which the drug is approved by the FDA. Third-party payors may also seek, with respect to an approved product, additional clinical evidence, including comparative effectiveness evidence, that goes beyond the data required to obtain marketing approval in order to demonstrate clinical benefits and value relative to other therapies before covering new products. If so, we may be required to conduct additional pharmacoeconomic studies beyond what is required for marketing approval.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Third-party payors are increasingly challenging the prices charged for pharmaceutical or biological products and related services, examining the medical necessity and reviewing the cost effectiveness of such products and services. For products administered under the supervision of a physician, inadequate reimbursement for the product itself or the treatment or procedure in which the product is used may adversely impact physician utilization.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We cannot be sure that adequate coverage and reimbursement will be available, or remain available, for any drug that we commercialize. Coverage and reimbursement may impact the demand for, or the price of, our products and any product candidate for which we obtain marketing approval and limits on coverage and reimbursement may adversely affect our ability to successfully commercialize any product candidate for which we obtain marketing approval.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Finally, in some foreign countries, the proposed pricing for a drug must be approved before it may be lawfully marketed. The requirements governing drug pricing vary widely from country to country. For example, drug pricing in the European Union</w:t>
      </w:r>
      <w:r>
        <w:rPr>
          <w:color w:val="000000"/>
        </w:rPr>
        <w:t xml:space="preserve"> </w:t>
      </w:r>
      <w:r>
        <w:rPr>
          <w:rFonts w:ascii="Arial;sans-serif" w:hAnsi="Arial;sans-serif"/>
          <w:b w:val="false"/>
          <w:color w:val="000000"/>
          <w:sz w:val="20"/>
        </w:rPr>
        <w:t>is primarily a national competence, with each member state setting its own prices and reimbursement rules according to national budgets and health systems. The national rules and policies should comply with EU transparency laws to ensure that national pricing and reimbursement decisions for medicines are transparent, non-discriminatory, and timely, thereby facilitating the free movement of pharmaceuticals within the European Union. To obtain reimbursement and pricing approval,</w:t>
      </w:r>
      <w:r>
        <w:rPr>
          <w:color w:val="000000"/>
        </w:rPr>
        <w:t xml:space="preserve"> </w:t>
      </w:r>
      <w:r>
        <w:rPr>
          <w:rFonts w:ascii="Arial;sans-serif" w:hAnsi="Arial;sans-serif"/>
          <w:b w:val="false"/>
          <w:color w:val="000000"/>
          <w:sz w:val="20"/>
        </w:rPr>
        <w:t xml:space="preserve">countries may require the completion of clinical trials to establish relative clinical effectiveness to guide cost effectiveness assessment of a new treatment method to currently available therapies before it can be adopted for use in the respective national health systems. A member state may approve a specific price for the medicinal product or implement a system of direct or indirect controls on the profitability of the company placing the medicinal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0"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product on the market. There can be no assurance that any country with price controls or reimbursement limitations for pharmaceutical products will grant favorable reimbursement and pricing terms for any of our product candidates. Historically, products launched in the European Union do not follow price structures of the U.S. and are generally subject to lower prices.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Healthcare Reform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example, in March 2010, the U.S. Congress enacted the Patient Protection and Affordable Care Act and the Health Care and Education Reconciliation Act (the “ACA”) which substantially changed the way healthcare is delivered as well as financed by both governmental and private insurers in the United States. The ACA expanded health care coverage through the Medicaid expansion and subsidization of private health insurance, implemented the “individual mandate” for health insurance coverage (by imposing a tax penalty on individuals who did not obtain insurance), and changed the coverage and reimbursement of drug products under government healthcare programs. Since its enactment, there have been judicial and Congressional challenges to certain aspects of the ACA, and we expect there will be additional challenges and amendments to the ACA in the future.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U.S., in recent years, the pharmaceutical industry has been a particular focus of healthcare reform efforts and has been significantly affected by major legislative, administrative and executive initiatives. For example, the Inflation Reduction Act of 2022 (IRA) included a number of changes intended to address rising prescription drug prices in Medicare Parts B and D. These changes included caps on Medicare Part D out-of-pocket costs, Medicare Part B and Part D drug price inflation rebates, a new Medicare Part D manufacturer discount drug program (replacing the previous coverage gap discount program) and a drug price negotiation program for certain high-spend Medicare Part B and D drugs. The IRA has had and will likely continue to have a significant impact on the pharmaceutical industry. Beyond the IRA, changes to Medicaid effective in 2024 eliminated the Medicaid rebate cap. Additionally, changes to certain Medicare price reporting requirements for drugs beginning in 2026 will likely increase the administrative and compliance burden for manufacturers. </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Recently, drug pricing and payment has been subject to a number of reform initiatives. For example, President Trump issued an Executive Order in April 2025 with multiple directives aimed at lowering drug prices, including refining the Medicare drug price negotiation program established by the IRA; accelerating competition for high-cost prescription drugs by accelerating approval of generics and biosimilars and facilitating the process for re-classifying prescription drugs as over-the-counter drugs; and increasing drug importation. In May 2025, President Trump issued another Executive Order that directed government agencies and officials to identify most-favored nation pricing targets for prescription drugs (and looked to pharmaceutical manufacturers to make significant progress towards delivering target prices to patients); prevent foreign countries from disproportionately shifting the cost of global pharmaceutical research and development to the United States; and facilitate direct-to-consumer purchasing programs for pharmaceutical manufacturers to sell their products to patients at the most-favored-nation price. In the wake of the Executive Orders and related executive initiatives, a number of pharmaceutical manufacturers have announced direct-to-consumer offerings with discounted prices and/or reached agreement with the federal government regarding pricing for drugs, including prices for Medicaid drugs and newly launched products. A website sponsored by the federal government that is anticipated to offer pharmaceutical direct-to-consumer channels has also been announced. Federal agencies are developing new drug pricing pilot programs, such as a voluntary Medicaid initiative which would authorize the federal government to negotiate Medicaid supplemental rebates with participating manufacturers on behalf of state Medicaid programs, in exchange for standardized coverage criteria for participating manufacturer drugs, and the proposed Medicare Part B and Part D pilot models that, if finalized as proposed, would replace existing inflation-based Medicare rebates with rebates determined on the basis of international prices, for drugs and patients subject to the model. Many of these reform initiatives would require additional legal and/or administrative action to implement and may be subject to legal challenge.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Other federal healthcare reform efforts or actions may affect access to healthcare coverage or the funding of health care benefits, although the full impact of such efforts or actions cannot be predicted. For example, the Congressional Budget Office has estimated that Medicaid provisions in the 2025 budget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1"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reconciliation legislation, including restrictions in eligibility and funding for Medicaid, as well as changes to the healthcare marketplace such as the elimination of certain subsidies, will increase the number of uninsured.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the state level, individual states are increasingly implementing initiatives designed to control pharmaceutical and biological product pricing, including price or patient reimbursement constraints, discounts, restrictions on certain product access and marketing cost disclosure and transparency measures, and measures to encourage importation from other countries and bulk purchasing. For example, certain states have formed Prescription Drug Affordability Boards that assert authority to set reimbursement rates and/or drug pricing in the state. States are also increasingly expanding or changing Medicaid supplemental rebate programs to secure additional rebates from manufacturers in exchange for drug coverage and to limit coverage of certain drugs for certain Medicaid patients or to all Medicaid patients. These and other future state-level reform activities could negatively affect Medicaid coverage and reimbursement for our products.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Other recent government actions also may affect prices or payments for prescription drugs. For example, the Trump Administration’s recently announced tariff on branded or patented drugs may adversely impact our ability to realize an adequate return on the sale of drug products (if approved) that are imported from abroad or manufactured using products or materials imported from abroad. The timeline for implementation of this tariff has not yet been finalized. As another example, the Budget Control Act of 2011, as amended,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Reform efforts have been and may continue to be subject to scrutiny and legal challenge, which increases uncertainty. For example, the IRA drug price negotiation program has been challenged in litigation filed by various pharmaceutical manufacturers and industry groups.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nature and extent of future healthcare reforms cannot be predicted. There is uncertainty regarding the nature or impact of any drug pricing or broader healthcare or other reform implemented at the federal or state level and the extent to which such action may be subject to litigation or other challenges. Ongoing efforts to contain or reduced costs of healthcare and/or impose price controls may adversely affect the demand for our product candidates, if approved, and our ability to achieve or maintain profitability.</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commonly known as the ‘Pharma Package’ to help ensure, among others, fair access to safe, effective and affordable medicines across the EU. It also seeks to improve the competitiveness of the pharmaceutical industry by reducing regulatory burdens and strengthening supply chain security to prevent and manage shortages. The legislative process for the EU Pharma Package began with the European Commission’s proposal in April 2023, followed by the development of positions by the European Parliament and the Council. This culminated in Trilogue negotiations, with a political agreement reached in December 2025. The agreed text now awaits formal adoption by both the Parliament and Council, after which it will be published in the Official Journal of the EU. The new Directive and Regulation will then enter into force following a transition period of 18 to 36 months, ultimately modernizing EU pharmaceutical law to better support innovation, access, and supply. In addition, the European Commission proposed in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2"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2025 the Biotech Act which seeks to strengthen the competitiveness of the biotechnology sector and facilitate the development and timely market entry of biotechnology innovations, while ensuring high standards for the protection of human health. In international markets, reimbursement and healthcare payment systems vary significantly from country to country, and many countries have instituted price ceilings on specific products and therapies. Our future products, if any, might not be considered clinically appropriate or justified for a specific indication, or cost-effective by third-party payors as reimbursement decisions typically require robust scientific evidence of effectiveness or national health systems and demonstration of therapeutic value to advance patient care. An adequate level of reimbursement might not be available for such products and third-party payors’ reimbursement policies or national health systems might adversely affect our, or our collaborators’ ability to sell any future products profitably.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Other Government Regulation Outside of the United States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marketing approval has been granted by the regulatory authorities in that country. The current approval process varies from country to country, and the time spent in gaining approval may vary from that required for FDA approval. In certain countries, the sales price of a product must also be agreed or approved by payors or the respective national health systems before commercial launch. The pricing review period typically commences following marketing approval. Although a product may receive marketing approval from a regulatory authority, the price agreed upon during the review process may not be commercially sustainable to justify a commercial launch in those countries.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Regulation in the European Union</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European Data and Security Laws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collection and use of personal health data and other personal data in the European Union ("EU") is governed by the provisions of the European General Data Protection Regulation (EU) 2016/679 (“GDPR”), which came into force in May 2018, and related data protection laws in individual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the security and confidentiality of the personal data. EU Member States may also impose additional requirements in relation to health, genetic and biometric data through their national legislation.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mentioned above, we depend on a network of service providers and partners-including clinical sites, contract research organizations, laboratories, data hosting providers, and other vendors-to support our operations and may share personal data with these organizations. As a result, we implement contractual and technical controls, diligence, and monitoring of third parties that create, receive, maintain, or transmit personal data on our behalf, and we apply cross-border transfer mechanisms and safeguards as required by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3"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law. We also may rely on pseudonymization or anonymization, coding or limited data sets, along with contractual restrictions (including entering into data processing agreements as required under the GDPR) to manage privacy and data sharing in these contexts.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GDPR imposes specific restrictions on the transfer of personal data to countries outside of the European Economic Area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SCCs, data exporters are also required to conduct a transfer risk assessment to verify if anything in the law and/or practices of the third country may impinge on the effectiveness of the SCCs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 With regard to the transfer of data from the EU to the United Kingdom (UK), personal data may freely flow from the EEA to the UK since the EC deemed the UK to have an adequate data protection level, and these adequacy decisions were extended in December 2025, and are now valid until December 27, 2031.</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Failure to comply with the requirements of the GDPR and the related national data protection laws of the EU Member States may result in significant monetary fines for noncompliance of up to €20 million or 4% of the annual global revenues of the noncompliant company, whichever is greater, other administrative penalties and a number of criminal offenses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Furthermore, there are specific requirements relating to processing health data from clinical trials, including those related to public disclosure obligations provided in the EU Clinical Trials Regulation No. 536/2014 (“CTR”), European Medicines Agency ("EMA") data transparency initiatives and voluntary commitments by industry. Failure to comply with these obligations could lead to considerable risks of government enforcement actions and significant penalties against us, harm to our reputation, and adversely impact our business performance and operating efficiency.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following the UK’s withdrawal from the EU and the EEA, companies also have to comply with the UK’s data protection laws (including the UK GDPR (as defined in section 3(10) (as supplemented by section 205(4)) of the Data Protection Act 2018 (the “DPA 2018”)), the DPA 2018, and related data protection laws in the UK). On June 19, 2025, the UK’s Data (Use and Access) Act (“DUAA”) took effect, which introduces certain relatively minor amendments to the data protection regime in the UK, and therefore creates slight divergences between the EU and UK data protection regimes. Separate from the fines that can be imposed by the GDPR, the UK regime has the ability to fine up to the greater of £17.5 million or 4% of global turnover.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Companies are subject to specific data sharing and transfer rules under the UK regime which broadly mirror the GDPR rules. We therefore also apply or rely on third parties to implement data sharing and cross-border transfer mechanisms and safeguards, as set out above, in these contexts. On February 2, 2022, the UK Secretary of State laid before the UK Parliament the international data transfer agreement (“IDTA”) and the international data transfer addendum to the EC’s standard contractual clauses for international data transfers (Addendum) and a document setting out transitional provisions. The IDTA and Addendum came into force on March 21, 2022 and replaced the old SCCs for the purposes of the UK regime. Regarding transfers from the UK to the EEA, personal data may flow freely since the EEA is deemed to have an adequate data protection level for purposes of the UK regime.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With regard to the transfer of personal data from the UK to the United States, the UK government has adopted an adequacy decision for the United States, the UK-US Data Bridge, which came into force on October 12, 2023. The UK-US Data Bridge recognizes the United States as offering an adequate level of data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4"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where the transfer is to a U.S. company participating in the EU-US Data Privacy Framework and the UK Extension.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EU Directive 2002/58/EC (as amended by Directive 2009/136/EC) (“ePrivacy Directive”) also imposes obligations on organizations operating in the EU. The ePrivacy Directive is transposed into law in each EU member state and in the UK, so local transposition and enforcement can vary. It contains a prohibition on accessing information on an individual’s device, such as through the use of cookies and other similar technologies, without informed consent, as well as rules on direct marketing. On November 19, 2025, the EC published the Digital Omnibus Package (“Omnibus Proposals”), aimed at simplifying the EU’s digital regulatory framework. The Omnibus Proposals would streamline the rules governing cookies and tracking technologies, potentially removing the requirement to obtain explicit consent for certain categories of cookies. If adopted, these changes could ease compliance obligations around the use of cookies and tracking tools in the EU. In the UK, the ePrivacy Directive was transposed into UK law as the Privacy and Electronic Communications (EC Directive) Regulations 2023 (“PECR”) which imposes equivalent requirements on UK operations. The UK’s DUAA made certain limited amendments to PECR, most notably bringing its enforcement powers in line with the UK GDPR, so that monetary penalties under PECR can now reach the greater of £17.5 million or 4% of an organization’s total worldwide annual turnover.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EU has also recently implemented a number of cybersecurity laws, some of which are applicable to the healthcare industry. For example, the Network and Information Security Directive (Directive (EU) 2022/2555) applies to organizations operating in the EU in the healthcare sector and imposes stringent cybersecurity obligations on in-scope organizations, including in relation to supply chain management and incident reporting.</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Drug and Biologic Development Process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a set of internationally agreed ethical principles for medical research involving human participants.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EU Clinical Trials Regulation, which replaced the Clinical Trials Directive and has been in force since 2022, aims to harmonize and streamline clinical trial processes across Member States through a centralized application system, the Clinical Trials Information System (CTIS), enabling sponsors to submit a single application for approval. One national regulatory authority, designated as the reporting Member State, leads the validation and evaluation of applications in consultation with other concerned Member States. Applications may be amended and resubmitted if rejected, and approved trials may commence in all relevant Member States, although individual states retain the right to “opt out” in limited circumstances. The Regulation also simplifies safety reporting rules, introduces enhanced transparency requirements such as mandatory submission of trial results summaries to the EU Database. Since January 31, 2023, all initial clinical trial applications must be submitted through CTIS which now serves as the single entry point for clinical trial-related information and data. By January 31, 2025, all ongoing trials approved under the former Clinical Trials Directive must transition to CTIS and comply with the CTR. On July 19, 2023, the EC published guidance for this transition, clarifying that previously assessed documentation will not be reassessed, EU-endorsed templates do not require updates, and site suitability forms are only needed for new trial sites.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CTR, clinical trials must comply with national laws, regulations, and the applicable GCP and GLP standards, and the International Council for Harmonization of Technical Requirements for Pharmaceuticals for Human Use ("ICH") guidelines on Good Clinical Practice, as well as the ethical principles outlined in the Declaration of Helsinki.</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5"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Drug Marketing Authorization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EEA, after completion of all required clinical testing, pharmaceutical products may only be placed on the market after obtaining a MA. To obtain an MA of a drug under European Union regulatory systems, an applicant can submit an MAA through, amongst others, the centralized or decentralized procedure as detailed below.</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Centralized Authorization Procedure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centralized procedure provides for the grant of a single MA that is issued by the EC following the scientific assessment of the application by the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and viral diseases). For medicinal products containing a new active substance for indications that do not fall within the mandatory centralized procedure, they are eligible for centralized assessment if they constitute significant therapeutic, scientific or technical innovations or for which the grant of a MA through the centralized procedure would be in the interest of public health at EU level.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centralized procedure, the Committee for Medicinal Products for Human Use ("CHMP") at the EMA is responsible for the initial assessment of an MAA. The CHMP also oversees the scientific assessment of various post-authorization and maintenance activities, including the assessment of variations or extensions to an existing MA. The standard timeframe for the evaluation of an MAA by the EMA’s CHMP is 210 days from receipt of a valid MAA, excluding clock-stops for the applicant to provide additional written or oral information in response to the CHMP's list of questions. As a result,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may reduce the time frame to 150 days if the applicant provides sufficient justification for an accelerated assessment. The CHMP will provide a positive opinion regarding the application only if it meets the required standards for quality, safety and efficacy. This opinion is then transmitted to the EC, which has the ultimate authority for granting MA, ordinarily within 67 days after receipt of the CHMP opinion.</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Decentralized Authorization Procedure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decentralized procedure permits companies to file identical MAAs for a medicinal product not falling within the mandatory centralized procedure to the competent authorities in various EU Member States simultaneously if such medicinal product has not received marketing approval in any EU Member State. In this procedure, the reference member state is appointed to lead the scientific review for agreement with the competent authorities of the other EU Member States concerned by the procedure, the concerned member states. A member state may refuse to accept the assessment provided by the reference member state on grounds of a potential serious risk to public health that is defined as a situation where there is a significant probability that a serious hazard resulting from a human medicinal product in the context of its proposed use will affect public health.</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Risk Management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6"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All RMPs for centrally authorized products are published by the EMA, subject only to limited redactions.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MA Validity Period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Any authorization which is not followed by the actual placing of the drug on the EU market (in case of centralized procedure) or on the market of the authorizing member state within three years after authorization ceases to be valid.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UK applies a rule, consistent with directly applicable EU law, requiring that nationally approved medicinal products must be placed on the market within three years from the date the marketing authorization is granted. When the Medicines and Healthcare products Regulatory Agency (MHRA) becomes aware that the three-year period is approaching expiry, it will notify the marketing authorization holder in advance that the authorization will cease to be valid if the product is not marketed within the required timeframe. The MHRA provides notification to the marketing authorization holder in both scenarios referenced previously: first, where a product has held a marketing authorization for three years but has not been placed on the market at all; and second, where a product was previously marketed but has subsequently not been placed on the market for a consecutive period of three years. This process ensures compliance with regulatory requirements and maintains the integrity of the national medicines supply.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Following the UK's exit from the EU, the three-year “sunset clause” for centrally authorized products in the UK was effectively reset from the date of conversion (January 1, 2021). This means that any product not placed on the market in Great Britain by early 2024 risked losing its validity unless the appropriate notification was made. The Medicines and Healthcare products Regulatory Agency (MHRA) is responsible for managing this process for UK marketing authorizations (PLGB MAs), requiring marketing authorization holders to provide updates on the marketing status of their products. The Windsor Framework agreement establishes that, effective from January 1, 2025, the Medicines and Healthcare products Regulatory Agency (MHRA) will serve as the sole regulatory authority for approving medicines for the entire UK market, encompassing both Northern Ireland and Great Britain. This change replaces the previous system, where Northern Ireland followed EU rules and Great Britain was regulated independently by the MHRA. Under the new arrangements, a unified UK-wide authorization process will apply, ensuring that medicines in Northern Ireland are regulated by the MHRA in the same manner as in Great Britain. The primary focus of the Windsor Framework is to streamline regulatory procedures, eliminate the need for separate authorizations, and guarantee equal and timely access to medicines throughout the UK.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 We do not have approved products that fall within the Brexit Transition Period.</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Advanced Therapy Medicinal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the EU, medicinal products, including advanced therapy medicinal products (“ATMPs") are subject to extensive pre- and post-market regulation by regulatory authorities at both the EU and national levels. ATMPs comprise gene therapy products, somatic cell therapy products and tissue engineered products, which are genes, cells or tissues that have undergone substantial manipulation and that are administered to human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7"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beings in order to cure, diagnose or prevent diseases or regenerate, repair or replace a human tissue. Pursuant to Regulation (EC) No 1394/2007, the Committee for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Although such guidelines are not legally binding, compliance with them is often necessary to gain and maintain approval for product candidates.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addition to the mandatory RMP,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Exceptional Circumstances and Conditional Approval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Similar to accelerated approval regulations in the United States, EU pharmaceutical law provides two regulatory pathways to facilitate early patient access to medicines when comprehensive clinical data are not yet available: conditional marketing authorization (“CMA”) and marketing authorization under exceptional circumstances (“MAUEC”). Conditional marketing authorization is granted for medicines that address unmet medical needs, such as those for serious or rare diseases, where the immediate availability of the product offers significant benefit despite incomplete data. Under this pathway, the applicant is required to submit additional clinical data within a specified timeframe to confirm the benefit-risk profile of the medicine. The authorization is valid for one year and may be renewed annually until sufficient data are provided to support full authorization. Marketing authorization under exceptional circumstances applies when it is not feasible to obtain comprehensive data, typically due to the rarity of the condition, limitations in scientific knowledge, or ethical constraints that make further studies impossible or inappropriate. Instead of expecting future comprehensive data, this pathway relies on ongoing obligations such as enhanced safety monitoring and risk management plans. The authorization remains valid as long as these obligations are satisfied. The key difference between these pathways is that CMA anticipates the eventual completion of the data package, whereas MAUEC recognizes that full data cannot reasonably be obtained and instead relies on alternative measures to manage risk. Both pathways require a positive benefit-risk assessment, address unmet medical needs, and ensure that the immediate benefit to patients outweighs the risks, but they differ in their expectations for future data collection and regulatory oversight.</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Data and Marketing Exclusivity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Under EU pharmaceutical law, reference medicinal products are granted 8 years of data exclusivity, during which generic and biosimilar manufacturers cannot rely on the originator’s non-clinical and clinical data for regulatory approval. This is followed by 2 years of marketing exclusivity, preventing generics and biosimilars from entering the market for a total of 10 years. If, within the first 8 years, the reference product is approved for a new indication that provides significant clinical benefit, the exclusivity period may be extended to 11 years. These rules ensure that generics and biosimilars cannot seek approval or enter the market until the exclusivity periods have expired, balancing incentives for innovation with future market 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reference medicinal product for data and marketing exclusivity typically contains a new active substance and requires a full dossier, including pharmaceutical, non-clinical, and clinical trial data, for approval. The European Medicines Agency (EMA), based on the scientific assessment and opinion of its Committee for Medicinal Products for Human Use (CHMP), determines whether a product contains a new active substance. Data and marketing exclusivity do not prevent other companies from generating their own data through independent development to demonstrate the safety, quality, and efficacy of their own products.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Recent reforms introduced through the EU Pharma Package and the proposed Biotech Act bring significant changes, including streamlined authorization procedures, enhanced measures for access and affordability, stricter management of medicine shortages, strengthened post-market surveillance, and new requirements addressing environmental and ethical considerations. These initiatives are designed to modernize and harmonize medicines regulation, facilitate patient access to innovative therapies, and provide robust oversight of emerging technologies across the EU.</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8"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legislative process for the EU Pharma Package began with the European Commission’s proposal in April 2023, followed by the development of positions by the European Parliament and the Council. This culminated in Trilogue negotiations, with a political agreement reached in December 2025. The agreed text now awaits formal adoption by both the Parliament and Council, after which it will be published in the Official Journal of the EU. The new Directive and Regulation will then enter into force following a transition period of 18 to 36 months, ultimately modernizing EU pharmaceutical law to better support innovation, access, and supply. Under the agreed EU Pharma Package, companies launching new medicines will benefit from eight years of data protection and one year of market exclusivity, with a possible additional year for innovative products meeting specific criteria.</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Pediatric Development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the EU, an approved PIP is required to be obtained by the company prior to any application for marketing authorization of a medicinal product based on a full dossier of pharmaceutical, non-clinical, and clinical data that has not yet been approved in the EU. This requirement also applies to authorized products protected by a supplementary protection certificate (SPC) or a patent eligible for an SPC, when seeking authorization for new indications, pharmaceutical forms, or routes of administration.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PIP is a research and development program designed to ensure that adequate data are generated to determine the conditions under which a medicinal product may be authorized for use in the pediatric population. Companies developing new medicinal products must submit a PIP, along with a request for agreement, to the European Medicines Agency (EMA). The EMA’s Pediatric Committee (PDCO) evaluates the PIP and provides an opinion, upon which the EMA issues a binding decision.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Companies are required to conduct pediatric clinical trials in accordance with the agreed PIP and within the specified timelines. The resulting pediatric study data must accompany the application for authorization for it to be validated and approved by the EMA. However, a PIP may include a deferral of the initiation or completion of some or all studies, based on scientific, technical, or public health grounds—for example, if it is appropriate to conduct adult studies first or if pediatric studies will take longer to complete. A waiver from the PIP requirement may be granted if the product or product class is likely to be ineffective or is likely to be to be unsafe in the pediatric population, if the disease or condition occurs only in adults, or if the product does not offer significant therapeutic benefit over existing pediatric treatments.</w:t>
      </w:r>
    </w:p>
    <w:p>
      <w:pPr>
        <w:pStyle w:val="TextBody"/>
        <w:bidi w:val="0"/>
        <w:spacing w:before="0" w:after="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Unless a waiver or deferral has been granted, the MAA must include the results of all pediatric clinical trials and all information collected in compliance with the approved PIP. If a deferral is granted, the pediatric studies may be completed at a later date. A “PIP Compliance Check” is conducted during the validation period of an MAA to confirm that pediatric product development is being conducted in accordance with the approved PIP at that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Medicinal products granted marketing authorization based on pediatric clinical trials conducted in accordance with an approved PIP are eligible for a six-month extension of the SPC (if in effect at the time of approval), or, for orphan medicinal products, a two-year extension of orphan market exclusivity, regardless of whether the pediatric data result in approval of a pediatric indication. For applications resulting in the authorization of a new pediatric indication, a one-year extension of data and marketing exclusivity may be granted. However, the regulatory framework prohibits double awards of these exclusivity rights for the same product.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the UK, the MHRA has established a closely aligned process, frequently accepting agreed EU PIPs and decisions to streamline UK submissions. However, the MHRA maintains UK-specific requirements, such as the need for a UK PIP for new medicines. Following the Windsor Framework, MHRA is responsible for regulatory control of medicines (including pediatric medicines) for the entire UK market (England, Scotland, Wales, and Northern Ireland).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Orphan Designation and Exclusivity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criteria for designating an orphan medicinal product in the EU are similar in principle to those in the U.S. The EMA grants orphan drug designation if the medicinal product is intended for the diagnosis, prevention or treatment of a life-threatening or chronically debilitating condition affecting no more than five in 10,000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9"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an MA, as not all orphan-designated medicines reach the authorization application stage) must be submitted before an application for MA of the medicinal product is submitted. The applicant will receive a fee reduction for the MAA, as well as other fee-based regulatory procedures, if the orphan drug designation has been granted, but not if the designation is still pending at the time the MAA or application for other regulatory procedures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EMA’s Committee for Orphan Medicinal Products (“COMP”) reassesses the orphan drug designation of a product in parallel with the review for an MA; for a product to benefit from market exclusivity it must maintain its orphan drug designation at the time of MA review by the EMA and approval by the EC. Additionally, any MA granted for an orphan medicinal product must only cover the therapeutic indication(s) that are covered by the orphan drug designation. Upon the grant of an MA, orphan drug designation provides up to ten years of market exclusivity in the orphan indication.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10-year period of market exclusivity, with a limited number of exceptions, the regulatory authorities of the EU Member States and the EMA may not accept applications for MA, accept an application to extend an existing MA or grant a MA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an MA may be granted to a similar medicinal product (orphan or not) for the same or overlapping indication subject to certain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UK, following the post-Brexit transition period, a system for incentivizing the development of orphan medicines was introduced. Overall, the requirements for orphan designation largely replicate the requirements in the EU and the benefit of market exclusivity has been retained. Products with an orphan designation in the EU can be considered for an orphan MA in Great Britain, but a UK-wide orphan MA can only be considered in the absence of an active EU orphan designation. The MHRA will review applications for orphan designation at the time of a MA, and will offer incentives, such as market exclusivity and full or partial refunds for MA fees to encourage the development of medicines in rare diseases.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PRIME Designation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EMA has established the Priority Medicines ("PRIME") scheme, an initiative to facilitate development of product candidates in indications, often rare, for which few or no therapies currently exist. The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if compelling non-clinical data in a relevant model provide early evidence of promising activity or proof of principle. Additionally, first-in-human studies should demonstrate adequate exposure to achieve the desired pharmacotherapeutic effects and tolerability. Products accepted onto the PRIME scheme benefit from, among others, early and proactive regulatory dialogue with the EMA, frequent discussions on clinical trial designs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other development program elements, and potentially accelerated MAA assessment once a dossier has been submitted. Importantly, once a candidate medicine has been selected for the PRIME scheme, a dedicated contact point and rapporteur from the CHMP or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Post-Approval Regulation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Similar to the United States, both MA holders and manufacturers of medicinal products in the EU are subject to comprehensive regulatory oversight by the EMA, the EC and/or the competent regulatory authorities of the EU Member States. The regulatory oversight covers every stage of the authorization process, from initial grant of an approval to ongoing monitoring of compliance with EU cGMPs, manufacturing authorizations, pharmacovigilance rules and requirements governing advertising, promotion, sale, and distribution, recordkeeping, importing and exporting of medicinal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These regulatory requirements are designed to ensure that the safety, quality, and efficacy standards of medicinal products are consistently maintained throughout their lifecycle. 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sanctions. These include delays or refusal to authorize the conduct of clinical trials or to grant MA, product withdrawals and recalls, product seizures, withdrawal or suspension of authorizations, restrictions on regulated activities such as production, distribution, manufacturing or clinical trials, operating restrictions, financial penalties.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holder of MA for a medicinal product must also comply with EU pharmacovigilance legislation and its related regulations and guidelines, which entail many requirements for conducting pharmacovigilance, or the assessment and monitoring of the safety of medicinal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These pharmacovigilance rules require holders of MAs the obligation to develop a system capable of collecting, collating, assessing and reporting post-authorization data to monitor the ongoing risks and benefits of marketed medicinal products as well as the requirement to conduct additional clinical studies or post-authorization safety or efficacy studies to address uncertainties about the benefit-risk balance, or to measure the effectiveness of risk-management measures. Such post-authorization measures may be time-consuming and expensive and could impact our profitability. MA holders must establish and maintain a pharmacovigilance system designed to monitor the safety of authorized medicinal products and detect any change to their risk-benefit balance and appoint an individual qualified person for pharmacovigilance, who is responsible for the oversight of that system. Key obligations include expedited reporting of unexpected serious adverse reactions and submission of Periodic Safety Update Reports ("PSURs") in relation to medicinal products for which they hold MAs. The EMA reviews PSURs for medicinal products authorized through the centralized procedure. If the EMA, based on the scientific assessment conducted by its advisory committees, determines that the risk-benefit profile of a product has changed, it may issue an opinion recommending suspension, withdrawal, or variation of the existing MA. The scientific opinion must be ratified by the EC in a legally binding decision. If the MA holder fails to meet the obligations set out in the EC’s decision, the validity of the MA may be compromised. For centrally authorized products, non-compliance with pharmacovigilance requirements can result in regulatory sanctions, including financial penalties imposed by the EC.</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cGMP standards when manufacturing pharmaceutical products and active pharmaceutical ingredients, including the manufacture of active pharmaceutical ingredients outside of the EU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with the intention to import the active pharmaceutical ingredients into the EU. Amendments or replacements of at least Directive 2001/83/EC and Regulation (EC) No 726/2004 are part of the reform proposal for European pharmaceutical legislation under the EU Pharma Package, as deta.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and the terms of a marketing authorization or clinical trial authorization, before releasing the product for commercial distribution in the EU or for use in a clinical trial. Manufacturing facilities are subject to periodic inspections by the competent authorities for compliance with cGMPs.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Advertising and Promotion Regulations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Summary of Product Characteristics (SmPC) as approved by the competent regulatory authorities. 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its promotional activities with healthcare professionals.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EU regulation advertising and promotion of medicinal products is retained ed in the UK following Brexit as directly applicable EU law, by virtue of the EU (Withdrawal) Act the Human Medicines Regulations 2012 and The Human Medicines (Amendment etc.) (EU Exit) Regulations 2019.</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Anti-Corruption Legislation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UK, the pharmaceutical sector is recognized as being particularly vulnerable to corrupt practices. The UK Bribery Act 2010 impacts pharmaceutical promotion through its interaction with the self-regulatory Code of Practice of the Association of the British Pharmaceutical Industry (ABPI). The Serious Fraud Office (SFO) and Prescription Medicines Code of Practice Authority (PMCPA) work together to prevent bribes disguised as promotional activities, such as excessive hospitality offered to healthcare professionals for prescription medicines. The ABPI Code, enforced by the PMCPA, serves as the primary self-regulatory safeguard, establishing strict rules on inducements and requiring transparency to prevent violations of both anti-bribery laws and industry codes, especially in relation to prescribing decisions. Due to the Bribery Act 2010’s far-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Regulations in the UK and Other Markets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(“TCA”),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To be used or sold in the UK, a drug must have a valid MA granted through the national application process. National applications are governed by the Human Medicines Regulations (SI 2012/1916). Applications are made electronically through the Medicines and Healthcare products Regulatory Agency (“MHRA”) Submissions Portal. The MHRA operates fixed submission and assessment timetables for innovative medicines applications to facilitate consultation with its statutory advisory committee, the Commission on Human Medicines (CHM). The MHRA assessment procedure for a marketing authorization application (MAA) involves an initial evaluation, including orphan designation if applicable, and consultation with expert advisory groups as needed. By Day 90, applicants receive a consolidated request for information (RFI), which pauses the review clock until a complete response is submitted electronically. Responses are assessed by Day 150, with further RFIs issued for minor issues or a CHM letter for major objections. Each subsequent RFI requires a complete response within three months, and the clock is restarted upon submission. Applicants may make written or oral representations to the CHM if major objections remain. Final compliance checks are conducted once all issues are resolved, and the MHRA issues a grant or refusal letter specifying any conditions and the MA expiry date. The entire assessment process is designed to be completed within 210 calendar days, excluding any procedural clock-stops for additional information representations. Orphan drug designation is determined at the time of granting the MA.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addition, the MHRA 150-day accelerated review is a specialized, fast-track national MA procedure designed for innovative medicines, new active substances, and biosimilars, aiming for a decision in 150 "clock-on" days rather than the standard 210. It requires high-quality applications, typically involving one round of questions and a 60-day cool-down period for responses.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August 30, 2023, the MHRA published detailed guidance on its recently announced new International Recognition Procedure (“IRP”) for MAAs. The IRP applies from January 1, 2024 and replaces existing EU decision reliance procedure to apply for authorizations from seven international regulators (e.g. Health Canada, Swissmedic, FDA and EMA, among others). The IRP allows the MHRA to take into account the assessment and decision-making of the "Reference Regulators” to perform a targeted assessment of IRP applications but retain the authority to reject applications if the evidence provided is considered insufficiently robust. There exist two recognition timetables for new IRP MAAs: IRP Route A (60 days) and IRP Route B (110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days), both starting from validation. Eligibility is determined via an applicant-completed form six weeks before submission. Recognition A applies to applications with Reference Regulator approval within the past two years, with no clock-stop, but may revert to Recognition B if major objections arise. IRP Route B covers Reference Regulatory approvals within the past ten years (or exceptionally older) and applies if specific criteria, such as conditional approvals, manufacturing changes, or UK-specific requirements, are met. IRP Route B allows for consultation with the CHM and aligns with CHM dates for new active substances. Applications not eligible for either timetable may be submitted as full national applications if MHRA requirements are met. IRP can be used for post-authorization measures including line extensions, variations, and renewal applications.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There will be no pre-MA orphan designation. Instead, the MHRA will review applications for orphan designation in parallel to the corresponding MA application. The criteria are essentially the same as the EU rules, but have been tailored for the market, i.e., the prevalence of the condition in UK, rather than the EU, must not be more than five in 10,000. Should an orphan designation be granted, the period or market exclusivity will be set from the date of first approval of the product in Great Britain.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Additional Regulation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the foregoing, local, state and federal laws, including in the United States and Israel,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or biohazardous substances, we could be liable for damages, environmental remediation, and/or governmental fines. We believe that we are in material compliance with applicable environmental laws and occupational health and safety laws that continued compliance therewith will not have a material adverse effect on our business. We cannot predict, however, how changes in these laws may affect our future operations. We may incur significant costs to comply with such laws and regulations now or in the future.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Corporate Information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were formed as a Limited Liability Company (“LLC”) in Delaware on December 16, 2013 under the name Aeglea BioTherapeutics Holdings, LLC and were converted from a Delaware LLC to a Delaware corporation on March 10, 2015. Pursuant to an Agreement and Plan of Merger, dated June 22, 2023, by and among us, Aspen Merger Sub I, Inc., a Delaware corporation and a wholly owned subsidiary of the Company, Sequoia Merger Sub II, LLC, a Delaware limited liability company and one of our wholly owned subsidiaries, and Pre-Merger Spyre, we acquired Pre-Merger Spyre (the "Asset Acquisition") and on November 27, 2023, we completed our corporate rebranding, changing our name to Spyre Therapeutics, Inc. Through the Asset Acquisition, we received the option to license the intellectual property rights related to four research programs pursuant to the Paragon Agreement, and subsequently executed license agreements for our α4β7, TL1A, and IL-23 programs.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common stock currently trades on The Nasdaq Global Select Market under the ticker symbol "SYRE." Our principal executive offices are located at 221 Crescent Street, Building 23, Suite 105, Waltham, MA 02453 and our telephone number is (617) 651-5940. Our website is www.spyre.com. The information on, or that can be accessed through, our website is not part of this Annual Report on Form 10-K and is not incorporated by reference herein. We have included our website address in this Annual Report on Form 10-K solely as an inactive textual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100"/>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We file Annual Reports on Form 10-K, Quarterly Reports on Form 10-Q, Current Reports on Form 8-K and other information with the U.S. Securities and Exchange Commission ("SEC"). Our filings with the SEC are available free of charge on the SEC’s website at </w:t>
      </w:r>
      <w:r>
        <w:rPr>
          <w:rFonts w:ascii="Arial;sans-serif" w:hAnsi="Arial;sans-serif"/>
          <w:b w:val="false"/>
          <w:i/>
          <w:color w:val="000000"/>
          <w:sz w:val="20"/>
        </w:rPr>
        <w:t>www.sec.gov</w:t>
      </w:r>
      <w:r>
        <w:rPr>
          <w:color w:val="000000"/>
        </w:rPr>
        <w:t xml:space="preserve"> </w:t>
      </w:r>
      <w:r>
        <w:rPr>
          <w:rFonts w:ascii="Arial;sans-serif" w:hAnsi="Arial;sans-serif"/>
          <w:b w:val="false"/>
          <w:color w:val="000000"/>
          <w:sz w:val="20"/>
        </w:rPr>
        <w:t>and on our website, spyre.com, under the “Investors &amp; Media” tab as soon as reasonably practicable after we electronically file such material with, or furnish it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240" w:after="283"/>
        <w:jc w:val="both"/>
        <w:rPr/>
      </w:pPr>
      <w:r>
        <w:rPr>
          <w:rFonts w:ascii="Arial;sans-serif" w:hAnsi="Arial;sans-serif"/>
          <w:b w:val="false"/>
          <w:i/>
          <w:color w:val="000000"/>
          <w:sz w:val="20"/>
        </w:rPr>
        <w:t>The following summarizes the principal factors that make an investment in the Company speculative or risky, all of which are more fully described in the Risk Factors section below.</w:t>
      </w:r>
      <w:r>
        <w:rPr>
          <w:color w:val="000000"/>
        </w:rPr>
        <w:t xml:space="preserve"> </w:t>
      </w:r>
      <w:r>
        <w:rPr>
          <w:rFonts w:ascii="Arial;sans-serif" w:hAnsi="Arial;sans-serif"/>
          <w:b w:val="false"/>
          <w:i/>
          <w:color w:val="000000"/>
          <w:sz w:val="20"/>
        </w:rPr>
        <w:t>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Annual Report on Form 10-K and those we may make from time to time. You should consider all of the risk factors described in our public filings when evaluating our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Risk Factor Summary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Financial Condition and Capital Requirements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will not be able to continue as a going concern if we are unable to raise additional capital when needed and raising additional capital may cause dilution to our stockholders and restrict our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 have never generated any revenue from product sales and may never be profitable.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anticipate that we will continue to incur significant losses for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Discovery, Development and Commercialization</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programs are in clinical and preclinical stages of development and may fail or suffer delays or may be more costly than anticipated for various reasons, including but not limited to delays or failures in achieving alignment with regulatory authorities on interpretation of data and its sufficiency to support safety and efficacy of our product candidates, participant recruitment or other clinical trial or supply challenges.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are substantially dependent on the success of the SPY001, SPY002, SPY072 and SPY003 programs, alone or in combination, and may fail to achieve our development goals in the time frames we expect.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drug delivery device used may have its own regulatory development, supply, and other risks.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be successful in building a pipeline of product candidates with commercial value.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studies and trials may be insufficient to support regulatory approval of any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be successful in discovering, developing and commercializing our intra-portfolio investigational drug combinations to achieve superior outcomes relative to the use of other therapies.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Preliminary or “topline” data from our clinical trials may change as more data becomes available.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current or future clinical trials may reveal significant adverse events or undesirable side effects.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capitalize on more profitable or potentially successful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products may not achieve regulatory approval, market acceptance or commercial success.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programs may compete with each other and they face third-party program competition.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Regulatory authorities may not accept data from clinical trials we conduct at sites outside the United States or other jurisdiction.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Government Regulation</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may not be able to achieve our timelines or obtain timely regulatory approvals of product candidates.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not be able to meet requirements for chemistry, manufacturing and control of our programs.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product candidates may face competition sooner than anticipated based on rules and regulations that may apply or government decisions with respect to our intellectual property.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Even if we receive regulatory approval, we will be subject to extensive ongoing regulatory obligations.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negatively impacted by healthcare legislative reform measures and other changes in law.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potential revenue may be adversely affected due to unfavorable regulations, laws and/or policies.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face criminal liability or other consequences if we violate U.S. and foreign trade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accelerated review designations we may pursue may not hasten development or regulatory review.</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negatively impacted by disruptions at the FDA and other government agencies, including as a result of a government shutdown.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Intellectual Property</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 xml:space="preserve">We may fail in obtaining, maintaining and protecting our patents and other proprietary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subject to patent infringement claims or may need to file such claims.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subject to claims of wrongful hiring of employees or wrongful use of confidential information.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patents and our ability to protect our products may be impaired by changes to patent laws.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patent protection could be reduced or eliminated for non-compliance with legal requirements.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identify or interpret relevant third-party patents.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become subject to claims challenging the inventorship or ownership of our intellectual property.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Patent terms may be inadequate to protect our competitive position of our programs.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technology licensed from various third parties may be subject to retained rights or may be affected by failure to comply with obligations in license agreements or other disruptions to business relationships with licensors resulting in loss of license rights that are important to our business.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We have limited foreign intellectual property rights and may not be able to protect our intellectual property and proprietary rights throughout the world.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intellectual property landscape around engineered antibodies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Reliance on Third Parties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may fail to maintain collaborations and licensing arrangements with third parties that we rely 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Third parties we rely on for nonclinical studies and clinical trials may fail to satisfy contractual duties.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unable to use third-party manufacturing sites, our third-party manufacturers may encounter difficulties in production or we may need to switch or create third-party manufacturer redundancies.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Employee Matters, Managing Growth and Other Risks Related to Our Business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We may experience difficulties in managing the growth of our organization.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attract or retain highly qualified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operate in foreign markets is subject to regulatory burdens, risks and uncertainties.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estimates of market opportunity may be inaccurate and our business may not grow at similar rates.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employees or third parties may engage in misconduct or other improper activities.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impacted by information security incidents, cybersecurity or data breaches or other improper access to our data that could have a negative impact on our business or reputation.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expanding use of AI exposes us to operational, regulatory, legal, and ethical risks that could adversely affect our business, reputation,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use our net operating loss carryforwards and certain other tax attributes may be limited.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comply with privacy, data security, safety and other regulations despite compliance efforts.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be subject to adverse legislative or regulatory tax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may fail to realize the benefits of our business or product acquisitions or our strategic alliances.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Risks Related to Our Common Stock</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The market price of our common stock has historically been volatile and may drop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certificate of incorporation, Delaware law and certain contracts include anti-takeover provisions.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do not anticipate paying any dividends in the foreseeable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Future sales and issuances of equity/debt may dilute stockholders and/or result in a drop in our stock price.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principal stockholders own a significant percentage of our stock.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General Risk Factors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Our product liability insurance may be insufficient to cover costly and damaging liability claims.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Litigation costs and the outcome of litigation could have a material adverse effect on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 continue to incur significant costs for compliance with public company laws and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failure to maintain proper and effective internal controls may adversely affect our ability to report our financial condition and results of operations in a timely and accurate manner, decrease investor confidence in us, and reduce the value of our common stock. For example, in the fourth quarter of 2024, we identified a material weakness in our internal control over financial reporting which resulted in restatements of our previously-issued financial statements to amend certain net loss per share disclosures.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could be adversely affected by macroeconomic conditions, including geopolitical unrest.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Risks Related to Our Financial Condition and Capital Requirements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will need to raise additional capital, and if we are unable to do so when needed, we will not be able to continue as a going concern.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we had $756.5 million of cash, cash equivalents, and marketable securities. We will need to raise additional capital to continue to fund our operations in the future. If we are unable to raise additional capital when needed, we will not be able to continue as a going concern.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Developing our product candidates requires a substantial amount of capital. We expect our research and development expenses to increase in connection with our ongoing activities, particularly as we advance our product candidates through clinical trials. We will need to raise additional capital to fund our operations and such funding may not be available to us on acceptable terms, or at all, and such funding may become even more difficult to obtain due to macroeconomic conditions, including rising interest rates, tariffs and trade restrictions, global conflicts, and other conditions that could result in volatility in the U.S. capital markets and the biotechnology sector in general. Competition for additional capital among biotechnology companies may be particularly intense during economic uncertainty. We may be unable to raise capital through public offerings of our common stock and may need to turn to alternative financing arrangements. Such arrangements, if we pursue them, could involve sources of funding, such as issuances of secured debt and structured revenue-based financing, and/or issuances of one or more types of securities, including common stock, preferred stock, convertible debt, warrants to acquire common stock or other securities. These securities could be issued at or below the then prevailing market price for our common stock. In addition, if we issue secured debt or debt securities, the holders of the debt would have a claim to our assets that would be superior to the rights of stockholders until the principal, accrued and unpaid interest and any premium or make-whole has been paid. Interest on any newly-issued debt securities and/or newly-incurred borrowings would increase our operating costs and reduce our net income (or increase our net loss), and these impacts may be material. If the issuance of new securities results in diminished rights to holders of our common stock, the market price of our common stock could be materially and adversely affected.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do not currently have any products approved for sale and do not generate any revenue from product sales. Accordingly, we expect to rely primarily on equity and/or debt financings to fund our continued operations. Our ability to raise additional funds will depend, in part, on the success of our nonclinical studies and clinical trials and other product development activities, regulatory events, our ability to identify and enter into licensing or other strategic arrangements, and other events or conditions that may affect our value or prospects, as well as factors related to political, financial, economic and market conditions, many of which are beyond our control. There can be no assurances that sufficient funds will be available to us when required or on acceptable terms, if at all.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are unable to raise additional capital when required or on acceptable terms, we may be required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significantly delay, scale back, or discontinue the development or commercialization of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strategic partnerships, or amend existing partnerships, for research and development programs at an earlier stage than otherwise would be desirable or that we otherwise would have sought to develop independently, or on terms that are less favorable than might otherwise be available in the future;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dispose of technology assets, or relinquish or license on unfavorable terms, our rights to technologies or any of our product candidates that we otherwise would seek to develop or commercialize ourselves;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pursue the sale of our company to a third party at a price that may result in a loss on investment for our stockholders; or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file for bankruptcy or cease operations altogether (and face any related legal proceedings).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of these events could have a material adverse effect on our business, operating results and prospects. Even if successful in raising new capital, we could be limited in the amount of capital we raise due to investor demand restrictions placed on the amount of capital we raise or other reasons.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any capital raising efforts are subject to significant risks and contingencies, as described in more detail under the risk factor titled “Raising additional capital may cause dilution to our stockholders, restrict our operations, or require us to relinquish rights.”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never generated any revenue from product sales and may never be profitable.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approved for commercialization and have never generated any revenue from product sales. Our ability to generate revenue and achieve profitability depends on our ability, alone or with strategic collaborators, to successfully complete the development of, and obtain the regulatory and marketing approvals necessary to commercialize one or more of our product candidates. We do not anticipate generating revenue from product sales for the foreseeable future. Our ability to generate future revenue from product sales depends heavily on our success in many areas, including but not limited to: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completing research and development of our product candidates;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obtaining regulatory and marketing approvals for our product candidates for which we complete clinical trials;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manufacturing product candidates and establishing and maintaining supply and manufacturing relationships with third parties that are commercially feasible, meet regulatory requirements and our supply needs in sufficient quantities to meet market demand for our product candidates, if approved;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qualify for adequate coverage and reimbursement by government and third-party payors for any product candidates for which we obtain regulatory and marketing approval;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marketing, launching, and commercializing product candidates for which we obtain regulatory and marketing approval, either directly or with a collaborator or distributor;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gaining market acceptance of our product candidates as treatment options;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addressing any competing products and technological and market developments;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implementing internal systems and infrastructure, as needed;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protecting and enforcing our intellectual property rights, including patents, trade secrets, and know-how;</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negotiating favorable terms in any collaboration, licensing, or other arrangements into which we may enter;</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obtaining coverage and adequate reimbursement from third-party payors and maintaining pricing for our product candidates that supports profitability;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attracting, hiring, and retaining qualified personnel.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Even if one or more of the product candidates that we develop is approved for commercial sale, we anticipate incurring significant costs associated with commercializing any approved product candidate. Our expenses could increase beyond expectations if we are required by regulatory authorities to perform clinical and other studies in addition to those that we are currently conducting or anticipate. Even if we are able to generate revenues from the sale of any approved products, we may not become profitable and may need to obtain additional funding to continue operations. Portions of our research programs may be in-licensed from third parties, which make the commercial sale of such in-licensed products potentially subject to additional royalty and milestone payments to such third parties. We will also have to develop or acquire manufacturing capabilities or continue to contract with contract manufacturers in order to continue development and potential commercialization of our product candidates. For instance, if the costs of manufacturing our biologic product are not commercially feasible, we will need to develop or procure our biologic product in a commercially feasible manner in order to successfully commercialize a future approved product, if any. Additionally, if we are not able to generate revenue from the sale of any approved products, we may never become profitable.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have historically incurred losses, have a limited operating history on which to assess our business, and anticipate that we will continue to incur significant losses for the foreseeable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biopharmaceutical company with a limited operating history. Since inception, we have incurred significant operating losses. For the years ended December 31, 2025, 2024 and 2023, we reported a net loss of $155.2 million, $208.0 million and $338.8 million, respectively. As of December 31, 2025, we had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accumulated deficit of $1.1 billion. We will need to raise substantial additional capital to continue to fund our operations in the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Failure to raise capital as and when needed, on favorable terms or at all, would have a negative impact on our financial condition and our ability to develop our product candidates. Changing circumstances may cause us to consume capital significantly faster or slower than we currently anticipate. If we are unable to acquire additional capital or resources, we will be required to modify our operational plans to complete future milestones and we may be required to delay, limit, reduce or eliminate development or future commercialization efforts of product candidates and/or programs. We have based these estimates on assumptions that may prove to be wrong, and we could exhaust our available financial resources sooner than we currently anticipate. We may be forced to reduce our operating expenses and raise additional funds to meet our working capital needs, principally through the additional sales of our securities or debt financings or entering into strategic collaborations.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devoted substantially all of our financial resources to identify, acquire, and develop our product candidates, including conducting nonclinical and clinical development of the legacy rare disease clinical trials conducted by us prior to the Asset Acquisition and the nonclinical and clinical development of our current pipeline, and providing general and administrative support for our operations. To date, we have funded our operations primarily from the sale and issuance of convertible preferred and common equity securities, pre-funded warrants, the collection of grant proceeds, and the licensing of our product rights for commercialization of pegzilarginase in Europe and certain countries in the Middle East.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We expect our losses to increase as our product candidates enter more advanced clinical trials. It may be several years, if ever, before we complete pivotal clinical trials or have a product candidate approved for commercialization. We expect to invest significant funds into the research and development of our current product candidates to determine the potential to advance these product candidates to regulatory approval.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because the potential markets in which our product candidates may ultimately receive regulatory approval could be very small, we may never become profitable despite obtaining such market share and acceptance of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incur significant expenses and increasing operating losses for the foreseeable future and our expenses will increase substantially if and as we: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continue the nonclinical and clinical development of our product candidates;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continue efforts to discover and develop new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continue the manufacturing of our product candidates or increase volumes manufactured by third parties;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advance our product candidates into larger, more expensive clinical trials;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initiate additional nonclinical studies or clinical trials for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regulatory and marketing approvals and reimbursement for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establish a sales, marketing, and distribution infrastructure to commercialize any products for which we may obtain marketing approval and market for ourselves;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identify, assess, acquire, and/or develop other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make milestone, royalty, or other payments under third-party license agreements;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maintain, protect, and expand our intellectual property portfolio;</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seek to attract and retain skilled personnel;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experience any delays or encounter issues with the development and potential for regulatory approval of our clinical and product candidates such as safety issues, manufacturing delays, clinical trial accrual delays, longer follow-up for ongoing or planned studies or trials, additional major studies or trials, or supportive trials necessary to support marketing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the net losses we incur may fluctuate significantly from quarter to quarter and year to year, such that a period-to-period comparison of our results of operations may not be a good indication of our future performance.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Raising additional capital may cause dilution to our stockholders, restrict our operations, or require us to relinquish rights.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Until such time, if ever, as we can generate substantial revenue from the sale of our product candidates, we expect to finance our cash needs through a combination of equity offerings, debt financings and license and development agreements. To the extent that we raise additional capital through the sale of equity securities or convertible debt securities, the ownership interest of our stockholders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capital expenditures, or declaring dividends.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 If we are unable to raise additional funds through equity or debt financings or other arrangements with third parties when needed, we may be required to delay, limit, reduce or terminate our product development or future commercialization efforts or grant rights to third parties to develop and market product candidates that we would otherwise prefer to develop and market ourselves. </w:t>
      </w:r>
    </w:p>
    <w:p>
      <w:pPr>
        <w:pStyle w:val="TextBody"/>
        <w:bidi w:val="0"/>
        <w:spacing w:lineRule="auto" w:line="288" w:before="240" w:after="283"/>
        <w:ind w:left="0" w:right="0" w:firstLine="720"/>
        <w:jc w:val="both"/>
        <w:rPr/>
      </w:pPr>
      <w:r>
        <w:rPr>
          <w:rFonts w:ascii="Arial;sans-serif" w:hAnsi="Arial;sans-serif"/>
          <w:b w:val="false"/>
          <w:color w:val="000000"/>
          <w:sz w:val="20"/>
        </w:rPr>
        <w:t>To the extent that we raise additional capital through the sale of equity, including pursuant to any sales under convertible debt or other securities convertible into equity, the ownership interest of our stockholders will be diluted, and the terms of these new securities may include liquidation or other preferences that adversely affect the rights of our stockholders. For instance, in December 2023, we sold an aggregate of 6,000,000 shares of our common stock and 150,000 shares of our Series B Preferred Stock pursuant to a private placement to certain investors for gross proceeds of approximately $180 million, in March 2024, we sold an aggregate of 121,625 shares of our Series B Preferred Stock pursuant to a private placement to certain investors for gross proceeds of approximately $180 million and in October 2025, we sold 17,094,594 shares of our common stock in an underwritten public offering for gross proceeds of approximately $316 million. Subject to certain beneficial ownership limitations set by each holder of Series B Preferred Stock, each share of Series B Preferred Stock is convertible into an aggregate of 40 shares of our common stock. Following stockholder approval of the Series B Conversion Proposal, 254,958 shares of Series B Preferred Stock automatically converted to 10,198,320 shares of common stock; 16,667 shares of Series B Preferred Stock did not automatically convert due to beneficial ownership limitations and remain outstanding as o</w:t>
      </w:r>
      <w:r>
        <w:rPr>
          <w:rFonts w:ascii="Arial;sans-serif" w:hAnsi="Arial;sans-serif"/>
          <w:b w:val="false"/>
          <w:color w:val="000000"/>
          <w:sz w:val="20"/>
          <w:shd w:fill="FFFFFF" w:val="clear"/>
        </w:rPr>
        <w:t>f December 31,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Debt financing, if available,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our product candidates or future revenue streams or grant licenses on terms that are not favorable to us. We cannot be assured that we will be able to obtain additional funding if and when necessary to fund our entire portfolio of product candidates to meet our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which could materially harm our business, financial condition, and results of operations.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Discovery, Development and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face competition from entities that have developed or may develop programs for the diseases and/or mechanisms of action targeted by our product candidates.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development and commercialization of drugs is highly competitive. Our product candidates,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nonclinical testing, clinical trial conduct,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recruiting participants for clinical trials, as well as in acquiring technologies complementary to, or necessary for, our product candidates.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competitive safety, efficacy, dosing and/or presentation profiles.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See the section titled “Business – Competition” in this Annual Report for more discussion about our competitors.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Furthermore, adverse events or disappointing results in clinical trials of third parties, including our competitors developing product candidates that target similar mechanisms of action and/or in the same indications as our product candidates, could reduce expectations regarding the potential success or perceived benefits of any of our programs, increase regulatory scrutiny of our product candidates, decrease confidence of current or potential trial participants and clinical trial collaborators in our investigational programs and/or have a negative impact on collaborations or demand for any product we may develop. These events also could result in the suspension, discontinuation, or clinical hold of or modification to our clinical trials. If public perception is influenced by claims that the use of therapies with shared or similar characteristics as ours is unsafe, ineffective or otherwise fails to meet expectations, our product candidates may not be accepted or favored by the general public, the medical community or the investment community and potential clinical trial subjects may be discouraged from enrolling in our clinical trials or may discontinue their participation in our clinical trials. Negative developments could result in reduced probability of success of clinical trials involving our product candidates, challenges enrolling clinical trial participants, greater governmental regulation, stricter labeling requirements, decreased market potential and potential regulatory delays in the testing or approvals of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because of the competitive landscape for inflammatory and immunology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product candidates are in clinical and preclinical stages of development and may fail in development or suffer delays that materially and adversely affect their commercial viability. If we or our current or future collaborators are unable to complete development of, or commercialize our product candidates, or experience significant delays in doing so, our business will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no products on the market and all of our product candidates are in clinical or preclinical stages of development. As a result, we expect it will be many years before we commercialize any product candidate, if ever. Our ability to achieve and sustain profitability depends on obtaining regulatory approvals for, and successfully commercializing, our product candidates, either alone or with third parties, and we cannot guarantee that we will ever obtain regulatory approval for any of our product candidates. We have not yet demonstrated our ability to obtain regulatory approvals, manufacture a commercial-scale product or arrange for a third party to do so on our behalf, or conduct sales and marketing activities necessary for successful product commercialization. Before obtaining regulatory approval for the commercial distribution of our product candidates, we or an existing or future collaborator must conduct extensive nonclinical tests and clinical trials to demonstrate the safety, potency and purity of our current and future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or our collaborators may experience delays in initiating or completing nonclinical studies or clinical trials. We or our collaborators also may experience numerous unforeseen events during, or as a result of, any current or future nonclinical studies and clinical trials that we conduct that could delay or prevent our ability to achieve our development timelines, receive marketing approval or commercialize our current product candidates or any future product candidates, including:</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regulators, such as the U.S. Food and Drug Administration ("FDA"), or ethics committees (“ECs”)/institutional review boards (“IRBs”) may not authorize us or our investigators to commence a clinical trial, conduct a clinical trial at a prospective trial site or as otherwise planned;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 and any CRO personnel changes could lead to operational delays or complications;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clinical trial sites may deviate from trial protocol or drop out of a clinical trial;</w:t>
      </w:r>
    </w:p>
    <w:p>
      <w:pPr>
        <w:pStyle w:val="TextBody"/>
        <w:bidi w:val="0"/>
        <w:spacing w:lineRule="auto" w:line="268" w:before="120" w:after="283"/>
        <w:ind w:left="0" w:right="0" w:hanging="360"/>
        <w:jc w:val="both"/>
        <w:rPr/>
      </w:pPr>
      <w:r>
        <w:rPr>
          <w:color w:val="000000"/>
        </w:rPr>
        <w:t>•</w:t>
      </w:r>
      <w:r>
        <w:rPr>
          <w:rFonts w:ascii="Arial;sans-serif" w:hAnsi="Arial;sans-serif"/>
          <w:b w:val="false"/>
          <w:color w:val="000000"/>
          <w:sz w:val="20"/>
        </w:rPr>
        <w:t>clinical trials of any product candidates may fail to demonstrate safety or efficacy, produce negative or inconclusive results, or may otherwise fail to improve on the existing standard of care, and we may decide, or regulators may require us, to conduct additional nonclinical studies or clinical trials, or we may decide to abandon product development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number of participants required for clinical trials of any product candidates may be larger than we anticipate and enrollment in these clinical trials may be slower than we anticipate or participants may drop out of these clinical trials or fail to return for post-treatment follow-up at a higher rate than we anticipate;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CROs or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fail to adhere to clinical trial protocols or fail to perform in accordance with the FDA’s or any other regulatory authority’s good clinical practice (“GCP”) requirements or applicable regulatory guidelines in other countries or our clinical trial protocols may require changes;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elect to, or regulators and/or ECs/IRBs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select clinical endpoints that require prolonged periods of observation or analyses of resulting data;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experience delays if we or our CMOs are required to make changes to manufacturing processes or us to make any necessary changes to such manufacturing process;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we may experience delays in identifying, recruiting and training suitable clinical investigators and their study teams;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cost of clinical trials of any of our programs may be greater than we anticipate;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quality of our product candidates or other materials necessary to conduct clinical trials of our product candidates may be inadequate to initiate or complete a given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be unable to manufacture sufficient quantities of our product candidates for use in clinical trials;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reports from clinical testing of other therapies may raise safety or efficacy concerns about our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FDA or other regulatory authorities may not agree with our interpretation of the results of clinical trials or non-clinical studies or our clinical trial designs and plans;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fail to establish an appropriate safety profile for a product candidate based on clinical or nonclinical data for such product candidates as well as data emerging from other therapies in the same class as our product candidates;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FDA or other regulatory authorities may require us to submit additional data such as long-term toxicology studies, additional clinical data or additional manufacturing data or impose other requirements before permitting us to initiate clinical trials or approving marketing/commercial sales.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Commencing clinical trials in the United States and in other countries is subject to acceptance by the FDA and other regulatory authorities of an investigational new drug ("IND") application or similar application and finalizing the trial design based on discussions with the FDA or other regulatory authority. In the event that the FDA or other regulatory authority requires us to complete additional nonclinical studies or clinical trials or we are required to satisfy other regulatory authority requests prior to commencing future planned clinical trials, the start of such planned clinical trials may be delayed or such planned clinical trials may be commenced in a modified manner. Even after we receive and incorporate guidance from these regulatory authorities, the FDA or other regulatory authorities could disagree that we have satisfied their requirements to commence any future clinical trial or change their position on the acceptability of our trial design or the clinical endpoints selected, which may require us to complete additional nonclinical studies or clinical trials, delay the enrollment of our clinical trials or impose stricter approval conditions than we currently expect. Additionally, if the results of our nonclinical studies or clinical trials are not positive or are only modestly positive or if there are safety concerns, we may be required to repeat or conduct additional clinical trials or nonclinical studies for our product candidates beyond those that we currently expect. Even if we conduct such additional nonclinical studies or clinical trials or otherwise modify our planned clinical trials, the FDA or other regulatory authorities could determine that the data from our nonclinical studies or clinical trials are insufficient to support the safety and efficacy of our product candidates. There are equivalent processes and risks applicable to clinical trial applications in other countries outside of the United States, which may require us to complete additional nonclinical studies or clinical trials, delay the enrollment of our clinical trials or otherwise modify our planned clinical trials or impose stricter approval conditions than we currently expect. Most product candidates that commence clinical trials are never approved as products, and our current or future clinical trials ultimately may fail to support the approval of our current or any future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not have the financial resources to continue development of, or to modify existing or enter into new collaborations for, a product candidate if we experience any issues that delay or prevent regulatory approval of, or our ability to commercialize, our product candidates. We or our current or future collaborators’ inability to complete development of, or commercialize our product candidates, or significant delays in doing so, could have a material and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substantially dependent on the success of our SPY001, SPY002, SPY072 and SPY003 programs, alone or in combination, and our current and planned clinical trials of such programs may not be successful.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future success is substantially dependent on our ability to timely obtain marketing approval for, and then successfully commercialize, our SPY001, SPY002, SPY072 and SPY003 programs, alone or in combination. We are investing a majority of our efforts and financial resources into the research and development of these programs. We initiated a a Phase 2 platform trial of SPY001, SPY002 and SPY003, including combinations, for IBD in the United States and certain other countries beginning with SPY001 in May 2025. We are currently enrolling subjects into Part A of the Phase 2 UC platform trial and plan to initiate enrollment into Part B, which includes combination arms, in our Phase 2 UC platform trial after Part A completes enrollment, with each arm subject to regulatory feedback and approval. We also initiated a Phase 2 basket trial of SPY072 for RD, including RA, PsA and axSpA, in the United States and Europe in September 2025 and December 2025, respectively, with initiation expected in certain other countries subject to regulatory feedback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and approval. The FDA and/or other regulatory authorities may not agree with our clinical trial designs for our SKYWAY Phase 2 basket trial or with our proposed timing for enrollment or trial design of the combination arms of our SKYLINE Phase 2 platform trial. Alignment with regulatory authorities on issues that arise before clinical trials commence, during clinical trials or after our clinical trials are completed could result in additional capital expenditures or delays in development that could have a material adverse impact on our business. The success of our programs is dependent on observing longer half-lives of our product candidates in humans and comparable or better safety and efficacy profiles than other mAbs currently marketed or in development. We believe these longer half-lives have the potential to result in more favorable dosing schedules for our product candidates, assuming they successfully complete clinical development and obtain marketing approval. To the extent we do not observe these extended half-lives with favorable safety and efficacy profiles when we dose patients with our product candidates, it would significantly and adversely affect the clinical and commercial potential of our product candidates.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programs will require additional clinical, nonclinical and manufacturing development and activities, marketing approval in multiple jurisdictions, substantial investment and significant marketing efforts before we generate any revenues from product sales. We are not permitted to market or promote these programs, or any other programs, before we receive marketing approval from the FDA and comparable foreign regulatory authorities, and we may never receive such marketing approvals.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Accordingly, we cannot assure you that we will ever be able to generate revenue through the sale of these product candidates, even if approved. If we are not successful in commercializing SPY001, SPY002, SPY072 or SPY003, alone or in combination, or are significantly delayed in doing so, our business will be materially harmed.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do not achieve our projected development goals in the time frames we announce and expect, the commercialization of our product candidates may be delayed and our expenses may increase and, as a result, our stock price may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nonclinical studies and clinical trials, such as the expected timing of enrollment and readouts for topline data from our ongoing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including positions that may be taken by or requirements of regulatory authorities. If we do not meet these milestones as publicly announced, or at all, the commercialization of our product candidates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drug delivery device that we potentially use to deliver our product candidates may have its own regulatory, development, supply and other risks.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expect to utilize drug delivery devices authorized for marketing under clearances of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approach to the discovery and development of our programs is unproven, and we may not be successful in our efforts to build a pipeline of programs with commercial value.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approach to the discovery and development of our research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substitutions, is ongoing and may not result in viable programs. We have limited clinical data on product candidates utilizing YTE and LS half-life extension technologies, especially in I&amp;I indications, demonstrating whether they are safe or effective for long-term treatment in patients. The long-term safety and efficacy of these technologies and the extended half-lives and exposure profiles of our programs compared to currently approved products are unknown.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ultimately discover that our investigational products developed with half-life extension technologies do not possess certain properties required for therapeutic effectiveness and could lead to adverse effects. We currently have only interim Phase 1 clinical data in healthy volunteers and nonclinical data regarding the increased half-life and drug clearance properties of our programs and the anticipated half-life extension and/or drug clearance properties of each of our product candidates may not be seen in participants in our clinical trials. In addition, programs using half-life extension technologies may demonstrate different chemical and pharmacological properties in participants than they do in laboratory studies. This technology and any programs resulting therefrom may not demonstrate the same chemical and pharmacological properties in humans and may interact with human biological systems in unforeseen, ineffective or harmful ways.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research programs prove to be ineffective, unsafe or commercially unviable, our programs and pipeline would have little, if any, value, which would have a material and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Preclinical and clinical development involve lengthy and expensive processes that are subject to delays and may result in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Before obtaining marketing approval from regulatory authorities for the sale of any product candidate, we must complete preclinical studies and then conduct extensive clinical trials to demonstrate the safety and efficacy of our product candidate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or foreign equivalent and initiating clinical development. There is no guarantee that we will always be able to source NHPs for our drug development activities on our preferred timelines. The cost of obtaining NHPs for our future preclinical development activities could increase significantly if short or long term shortages occur in their availability. If we are unable to source NHPs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preferred timelines, it could result in delays to our development timelines. Similarly, we may experience difficulty in conducting our clinical trials as planned if we are unable to enroll a sufficient number of participants in any such trial as a result of variables outside of our control. See the risk factor titled “If we encounter difficulties enrolling participants in our current and future clinical trials, our clinical development activities could be delayed or otherwise adversely affected.”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Furthermore, a failure of one or more clinical trials can occur at any stage of testing. The outcome of preclinical studies and early-stage clinical trials may not be predictive of the success of later stage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In addition, we expect to rely on participants to provide feedback on measures such as measures of disease activity and measures of quality of life, which are subjective and inherently difficult to evaluate. These measures can be influenced by factors outside of our control and can vary widely from day to day for a particular participant, and from participant to participant and from site to site within a clinical trial.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cannot be sure that the FDA, or comparable foreign regulatory authority, as applicable, will agree with our clinical development plans.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them.</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could also encounter delays if an ongoing or planned clinical trial is required to be materially modified or suspended or terminated by us, by the ECs/IRBs of the institutions in which such clinical trials are being conducted, by the external Data Monitoring Committee or equivalent body, if any, for such clinical trial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incur significant additional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A key element of our strategy is the development of intra-portfolio investigational drug combinations. If we are not successful in discovering, developing and commercializing investigational products that take advantage of different mechanisms of action to achieve superior outcomes relative to the use of monotherapies or other combinations, our ability to achieve our strategic objectives would likely be impaired.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key element of our strategy is to build a broad portfolio of investigational products that will allow for the development of intra-portfolio combinations. We believe that by developing or licensing these investigational products, we can control the combinations we pursue and, if and when approved, maximize the commercial potential of these combinations. However, these combinations have not been tested before and may fail to achieve superior outcomes relative to the use of single agents or other combinations, may exacerbate adverse events associated with one of the investigational products when used as monotherapy, may yield new adverse events not observed with either of the monotherapies, or may fail to demonstrate sufficient safety or efficacy in clinical trials to enable us to complete those clinical trials or obtain marketing approval for the combinations. In addition, demonstrating that our combinations are superior to our single agents is likely necessary for marketing authorization of the combinations. However, comparing active treatments may be difficult to do in a controlled manner in our clinical trials, and we may be unable to interpret the results of comparisons between our combinations and single agents in a manner that satisfies regulatory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Even if we are successful in developing combinations, competition from other investigational products in the same class which are either already approved or further along in development than ours may prevent us from realizing the commercial potential of our combinations and prevent us from achieving our strategic objectives.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Development of combination therapies may present more or different challenges than development of monotherapies.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plan to pursue development of our investigational products in combination with one or more additional products or investigational products. The development of combination therapies may be more complex than the development of monotherapies and generally requires that sponsors demonstrate the contribution of each investigational product to the claimed effect and the safety and efficacy of the combination as a whole. Regulatory authority requirements for the development of combination therapies may make the design and conduct of clinical trials more complex and/or burdensome, requiring more clinical trial participants and additional time and cost to complete than we plan or anticipate. We also may not be able to meet the FDA’s or comparable foreign regulatory authority's current or future approval standards required for combination therapies or combination products, if we decided to administer or package combinations as a single drug product. For example, under the "combination rule", the FDA may not file or approve a fixed-dose combination product unless each component of a proposed drug product is shown to make a contribution to the claimed effects and the dosage of each component (amount, frequency, duration) is safe and effective for the intended population. To satisfy these requirements, the FDA typically requires a clinical factorial trial, designed to assess the effects attributable to each drug in the combination product. This is particularly true when the ingredients are directed at the same sign or symptom of the disease or condition. The FDA has accepted a variety of approaches to satisfy the combination rule, but the FDA has stated that factorial studies may be unethical (e.g., omitting a drug known to improve survival) or impractical (there may be too many components to conduct a factorial trial, meaning the trial cannot be conducted). The FDA has also stated that it may be possible to use other types of clinical and nonclinical data and mechanistic information available to demonstrate the contributions of the individual active ingredients to the effect of the combination. In addition, combination products may require dose selection for each agent in the combination, which may require more and/or larger groups of participants than single agents. Our clinical trial and research efforts may not satisfy regulators' expectations of adequate exploration of dose ranging required for drug approval. Moreover, the applicable requirements for approval of combinations may differ from country to country.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event that one of our investigational products were to fail to demonstrate sufficient safety and efficacy data or establish its contribution to the claimed effects of combinations or if we are unable to meet the FDA’s or comparable foreign regulatory authority's current or future approval standards required for combination therapies or combination products in a timely manner, we would need to identify and research alternative monotherapy or combination treatments, run additional trials to produce supportive data or modify existing clinical trial plans. In the event we are unable to do so or are unable to do so on commercially reasonable terms or we are unable to continue development of one or more of investigational products, our business and prospects would be materially harmed.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encounter difficulties enrolling participants in our current and future clinical trials, our clinical development activities could be delayed or otherwise adversely affected.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experience difficulties in participant enrollment in our current and future clinical trials for a variety of reasons. The timely completion of clinical trials in accordance with their protocols depends, among other things, on our ability to enroll a sufficient number of participants who remain in the trial until its conclusion. The enrollment of participants will depend on many factors, including: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prevalence and severity of the disease under investigation;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participant eligibility and the inclusion and exclusion criteria defined in the protocol;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incidence and prevalence of target trial populations under clinical investigation;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proximity of participants to trial sites;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design of the trial;</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recruit clinical trial investigators with the appropriate competencies and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clinicians’ and participants’ perceptions as to the potential advantages of the drug candidate(s) being studied in relation to other available therapies, including any new drugs that may be approved for the indications we are investigating;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obtain and maintain participant consents;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monitor participants adequately during and after treatment;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risk that participants enrolled in clinical trials will drop out of the trials before completion or fail to attend scheduled trial visits;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factors we may not be able to control, including the impacts of public health crises, which may limit the availability of participants, investigators or their staff, or clinical sites.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clinical trials will compete with other clinical trials with product candidates that are in the same therapeutic areas as our product candidates, and this competition will reduce the number and types of participants available to us, because some participants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participants who are available for our clinical trials at such clinical trial sites. Additionally, the number of participants required for clinical trials of our programs may be larger than we anticipate. Even if we are able to enroll a sufficient number of participants for our current or future clinical trials, we may have difficulty maintaining participants in our clinical trials. Our inability to enroll or maintain a sufficient number of participants would result in significant delays in completing clinical trials or receipt of marketing approvals, increased development costs or our cessation of one or more clinical trials altogether.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our ability to successfully initiate, enroll, and complete a clinical trial in any foreign country is subject to numerous risks unique to conducting business in foreign countries, including, without limitation: difficulty in establishing or managing relationships with CROs and physicians; different standards for the conduct of clinical trials; different standard-of-care for patients with a particular disease; difficulty in locating qualified local consultants, physicians and partners; and potential burden of complying with a variety of foreign laws, medical standards and regulatory requirements, including the regulation of pharmaceutical and biotechnology products and treatment.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Preliminary, “topline” or interim data from our clinical trials that we announce or publish from time to time may change as more participant data become available and are subject to audit and verification procedures.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publicly disclose preliminary or topline data from our nonclinical studies and clinical trials, which are based on a preliminary analysis of then-available data. The results and related findings and conclusions are subject to change following a more comprehensive review or taking into account additional data that becomes available. In reviewing preliminary or topline data, we also make assumptions, estimations, calculations and conclusions as part of our analyses that may change once a complete data set is available.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 Any preliminary or topline data should be viewed with caution until the final data are available.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nonclinical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current and future clinical trials or those of our future collaborators may reveal significant adverse events or undesirable side effects not seen in our clinical and nonclinical studies and may result in a safety profile that could halt clinical development, inhibit regulatory approval or limit commercial potential or market acceptance of any of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Results of our nonclinical studies or clinical trials could reveal a high and unacceptable severity and prevalence of side effects, adverse events or unexpected characteristics at any point in time during the development process for our product candidates. We cannot assure you that the future results of our nonclinical studies or clinical trials will not reveal such characteristics. If significant adverse events or undesirable side effects are observed in any of our current or future nonclinical studies or clinical trials, we may have difficulty recruiting participants to such trials, participants may drop out of our trials, or we may be required to cease or materially modify our development efforts of one or more programs. We, the FDA or other applicable regulatory authorities, or an EC/IRB, may suspend or require the material modification of any clinical trials of any program at any time for various reasons, including a belief that participants in such trials are being exposed to unacceptable health risks or adverse side effects. Some potential products developed in the biotechnology industry that initially showed therapeutic promise in early-stage studies and trials have later been found to cause side effects that prevented their further development. Other potential products have shown side effects in nonclinical studies, which side effects do not present themselves in clinical trials in humans. Even if the side effects do not preclude the product candidate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Treatment-emergent adverse events could also affect participant recruitment or the ability of enrolled participants to complete our clinical trials or could result in potential product liability claims.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 In addition, safety findings associated with competing products or product candidates that target similar pathways could result in the FDA or comparable foreign regulatory authorities imposing restrictions on our clinical trials or product labeling or denying approval of our products. Any of these occurrences could harm our business, financial condition, results of operations and prospects significantly.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product candidates have mechanisms of action in common with other approved drugs that have been associated with certain adverse reactions in patients. For example, nasopharyngitis, headache, arthralgia, nausea, pyrexia, upper respiratory tract infection, fatigue, cough, bronchitis, influenza, back pain, rash, pruritus, sinusitis, oropharyngeal pain, and pain in extremities are the most common adverse reactions noted with ENTYVIO®, which is in the same drug class as SPY001 and is approved for the treatment of moderately to severely active UC in adults and of moderately to severely active CD in adults. In addition, mAbs targeting TL1A such as our product candidates SPY002 and SPY072 in clinical trials are associated with patient adverse reactions that most commonly include headache, nausea, nasopharyngitis, urinary tract infection, SARS-CoV-2 infection, fever, fatigue, arthralgia, and back pain. Finally, for SKYRIZI®, which is in the same drug class as SPY003 and is approved for the treatment of moderately to severely active UC in adults and of moderately to severely active CD in adults, the most common adverse reactions are upper respiratory infections, headache, arthralgia, injection site reactions, abdominal pain, anemia, pyrexia, back pain, arthropathy, and urinary tract infection in patients with CD and arthralgia, pyrexia, injection site reactions, and rash in patients with UC. Participants in our clinical trials for SPY001, SPY002, SPY072 and SPY003, or combinations thereof, may experience similar or additional adverse reactions such as infections (including rare infections such as tuberculosis or JC virus reactivation, which could lead to multifocal leukoencephalopathy), infusion-related reactions, other hypersensitivity reactions (including injection site reactions and delayed hypersensitivity reactions), and hepatotoxicity, as has been observed with other biologics, including those with similar mechanisms of action.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even if we successfully advance our product candidates or any future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after approval. Further, any clinical trials may not be sufficient to determine the effect and safety consequences of using any of our products over a multi-year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any of the foregoing events occur or if one or more of our research programs prove to be unsafe, our entire pipeline could be affected, which would have a material adverse effect on our business, financial condition,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expend our limited resources to pursue a particular program and fail to capitalize on programs that may be more profitable or for which there is a greater likelihood of success.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Because we have limited financial and managerial resources, we focus our research and development efforts on certain selected programs. For example, we are initially focused on our SPY001, SPY002 and SPY003 programs, including combinations thereof, and our SPY072 program.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IBD and the treatment of RD. However, our programs incorporate advanced antibody engineering to optimize the half-life and formulation of antibodies; to date, no such antibody has been approved by the FDA for the treatment of IBD, RA, PsA or axSpA.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each of which may adversely affect our ability to gain market acceptance. Market acceptance of our product candidates will depend on many factors, including factors that are not within our control.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product candidate is approved but does not achieve an adequate level of acceptance by such parties, we may not generate or derive sufficient revenue from that product candidate and may not become or remain profitable.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Some of our programs may compete with our other programs, which could negatively impact our business and reduce our future revenue.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multiple product candidates, alone and in combination, in development for the same indication, IBD, and are developing one product candidate (SPY072) for RD. We may in the future develop our programs for other I&amp;I indications. Each such program targets a single or multiple mechanisms of action that could provide differentiation from standard of care or each other.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conducting and may conduct future clinical trials for our programs at sites in the United States and various other jurisdictions, and the FDA and comparable foreign regulatory authorities may not accept data from such trials.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conducting and may conduct future clinical trials in the United States and various other countries. The acceptance of trial data from clinical trials conducted outside the United States or other jurisdiction by the FDA or comparable foreign regulatory authority may be subject to conditions imposed by such regulatory authority or may not be accepted at all. For example, in cases where data from foreign clinical trials are intended to serve as the basis for marketing approval in the United States, the FDA will generally not approve the applicable clinical trial data on the basis of foreign data alone unless, among other conditions, (i) the clinical trial is well-designed and conducted and performed by qualified investigators in accordance with ethical principles, (ii) the trial population adequately represents the U.S. population, and (iii) the data is applicable to the U.S. population and U.S. medical practice in ways that the FDA deems clinically meaningful. Many foreign regulatory authorities have similar approval requirements. In addition, clinical trials are subject to the applicable local laws of the jurisdictions where the trials are conducted and acceptance of the data by the FDA or any comparable foreign regulatory authority may depend on its determination that the trials also complied with all applicable local laws and regulations. There can be no assurance that the FDA or any comparable foreign regulatory authority will accept data from trials conducted outside of the United States or the applicable jurisdiction. If the FDA or any comparable foreign regulatory authority does not accept such data, it would likely result in the need for additional trials, which would be costly and time-consuming and would delay or permanently halt our development of the applicable product candidates. Even if the FDA or any comparable foreign regulatory authority accepted such data, it could require us to modify our ongoing or planned clinical trials to receive clearance to initiate such trials in the applicable jurisdiction or to continue such trials once initiated.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conducting international clinical trials presents additional risks that may delay completion of our clinical trials. These risks include the failure of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as well as political and economic risks relevant to foreign countries. For additional disclosures regarding political and economic risks involved with international clinical trials, see the risk factor titled “Our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and conflicts in the Middle East, the implementation of measures that restrict international trade or other macroeconomic conditions, which could have a material and adverse effect on our results of operations and financial condition.”</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Risks Related to Government Regulation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SPY001, SPY002, SPY072 and SPY003, alone or in combination, we must demonstrate through lengthy, complex and expensive nonclinical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marketing approval. The FDA and comparable foreign regulatory authorities have substantial discretion in the approval process and may refuse to accept any application or may decide that our data are insufficient for approval and require additional nonclinical, clinical or other data. Our product candidates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product candidates; we may be unable to demonstrate that a product candidate’s clinical and other benefits outweigh its safety risks; the FDA or comparable foreign regulatory authorities may disagree with our interpretation of data from nonclinical studies or clinical trials; the data collected from clinical trials of our product candidates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product candidates;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 In addition, the FDA and comparable foreign regulatory authorities may undergo leadership changes, change their policies, issue additional regulations or revise existing regulations, or take other actions,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able to meet requirements for the chemistry, manufacturing and control of our programs.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order to receive approval of our products by the FDA and comparable foreign regulatory authorities, we must show that we and our contract manufacturing partners are able to characterize, control and manufacture our drug products and drug delivery devices safely and in accordance with regulatory requirements. This includes manufacturing the active ingredient, developing an acceptable formulation and drug delivery device, manufacturing the drug product and drug delivery device, performing tests to adequately characterize the formulated product, documenting a repeatable manufacturing process, meeting facility, process, testing validation and commercialization requirements, and demonstrating that our drug products meet standards for parenteral administration as well as stability and quality requirements.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Manufacturing biologics is highly susceptible to losses due to contamination, equipment failure, improper installation or operation of equipment, vendor or operator error, inconsistency in yields, variability in product characteristics and difficulties in scaling the production process. The impact to drug supply may be compounded by the long lead times needed to manufacture additional drug product due to plant capacity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limitations or other potential restrictions at our CMOs. In some cases, even minor deviations from normal manufacturing processes may result in reduced production yields, lot failures, product defects, product liability claims, or other supply disruptions. If issues arise at our third-party manufacturers’ facilities, such facilities may need to be closed for an extended period of time to investigate and remedy the issues, which could delay clinical trials and adversely affect our business. Problems in third-party manufacturing process or facilities could restrict our ability to ensure sufficient clinical material for our clinical trials or delay or prevent us from obtaining marketing approval.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Scaling up a biologic manufacturing process can be a difficult task and is associated with additional risks, including cost overruns, process scale-up, process reproducibility, stability issues, compliance with current good manufacturing practices (“cGMPs”), lot consistency and timely availability of sufficient quantity of raw materials. Even if we obtain regulatory approval for any of our product candidates, manufacturers may not be able to manufacture the approved product to specifications acceptable to the FDA or other comparable foreign regulatory authorities, to produce it in sufficient quantities to meet the requirements for the potential launch of the product or to meet potential future demand. If our third-party manufacturers are unable, or decide not, to adequately validate or scale-up the manufacturing process at our current manufacturers’ facilities, we will need to transfer to another manufacturer and complete the manufacturing validation process, which can be lengthy. If our manufacturers are unable to produce sufficient quantities of drug substance and/or drug product for clinical trials or for commercialization we will need to identify and negotiate with other CMOs an agreement for clinical and/or commercial supply and it is not certain we will be able to come to agreement timely or on terms acceptable to us, which would likely jeopardize our ability to provide any product candidates to trial subjects in clinical trials and products to patients, if approved.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product candidates for which we intend to seek approval as biologics may face competition sooner than anticipated.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Patient Protection and Affordable Care Act, as amended by the Healthcare and Education Reconciliation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nonclinical data and data from adequate and well-controlled clinical trials to demonstrate the safety, purity and potency of their product.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accord our product candidates reference product exclusivity relative to biosimilar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will depend on a number of marketplace and regulatory factors that are still developing.</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receive regulatory approval of our product candidates, we will be subject to extensive ongoing post marketing regulatory obligations and continued regulatory review, which may result in significant additional expense and we may be subject to penalties if we fail to comply with post marketing regulatory requirements or experience unanticipated problems with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regulatory approvals that we may receive for our product candidates will require the submission of reports to regulatory authorities and surveillance to monitor the safety and efficacy of the product, may impose significant limitations related to use restrictions for specified age groups, warnings, precautions or contraindications, and may include burdensome post-approval trial or risk management requirements. For example, the FDA may require a risk evaluation and mitigation strategy in order to approve our product candidates, which could entail requirements for a medication guide, physician training and communication plans or additional elements to ensure safe use, such as restricted distribution methods, patient registries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risk minimization tools. In addition, if the FDA or comparable foreign regulatory authorities approve our product candidates,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good pharmacovigilance practices (“GVPs”) and GCPs for any post-approval trials that we conduct following approval. In addition, manufacturers of drug products and their facilities are subject to continual review and periodic, unannounced inspections by the FDA and other regulatory authorities for compliance with cGMPs. Following approval, sponsors are also subject to continual review and periodic, unannounced inspections for compliance with GVPs.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post-approval trials, including full or partial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product candidates and generate revenue and could require us to expend significant time and resources in response and could generate negative publicity.</w:t>
      </w:r>
    </w:p>
    <w:p>
      <w:pPr>
        <w:pStyle w:val="TextBody"/>
        <w:bidi w:val="0"/>
        <w:spacing w:lineRule="auto" w:line="288" w:before="240" w:after="283"/>
        <w:jc w:val="both"/>
        <w:rPr/>
      </w:pPr>
      <w:r>
        <w:rPr>
          <w:rFonts w:ascii="Arial;sans-serif" w:hAnsi="Arial;sans-serif"/>
          <w:b/>
          <w:i/>
          <w:color w:val="000000"/>
          <w:sz w:val="20"/>
        </w:rPr>
        <w:t>We may be negatively impacted by changes in law or other policy, including healthcare reform initiatives</w:t>
      </w:r>
      <w:r>
        <w:rPr>
          <w:rFonts w:ascii="Arial;sans-serif" w:hAnsi="Arial;sans-serif"/>
          <w:b/>
          <w:color w:val="000000"/>
          <w:sz w:val="20"/>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Existing regulatory policies may change, and additional government regulations may be enacted that could prevent, limit or delay development of or regulatory approval of our product candidates and/or increase our manufacturing costs, general operating costs or other costs. We cannot predict the likelihood, nature or extent of government regulation that may arise from future legislation or administrative action, either in the United States or abroad. If we fail to adequately prepare for the impacts of or are slow or unable to adapt to changes in existing requirements or the adoption of new requirements or policies, or if we are not able to maintain regulatory compliance, our product candidates may be delayed in obtaining regulatory approval or may lose any marketing approval that we may have obtained and we may not achieve or sustain profitability. In addition, the impact of legislative, executive, and administrative actions and any future healthcare measures and agency rules implemented by the current presidential administration on us and the pharmaceutical industry as a whole is unclear. These government actions could cause delays in our business plans, increase the cost of execution of our business plans or otherwise have a material adverse effect on our business. For example, the federal government recently announced tariffs on goods imported from China and other countries, which have been followed by threatened or enacted counter-measures by certain countries. These measures could impact the cost of manufacturing our product candidates for our ongoing and planned clinical trials and may increase other costs such as import and export costs across different jurisdictions, costs of drug product and clinical trial supplies, and other costs of running our trials and executing on our business plans, which could negatively impact our financial position. We may seek alternative or additional sources for our drug substance or drug product for our clinical trials, clinical trial sites, or service providers, which could negatively impact our expected costs, timelines and business plan. Additionally, the BIOSECURE Act enacted as part of the FY 2026 National Defense Authorization Act has the potential to severely restrict our ability to purchase services or products from, or otherwise collaborate with, certain Chinese “biotechnology companies of concern” without losing the ability to contract with, or otherwise receive funding from, the U.S. government. If any of our CMOs are identified as a BCOC, we could be required to switch or move development of our product candidates from one CMO to another, and as a result we may incur additional development costs or delays in manufacturing product for clinical trials or commercialization. In the U.S., in recent years, the pharmaceutical industry has been a particular focus of healthcare reform efforts and has been significantly affected by major legislative, administrative and executive initiatives addressing drug pricing and payment, access to healthcare or funding of healthcare as well as more general actions affecting federal budgets and tariffs. See the section titled “Business – Government Regulation – Healthcare Reform” in this Annual Report for a more detailed description of healthcare reform measures that may prevent us from being able to generate revenue, attain profitability, or commercialize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Our business operations and current and future arrangements with investigators, healthcare professionals, consultants, third-party payors, patient organizations, patients and others will be subject to applicable healthcare regulatory laws, which could expose us to penalties.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In the U.S., these laws include, but are not limited to the following, some of which are likely to apply only if or when we obtain marketing approval for a product candidate: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FDCA, which among other things, strictly regulates drug marketing, prohibits manufacturers from marketing products prior to approval or for off-label use and regulates the distribution of samples;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federal Open Payments (or federal “sunshine” law),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and their immediate family members;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federal consumer protection and unfair competition laws, which broadly regulate marketplace activities and activities that potentially harm consumers;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analogous state laws and regulations, including state anti-kickback and false claims laws, consumer protection and unfair competition laws and laws governing privacy, security and breaches of health information in certain circumstances, many of which differ from each other in significant ways and often are not preempted by HIPAA, thus complicating compliance efforts; and</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state laws that require pharmaceutical companies to comply with specific compliance standards, restrict financial interactions between pharmaceutical companies and healthcare providers, report drug product pricing information, financial interactions with health care providers, or marketing expenditures and/or require the registration of pharmaceutical sales representatives.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See the section titled “Business – Government Regulation – Other Healthcare Laws and Compliance Requirements” in this Annual Report for a more detailed description of certain laws that may affect our ability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Ensuring compliance is time-consuming and costly. If and when one of our product candidates is approved, our compliance efforts will need to expand and evolve to address newly applicable laws. Given the breadth of the laws and regulations, limited guidance for certain laws and regulations and evolving government interpretations of the laws and regulations, governmental authorities may possibly conclude that our business practices are non-compliant.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 regulations that apply to us, we may be subject to penalties, including civil and criminal penalties, damages, fines, exclusion from participation in government healthcare programs, such as Medicare and Medicaid, imprisonment, and the curtailment or restructuring of our operations, any of which could adversely affect our business, financial condition, results of operations, and prospects.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Even if we are able to commercialize any product candidates, due to unfavorable pricing regulations and/or third-party coverage and reimbursement policies, we may not be able to offer such product candidates at competitive prices, which would seriously harm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Our ability to successfully commercialize any product candidates that we may develop will depend in significant part on the extent to which reimbursement for these product candidates and related treatments will be available from government health administration authorities, government health benefit programs, private health insurers, such as managed care plans, and other organizations. Government authorities and other third-party payors decide which medications they will pay for and establish reimbursement levels. Government authorities and other third-party payors have attempted to control costs by restricting coverage, controlling utilization and limiting the amount of reimbursement for particular medications. Third party payors may take action to encourage use of other products perceived to be clinically superior or more cost effective which may limit demand for our products. Our ability to commercialize our product candidates successfully may also be adversely affected by discounts or rebates that we are required to provide in order to ensure coverage of our products and compete in the marketplace. Additionally, if any of our product candidates is approved and we are found to have improperly promoted off-label uses of those product candidates, we may become subject to significant liability, which would materially adversely affect our business and financial condition. See the sections titled “Business – Government Regulation – Coverage and Reimbursement” and “Business – Government Regulation – Regulation in the European Union” in this Annual Report for a more detailed description of the government regulations and third-party payor practices that may affect our ability to commercialize our product candidates.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Governments outside the United States tend to impose strict price controls, which may adversely affect our revenue, if any.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certain EU member states were to significantly alter their regulations affecting the pricing of prescription pharmaceuticals, we could face significant new costs.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 breakthrough therapy, fast track, or other expedited designation for our product candidates may not lead to a faster development or regulatory review or approval process, and it does not increase the likelihood that those product candidates will receive marketing approval.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seek a breakthrough therapy, fast track, or other designation for appropriate product candidates. Designations such as these are within the discretion of the FDA, or other comparable foreign regulatory authorities. The receipt of a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under one of FDA’s designation programs, the FDA may later decide that the products no longer meet the conditions for qualification or decide that the time period for FDA review or approval will not be shortened. Additionally, changes in the leadership of the FDA and other actions taken by the presidential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the Fast Track Designation and progress development of our programs or obtain regulatory approval for our programs. See the section titled “Business – Government Regulation – United States Biologics Regulation – Expedited Development and Review Programs” in this Annual Report for a more detailed description of the process for seeking expedited designations such as fast track or breakthrough therapy designations.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Disruptions at the FDA and other government agencies, including as a result of the government shutdown, could negatively affect the review of our regulatory submissions, which could negatively impact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ability of the FDA to review and approve regulatory submissions can be affected by a variety of factors, including the government shutdown as well as statutory, regulatory and policy changes, inadequate government budget funding levels or a reduction in the FDA’s workforce and its ability to hire and retain key personnel, disruptions caused by government shutdowns and public health crises. There have been mass layoffs of federal employees since the start of the current presidential administration in January 2025, the full impact of which is unclear at this time. Such disruptions could significantly impact the ability of the FDA or other regulatory authorities to timely review and process our regulatory submissions, which could have a material adverse effect on our business. In addition, the presidential administration has made and is expected to continue to make significant changes in the leadership of the FDA and other U.S. federal regulatory agencies and changes to U.S. federal government policy that have led to, in some cases, legal challenges and uncertainty around the funding, functioning and policy priorities of the U.S. federal regulatory agencies, including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unable to predict the extent to which the presidential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Additionally, the U.S. Supreme Court’s June 2024 decision in </w:t>
      </w:r>
      <w:r>
        <w:rPr>
          <w:rFonts w:ascii="Arial;sans-serif" w:hAnsi="Arial;sans-serif"/>
          <w:b w:val="false"/>
          <w:i/>
          <w:color w:val="000000"/>
          <w:sz w:val="20"/>
        </w:rPr>
        <w:t xml:space="preserve">Loper Bright Enterprises v. Raimondo </w:t>
      </w:r>
      <w:r>
        <w:rPr>
          <w:rFonts w:ascii="Arial;sans-serif" w:hAnsi="Arial;sans-serif"/>
          <w:b w:val="false"/>
          <w:color w:val="000000"/>
          <w:sz w:val="20"/>
        </w:rPr>
        <w:t xml:space="preserve">overturned the longstanding Chevron doctrine, under which courts were required to give deference to regulatory agencies’ reasonable interpretations of ambiguous federal statutes.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 xml:space="preserve">decision could result in additional legal challenges to regulations and guidance issued by federal agencies, including FDA and the Center for Medicare &amp; Medicaid Services, on which we rely. Any such legal challenges, if successful, could have a material impact on our business. Additionally, the </w:t>
      </w:r>
      <w:r>
        <w:rPr>
          <w:rFonts w:ascii="Arial;sans-serif" w:hAnsi="Arial;sans-serif"/>
          <w:b w:val="false"/>
          <w:i/>
          <w:color w:val="000000"/>
          <w:sz w:val="20"/>
        </w:rPr>
        <w:t>Loper</w:t>
      </w:r>
      <w:r>
        <w:rPr>
          <w:color w:val="000000"/>
        </w:rPr>
        <w:t xml:space="preserve"> </w:t>
      </w:r>
      <w:r>
        <w:rPr>
          <w:rFonts w:ascii="Arial;sans-serif" w:hAnsi="Arial;sans-serif"/>
          <w:b w:val="false"/>
          <w:color w:val="000000"/>
          <w:sz w:val="20"/>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obtain and protect our patents and other proprietary rights is uncertain, exposing us to the possible loss of competitive advantage.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rely upon a combination of patents, trademarks, trade secret protection, confidentiality agreements, license agreements, including the License Agreements, and the Paragon Agreement to protect the intellectual property related to our programs and technologies and to prevent third parties from competing unfairly with us. Our success depends in large part on our ability to obtain and maintain patent protection for our platform technologies, programs and their uses, as well as our ability to operate without infringing on or violating the proprietary rights of others. We own and have licensed rights to pending patent applications and expect to continue to file patent applications in the United States and abroad related to our novel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or license may not afford us any meaningful competitive advantage.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 Enforcing a claim that a party illegally obtained and is using our trade secrets is challenging and the outcome is unpredictable. In addition, courts outside of the U.S. may be less willing to protect trade secrets.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be successful in obtaining or maintaining necessary rights to our programs through acquisitions and in-licenses.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normally seek to obtain the right to control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current and future licensors and their counsel that took place prior to the date upon which we assumed control over patent prosecution.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current and future licensors may rely on third-party consultants or collaborators or on funds from third parties such that our current and future licensors are not the sole and exclusive owners of the patents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in-license. If other third parties have ownership rights to our current and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Disputes may arise between us and our current and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current and future licensors and us and our partners; and the priority of invention of patented technology.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subject to patent infringement claims or may need to file claims to protect our intellectual property, which could result in substantial costs and liability and prevent us from commercializing our potential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the intellectual property landscape in the biotechnology industry is rapidly evolving and interdisciplinary, it is difficult to conclusively assess our freedom to operate and guarantee that we can operate without infringing on or violating third-party rights. If certain of our product candidates are ultimately granted regulatory approval, patent rights held by third parties, if found to be valid and enforceable, could be alleged to render one or more of our product candidates infringing. If a third party successfully brings a claim against us, we may be required to pay substantial damages, be forced to abandon any affected product candidate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lineRule="auto" w:line="288" w:before="240" w:after="283"/>
        <w:jc w:val="both"/>
        <w:rPr/>
      </w:pPr>
      <w:r>
        <w:rPr>
          <w:rFonts w:ascii="Arial;sans-serif" w:hAnsi="Arial;sans-serif"/>
          <w:b/>
          <w:i/>
          <w:color w:val="000000"/>
          <w:sz w:val="20"/>
        </w:rPr>
        <w:t>We may be subject to claims that we have wrongfully hired an employee from a competitor or that our employees, consultants or independent contractors have wrongfully used or disclosed confidential information of third parties</w:t>
      </w:r>
      <w:r>
        <w:rPr>
          <w:rFonts w:ascii="Arial;sans-serif" w:hAnsi="Arial;sans-serif"/>
          <w:b/>
          <w:color w:val="000000"/>
          <w:sz w:val="20"/>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Despite our training and compliance efforts,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Changes to patent laws in the United States and other jurisdictions could diminish the value of patents in general, thereby impairing our ability to protect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w:t>
      </w:r>
      <w:r>
        <w:rPr>
          <w:rFonts w:ascii="Arial;sans-serif" w:hAnsi="Arial;sans-serif"/>
          <w:b w:val="false"/>
          <w:i/>
          <w:color w:val="000000"/>
          <w:sz w:val="20"/>
        </w:rPr>
        <w:t>Amgen, Inc. v. Sanofi (Amgen)</w:t>
      </w:r>
      <w:r>
        <w:rPr>
          <w:color w:val="000000"/>
        </w:rPr>
        <w:t xml:space="preserve"> </w:t>
      </w:r>
      <w:r>
        <w:rPr>
          <w:rFonts w:ascii="Arial;sans-serif" w:hAnsi="Arial;sans-serif"/>
          <w:b w:val="false"/>
          <w:color w:val="000000"/>
          <w:sz w:val="20"/>
        </w:rPr>
        <w:t xml:space="preserve">recently held that Amgen’s patent claims to a class of antibodies functionally defined by their ability to bind a particular antigen were invalid for lack of enablement where the patent specification provided twenty-six exemplary antibodies, but the claimed class of antibodies covered a “vast number” of additional antibodies not disclosed in the specification. The Court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w:t>
      </w:r>
      <w:r>
        <w:rPr>
          <w:rFonts w:ascii="Arial;sans-serif" w:hAnsi="Arial;sans-serif"/>
          <w:b w:val="false"/>
          <w:i/>
          <w:color w:val="000000"/>
          <w:sz w:val="20"/>
        </w:rPr>
        <w:t>Amgen</w:t>
      </w:r>
      <w:r>
        <w:rPr>
          <w:color w:val="000000"/>
        </w:rPr>
        <w:t xml:space="preserve"> </w:t>
      </w:r>
      <w:r>
        <w:rPr>
          <w:rFonts w:ascii="Arial;sans-serif" w:hAnsi="Arial;sans-serif"/>
          <w:b w:val="false"/>
          <w:color w:val="000000"/>
          <w:sz w:val="20"/>
        </w:rPr>
        <w:t xml:space="preserve">or other recent precedential court decisions.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ways that could have a material adverse effect on our patent rights and weaken our ability to protect, defend and enforce our patent rights in the future.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Geopolitical instability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 In addition, a European Unified Patent Court (“UPC”) entered into force on June 1, 2023. The UPC is a common patent court that hears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Given that we own or license certain European patents or applications for our current pipeline,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3"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be certain that future European patents and patent applications will avoid falling under the jurisdiction of the UPC, if we decide to opt out of the UPC, or that we will have the ability to opt out of the UPC in the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priority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become subject to claims challenging the inventorship or ownership of our patents and other intellectual property.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current and future licensors may have relied on third-party consultants or collaborators or on funds from third parties, such as the U.S. government, such that our licensors are not the sole and exclusive owners of the patents we in-licensed. The U.S. government has certain rights in such inventions under the applicable funding agreements and under applicable law.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Patent terms may be inadequate to protect the competitive position of our product candidates for an adequate amount of time.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20"/>
        </w:rPr>
      </w:pPr>
      <w:r>
        <w:rPr>
          <w:rFonts w:ascii="Arial;sans-serif" w:hAnsi="Arial;sans-serif"/>
          <w:b/>
          <w:i/>
          <w:color w:val="000000"/>
          <w:sz w:val="20"/>
        </w:rPr>
        <w:t xml:space="preserve">Our technology licensed from various third parties may be subject to retained rights or may be affected by our failure to comply with obligations under license agreements or other disruptions to business relationships with licensors resulting in loss of license rights that are important to our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current or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under our license agreements, we may be generally responsible for bringing any actions against third parties for infringing on the patents we have licensed. Certain of our license agreements may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may seek regulatory approval of, and to market, products identical to ours or we may be required to cease our development and commercialization of one or more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pStyle w:val="TextBody"/>
        <w:bidi w:val="0"/>
        <w:spacing w:before="0" w:after="0"/>
        <w:ind w:left="0" w:right="0" w:firstLine="720"/>
        <w:jc w:val="both"/>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scope of rights granted under the license agreement and other interpretation-related issues;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extent to which our technology and processes infringe on intellectual property of the licensor that is not subject to the licensing agreement;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sublicensing of patent and other rights to third parties under our collaborative development relationships;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diligence obligations under the license agreement with respect to the use of the licensed technology in relation to our development and commercialization of our product candidates and what activities satisfy those diligence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priority of invention of patented technology. </w:t>
      </w:r>
    </w:p>
    <w:p>
      <w:pPr>
        <w:pStyle w:val="TextBody"/>
        <w:bidi w:val="0"/>
        <w:spacing w:before="0" w:after="0"/>
        <w:ind w:left="0" w:right="0" w:firstLine="648"/>
        <w:jc w:val="both"/>
        <w:rPr/>
      </w:pPr>
      <w:r>
        <w:rPr/>
      </w:r>
    </w:p>
    <w:p>
      <w:pPr>
        <w:pStyle w:val="TextBody"/>
        <w:bidi w:val="0"/>
        <w:spacing w:lineRule="auto" w:line="256" w:before="0" w:after="0"/>
        <w:ind w:left="0" w:right="0" w:firstLine="648"/>
        <w:jc w:val="both"/>
        <w:rPr>
          <w:rFonts w:ascii="Arial;sans-serif" w:hAnsi="Arial;sans-serif"/>
          <w:b w:val="false"/>
          <w:color w:val="000000"/>
          <w:sz w:val="20"/>
        </w:rPr>
      </w:pPr>
      <w:r>
        <w:rPr>
          <w:rFonts w:ascii="Arial;sans-serif" w:hAnsi="Arial;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It is also possible that a third party could be granted limited licenses to some of the same technology, in certain circumstances. Any such events could result in the loss of our ability to develop and commercialize one or more product candidates or we could lose other significant rights, any of which could have a material adverse effect on our business, financial conditions, results of operations, and prospects.</w:t>
      </w:r>
    </w:p>
    <w:p>
      <w:pPr>
        <w:pStyle w:val="TextBody"/>
        <w:bidi w:val="0"/>
        <w:spacing w:before="0" w:after="0"/>
        <w:ind w:left="0" w:right="0" w:firstLine="648"/>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have limited foreign intellectual property rights and may not be able to protect our intellectual property and proprietary rights throughout the world.</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have limited intellectual property rights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the federal and state laws of the United States. In addition, intellectual property license agreements we enter into may not always include worldwide rights. Consequently, we may not be able to prevent third parties from using our intellectual property in all countries outside the United States, or from selling or importing products made using our intellectual property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difficult or impractical. These products may compete with our product candidates and our patents or other intellectual property rights may not be effective or sufficient to prevent them from competing. </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Many countries have invoked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 xml:space="preserve">The intellectual property landscape around engineered antibodies is highly dynamic, and third parties may initiate legal proceedings alleging that we are infringing, misappropriating, or otherwise violating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their intellectual property rights, the outcome of which would be uncertain and may prevent, delay or otherwise interfere with our product discovery and development efforts.</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Due to the intense research and development that is taking place in the field of engineered antibodies, including by us and our competitors,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product candidates we may develop, including interference proceedings, post-grant review, inter partes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 applications that, if issued, may be construed to cover some of our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ability to commercialize our product candidates in the United States and abroad may be adversely affected if we cannot obtain a license on commercially reasonable terms to relevant third-party patents that cover our product candidates. Even if we believe third-party intellectual property claims are without merit, there can be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impacted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certain product candidates or such commercialization efforts may be significantly delayed, which could in turn significantly harm our business. We also could be forced, including by court order, to cease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 </w:t>
      </w:r>
    </w:p>
    <w:p>
      <w:pPr>
        <w:pStyle w:val="TextBody"/>
        <w:bidi w:val="0"/>
        <w:spacing w:before="0" w:after="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Reliance on Third Parties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on collaborations and licensing arrangements with third parties, including our arrangement with Paragon. If we are unable to maintain these collaborations or licensing arrangements, or if these collaborations or licensing arrangements are not successful, our business could be negatively impacted.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currently rely on our collaborations and licensing arrangements with third parties, including Paragon, for a substantial portion of our discovery capabilities and in-licenses.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us, disagrees with our interpretation of the terms of such agreement or terminates their agreement with us, our research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currently rely, and plan to rely in the future, on third parties to conduct and support our nonclinical studies and clinical trials. If these third parties do not properly and successfully carry out their contractual duties or meet expected deadlines, we may not be able to obtain regulatory approval of or commercialize our product candidates.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utilized and plan to continue to utilize and depend upon independent investigators and collaborators, such as medical institutions, CROs, contract testing labs and strategic partners, to conduct and support our nonclinical studies and clinical trials under agreements with us.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good laboratory practice ("GLP"), GCP and GVP regulations, which are regulations and guidelines enforced by the FDA and comparable foreign regulatory authorities for all of our programs in clinical development. If we or any of these third parties fail to comply with applicable GLP, GCP and GVP regulations, the nonclinical and clinical data generated in our nonclinical studies and clinical trials may be deemed unreliable and the FDA or comparable foreign regulatory authorities may require us to perform additional nonclinical and clinical trials before approving our marketing applications. We cannot assure you that upon inspection by a given regulatory authority, such regulatory authority will determine that any of our nonclinical studies and clinical trials comply with GLP, GCP and GVP regulations. In addition, our clinical trials must be conducted with products produced under cGMP regulations. Our failure to comply with these regulations may require us to repeat nonclinical studies and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Any third parties conducting our nonclinical studies and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nonclinical studies, clinical trials or other product development activities, which could negatively affect their performance on our behalf and the timing thereof and could lead to products that compete directly or indirectly with our current or future product candidates. If any of our relationships with these third parties, including CMOs and CROs, are terminated, we may not be able to enter into arrangements with alternative CMOs, CROs or other third parties or to do so on commercially reasonable terms. Switching or adding additional CMOs or CROs involves additional cost and requires company resources. In addition, there is a natural transition period when a new CMO or CRO begins work. As a result, delays may occur, which can materially impact our ability to meet our desired clinical development timelines. Though we carefully manage our relationships with our CMOs and CROs, there can be no assurance that we will not encounter similar challenges or delays in the future or that these delays or challenges will not have a material adverse impact on our business, financial condition and prospects.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these CMOs, CROs or other third parties do not successfully carry out their contractual duties or obligations or meet expected deadlines, if they need to be replaced or if the quality or accuracy of the clinical data they obtain is compromised due to the failure (including by clinical sites or investigators) to adhere to our nonclinical and clinical protocols or regulatory requirements or for other reasons, our nonclinical studies and clinical trials may be extended, delayed or terminated and we may not be able to complete development of, obtain regulatory approval of or successfully commercialize our product candidates. As a result, our results of operations and the commercial prospects for our product candidates would be harmed, our costs could increase substantially and our ability to generate revenues could be delayed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currently rely on foreign CROs and CMOs, including WuXi Biologics, and will likely continue to rely on foreign CROs and CMOs in the future. We or the foreign CROs or CMOs we work with may be subject to U.S. legislation, including the BIOSECURE Act included as part of the FY 2026 National Defense Authorization Act,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or disrupt our supply chain. For example, in April 2025, the United States government imposed significant tariffs on imports from China and other countries and may impose more restrictions on goods, including biologically derived substances, manufactured in or imported from China or impose other restrictions on companies’ ability to work with Chinese biotechnology companies. We are in the process of creating manufacturing capabilities with third parties outside of China, including within the United States, and have taken several measures to strengthen our supply chain in the event that our manufacturers are impacted; however, to the extent the aforementioned restrictions or future tariffs are applicable to the material we import from China and other countries or if we are not able to secure supply of our product candidates as a result of applicable legislation, our business and financial condition could be adversely affected despite our mitigation efforts.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the biopharmaceutical industry in China is strictly regulated by the Chinese government. Changes to Chinese regulations or government policies affecting biopharmaceutical companies are unpredictable and may have a material adverse effect on our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ongoing or planned clinical trials or have an adverse effect on our ability to secure government funding, which could adversely affect our financial condition and cause us to delay our clinical development programs.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do not currently own any facility that may be used as our clinical or commercial manufacturing and processing facility and must currently rely on CMOs to manufacture our product candidates. We have not yet caused our product candidates to be manufactured on a commercial scale and may not be able to do so for any of our programs, if approved. We currently have a sole source relationship for our supply of the SPY001, SPY002 and SPY003 programs. If there should be any disruption in such supply arrangement, including any adverse events affecting our suppliers, it could have a negative effect on the clinical development of our programs and other operations while we work to identify and qualify alternate supply sources.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other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Moreover, our CMOs may experience manufacturing difficulties due to resource constraints, supply chain issues, proposed or actual legislative changes or requirements, or as a result of labor disputes or unstable political environments, including tariffs and restrictions imposed by the United States or other foreign governments on goods required for the operation of their business. If any CMOs on which we will rely fail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and other third parties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or increased costs as a result of tariffs on imports imposed by the United States or other foreign governments.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nonclinical studies and clinical trials or the approval of any of our product candidates by the FDA, resulting in higher costs or adversely impact commercialization of our product candidates. See the section titled “Business – Manufacturing and Supply” in this Annual Report a more detailed description of our manufacturing plans and assumptions and the factors that may affect the success of our programs.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Employee Matters, Managing Growth and Other Risks Related to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 order to successfully implement our plans and strategies, we will need to grow the size of our organization and we may experience difficulties in managing this growth.</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to continue to experience significant growth in the number of our employees and the scope of our operations, particularly in the areas of clinical drug development, technical operations, clinical operations, regulatory affairs and, potentially, commercial operations. To manage our anticipated future growth, we must continue to implement and improve our managerial, operational and financial personnel and systems and continue to recruit and train additional qualified personnel. Due to our limited financial resources and the experience of our management team, who have only worked together for a limited time in managing a public company with such anticipated growth, we may not be able to effectively manage the expansion of our operations or recruit and train additional qualified personnel.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clinical stage biotechnology company with a limited operating history, and, as of December 31, 2025, we had 102 employees. We have been and will continue to be highly dependent on the research and development, clinical and business development expertise of our executive officers, as well as the other principal members of our management, scientific and clinical team. Any such officers and other principal members may terminate their employment with us at any time. We do not maintain “key person” insurance for any of our executives or other employees.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Attracting and retaining qualified personnel will also be critical to our success, including with respect to any strategic transaction that we may pursue.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we rely on consultants and advisors, including scientific and clinical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1"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future growth may depend, in part, on our ability to operate in foreign markets, where we would be subject to additional regulatory burdens and other risks and uncertainties.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future growth may depend, in part, on our ability to develop and commercialize our product candidates in foreign markets for which we may rely on collaboration with third parties. Recent and ongoing changes in the United States trade policy with foreign countries, including the continued uncertainty surrounding U.S. tariffs and retaliatory measures by foreign governments may disrupt the global supply chain for biopharmaceutical products. Any direct tariffs, if imposed on pharmaceutical products, may result in increased costs for raw materials and contract manufacturing services, reduced ability to source critical CMOs, and a delay in our development timelines.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not permitted to market or promote any of our product candidates before we receive regulatory approval from the applicable foreign regulatory authority, and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employees, independent contractors, consultants, commercial collaborators, principal investigators, CROs, CMOs, suppliers and vendors may engage in misconduct or other improper activities, including noncompliance with regulatory standards and requirements.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Despite our employee training and compliance programs, we are exposed to the risk that our employees, independent contractors, consultants, commercial collaborators, principal investigators, CROs, CMOs, suppliers and vendors acting for or on our behalf may engage in misconduct or other improper activities. We have adopted a code of conduct and ethics, policies, standard operating procedures and other compliance efforts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internal information technology systems, as well as those of any of our CROs, manufacturers, other contractors or consultants, third-party service providers, and potential future collaborators, are subject to the risk of failure, security breaches, data privacy incidents, or other unauthorized or improper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2"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access to, use of, or destruction of proprietary, confidential, employee, or personal data, which could result in additional costs, loss of revenue, significant liabilities, harm to our brand, and material disruption to our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To achieve our business objectives, we depend on our own internal IT systems and networks, as well as those of third parties and their vendors. These systems are used to process and store sensitive data—including confidential research, business plans, financial information, intellectual property, trade secrets and various personal data that may be legally protected. They also play a critical role in maintaining the continuity of our supply chain and operations, and are integral to many of the products provided to customers.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Although we have implemented security measures designed to protect our information systems and the data they store, the size and complexity of these systems—and the increasing volume of information maintained on our internal IT systems and those of our third-party CROs, other contractors (including clinical trial sites), service providers, supply chain partners, and consultants—make them potentially vulnerable to a range of risks. These risks include breakdowns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Such incidents could compromise our system infrastructure or lead to the loss, destruction, alteration or dissemination of, or damage to, our data. The evolving use of AI by malicious actors is expected to further intensify cybersecurity threats. For example, AI can be leveraged to develop adaptive malware, generate highly convincing phishing or impersonation attacks (such as deepfakes), or automate the discovery and exploitation of software vulnerabilities, thereby increasing the likelihood and sophistication of future attacks.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Even prompt detection and response may not fully mitigate impacts, and remediation efforts could divert management attention and increase costs. The use of AI by attackers may also contribute to faster, more coordinated attacks that evade traditional detection methods, placing additional pressure on our security infrastructure and incident response capabilities.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fully-remote workforce may create additional risks for our information technology systems and data because our employees work remotely and utilize network connections, computers, and devices working at home, while in transit and in public locations. Remote work may increase exposure to insecure networks, device loss, and compromised credentials.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3"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security incidents. Such disclosures are costly, and the disclosure or the failure to comply with such requirements could lead to adverse consequences. For further discussion of our evolving privacy and data security compliance obligations, see “Business - Government Regulation - Data Privacy and Cybersecurity Requirements (U.S.)” and “Regulation in the European Union - European Data and Security Laws.”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rely on third-party service providers and technologies to operate critical business systems to process sensitive information in a variety of contexts. Certain third-party platforms or vendors may incorporate AI-driven automation or analytics into their offerings, which may expose us to new categories of risk, such as data being repurposed for AI training, unexplainable outputs generated by machine learning models, or unintended reliance on automated decision-making systems that lack transparency or auditability.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Internally, we are also evaluating and, in some cases, implementing AI-enabled technologies to support business operations, data analysis, and other workflow efficiencies. Although these tools offer potential benefits, they also present new and evolving risks, including exposure to biased outputs, regulatory uncertainty around AI governance, and the possibility that sensitive data could inadvertently be incorporated into AI model training datasets or disclosed through model inference. As global laws and guidance surrounding AI systems continue to evolve, noncompliance could result in restrictions on our use of AI, reputational consequences, or enforcement activity.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contracts may not always include limitations of liability, and even when such provisions are present, there can be no assurance that they will be adequate to protect us from liabilities, damages, or claims arising from our data privacy and security obligations. We can also not guarantee that our cybersecurity insurance coverage will be sufficient to protect us from or mitigate liabilities arising out of our privacy and security practices or that such coverage will continue to be available on commercially reasonable terms or at all. Moreover, even robust cybersecurity and privacy controls under frameworks such as the National Institute of Standards and Technology ("NIST") cannot eliminate all risk, and we have identified cybersecurity risks that, if realized, are reasonably likely to materially affect us.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Our expanding use of AI exposes us to operational, regulatory, legal, and ethical risks that could adversely affect our business, reputation, financial condition, and results of operations. </w:t>
      </w:r>
    </w:p>
    <w:p>
      <w:pPr>
        <w:pStyle w:val="TextBody"/>
        <w:bidi w:val="0"/>
        <w:spacing w:before="0" w:after="0"/>
        <w:jc w:val="left"/>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increasingly develop, procure, and deploy AI and machine learning (ML) tools across our operations. While these tools may create efficiencies, they also introduce material risks related to data quality and bias, transparency and explainability, validation and lifecycle management, cybersecurity, intellectual property, privacy, discrimination, liability, and third-party dependencies. Errors or bias in AI outputs, inadequate monitoring, or insufficient documentation could impair clinical development, pharmacovigilance, manufacturing quality, or commercial activities, resulting in delays, higher costs, product or batch actions, or reputational harm. </w:t>
      </w:r>
    </w:p>
    <w:p>
      <w:pPr>
        <w:pStyle w:val="TextBody"/>
        <w:bidi w:val="0"/>
        <w:spacing w:before="0" w:after="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emergence of AI and other technologies may exacerbate other risks, including those related to regulation, litigation, compliance issues, ethical concerns, confidentiality, and data privacy or security. For example, regulatory uncertainty related to AI or other emerging technologies may require significant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4"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to adjust business practices to comply with developing laws. Several governmental authorities have already proposed or enacted laws and other guidance governing AI.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For example, in the United States, the FDA has outlined a risk based credibility framework for AI used to support drug and biologics development, signaling expectations for context of use validation, lifecycle maintenance, traceability, and explainability, and continues to oversee AI/ML enabled medical devices; these expectations could increase development costs and elongate review. These and other developing obligations may prevent or make it harder for us to conduct or enhance our business using AI, or lead to regulatory fines, penalties, or other liability. Further, use of AI technologies could lead to unintended consequences, such as data leakage, healthcare fraud and abuse, cybersecurity incidents, intellectual property infringement, or unintended biases. Our AI use must also comply with privacy regimes, including the UK GDPR and EU GDPR (e.g., restrictions on automated decision making and profiling, and stringent transparency and data subject rights). Divergent and evolving requirements across jurisdictions may require region specific controls, duplicated validation, or delayed deployments; failure to comply could lead to investigations, fines, injunctions, adverse regulatory outcomes, litigation, loss of market access, or reputational damage.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use our net operating loss carryforwards and certain other tax attributes may be limited.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Sections 382 and 383 of the Internal Revenue Code of 1986, as amended, if a corporation undergoes an ownership change, the corporation’s ability to use its pre-change net operating loss carryforwards ("NOLs"), and other pre-change tax attributes (such as research tax credits) to offset its post-change income or taxes may be limited.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over a 3-year period. Upon certain events since our conversion from a Delaware limited liability company to a Delaware corporation in 2015, it is possible that we may have triggered an “ownership change” limitation. We may also experience ownership changes in the future as a result of subsequent shifts in our stock ownership (some of which are outside of our control). As a result, if we earn net taxable income, our ability to use our pre-change NOLs and other pre-change tax attributes to offset U.S. federal taxable income or taxes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and the third parties upon whom we rely, are or may become subject to numerous domestic and foreign laws, regulations, and standards governing privacy, data protection, and information security, as well as contractual and ethical obligations, many of which overlap or conflict and are subject to changing interpretations. As noted, these include the HIPAA/HITECH framework for protected health information in certain contexts; the amended CCPA and approximately 19 other comprehensive state privacy laws and their implementing regulations; state health data laws; federal and state consumer protection laws; data breach notification statutes; and the DOJ Bulk Data Rule. Outside the United States, we are subject to the GDPR, the DPA 2018, DUAA, CTR, the ePrivacy Directive, among others. These regimes impose obligations such as purpose limitation, data minimization, security safeguards, vendor contracting, impact/risk assessments, transparency and individual rights, breach notification, and restrictions on automated decision-making and profiling. New and proposed laws increasingly emphasize data localization and restrictions on cross-border transfers, and regulators have signaled heightened enforcement. Failure or perceived failure by us or our third parties to comply with any of these requirements could result in investigations, enforcement actions, litigation (including class claims), fines and penalties, remedial orders, restrictions on processing, reputational harm, increased compliance and operational costs, and other adverse consequences that could materially and negatively affect our business, financial condition and results of operations. See the section titled “Business – Government Regulation – Data Privacy and Cybersecurity Requirements (U.S.)" and related international data protection disclosures” in this Annual Report for a more detailed description of the laws that may affect our ability to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5"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subject to adverse legislative or regulatory tax changes that could negatively impact our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enacted the Inflation Reduction Act of 2022,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which includes a provision restoring the immediate deductibility of domestic research and development expenditures. The impact of this newly enacted law on our tax position will depend on how the provision is implemented and interpreted by the Internal Revenue Service and other regulatory authorities. In addition, we have no assurance as to whether, when and how this provision may be subject to further amendment or repeal. Such changes, among others, may adversely affect our effective tax rate, results of operation and general business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acquire businesses or products, or form strategic alliances, in the future, and may not realize the benefits of such acquisitions.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cash held in non-interest-bearing and interest-bearing accounts exceeds the Federal Deposit Insurance Corporation ("FDIC") insurance limits. If such banking institutions were to fail, we could lose all or a portion of those amounts held in excess of such insurance limitations.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6"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for a material time period to access our cash and cash equivalents could have an adverse effect on our ability to pay our operational expenses or make other payments, which could adversely affect our business.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has historically been volatile, and the market price of our common stock may decline in the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market price of our common stock has been, and may continue to be, subject to significant fluctuations. Market prices for securities of clinical-stage pharmaceutical, biotechnology, and other life sciences companies have historically been particularly volatile. Some of the factors that may cause the market price of our common stock to fluctuate include: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our ability to obtain regulatory approvals for our product candidates, and delays or failures to obtain such approvals;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failure of any of our product candidates, if approved, to achieve commercial success;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failure to maintain our existing third-party license and supply agreements;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laws or regulations applicable to our product candidates;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any inability to obtain adequate supply of our product candidates or the inability to do so at acceptable prices;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regulatory authority decisions;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introduction of new products, services, or technologies by our competitors;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meet or exceed financial and development projections we may provide to the public and the investment community;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perception of the pharmaceutical industry by the public, legislatures, regulators, and the investment community;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announcements of significant acquisitions, strategic collaborations, joint ventures, or capital commitments by us or our competitors;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additions or departures of key personnel;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 lawsuits, including patent or stockholder litigation;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if securities or industry analysts do not publish research or reports about our business, or if they issue an adverse or misleading opinion regarding our business and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the market valuations of similar companies;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general market or macroeconomic conditions, including global inflationary pressures, rising interest rates, general economic slowdown or a recession, changes in tariff/trade and monetary policies, instability in financial institutions and the prospect of a shutdown of the U.S. federal government;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geopolitical instability and government actions, including the ongoing military conflict in Ukraine, conflicts in the Middle East, recent events in Venezuela, geopolitical tensions between the United States and other countries, including China, and the implementation of measures that restrict international trade by the United States, China or other governments;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sales of our common stock by us or our stockholders in the future;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trading volume of our common stock;</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announcements by commercial partners or competitors of new commercial products, clinical progress or the lack thereof, significant contracts, commercial relationships, or capital commitments;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introduction of technological innovations or new therapies that compete with our potential products;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the structure of health care payment systems;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7"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period-to-period fluctuations in our financial results.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Moreover, the capital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If the market price of our common stock does not exceed the price at which a stockholder purchases its shares, such stockholder may not realize any return on its investment in us and may lose some or all of its investment.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Anti-takeover provisions in our charter documents and under Delaware law and the terms of some of our contracts could make an acquisition of us more difficult and may prevent attempts by our stockholders to replace or remove our management.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Provisions in our Certificate of Incorporation and Bylaws may delay or prevent an acquisition or a change in management. These provisions include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Certificate of Designation of Preferences, Rights and Limitations of the Series A Preferred Stock (the “Series A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Series A Certificate of Designation) or any merger or consolidation of the Company with or into another entity or any stock sale to, or other business combination in which our stockholders immediately before such transaction do not hold at least a majority of our capital stock immediately after such transaction, without the affirmative vote of the holders of a majority of the then outstanding shares of the Series A Preferred Stock. This provision of the Series A Certificate of Designation may make it more difficult for us to enter into any of the aforementioned transactions as it would require the separate consent of a majority of the holders of the Series A Preferred Stock.</w:t>
      </w:r>
    </w:p>
    <w:p>
      <w:pPr>
        <w:pStyle w:val="TextBody"/>
        <w:bidi w:val="0"/>
        <w:spacing w:lineRule="auto" w:line="288" w:before="240" w:after="283"/>
        <w:jc w:val="both"/>
        <w:rPr/>
      </w:pPr>
      <w:r>
        <w:rPr>
          <w:rFonts w:ascii="Arial;sans-serif" w:hAnsi="Arial;sans-serif"/>
          <w:b/>
          <w:i/>
          <w:color w:val="000000"/>
          <w:sz w:val="20"/>
        </w:rPr>
        <w:t>Our Certificate of Incorporation and Bylaws provide that the Court of Chancery of the State of Delaware is the exclusive forum certain types of actions and proceedings that may be initiated by our stockholders, and our Bylaws designate the federal courts of the United States as the exclusive forum for actions arising under the Securities Act, each of which could limit our stockholders’ ability to obtain a favorable judicial forum for disputes with us or our directors, officers, employees or agents</w:t>
      </w:r>
      <w:r>
        <w:rPr>
          <w:rFonts w:ascii="Arial;sans-serif" w:hAnsi="Arial;sans-serif"/>
          <w:b w:val="false"/>
          <w:color w:val="000000"/>
          <w:sz w:val="20"/>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Certificate of Incorporation and Bylaws provide that, unless we consent in writing to an alternative forum, the Court of Chancery of the State of Delaware will be the sole and exclusive forum for any derivative action or proceeding brought on our behalf, any action asserting a claim of breach of a fiduciary duty owed by any of our directors, officers, employees or agents to us or our stockholders, any action asserting a claim arising pursuant to any provision of the DGCL, our Certificate of Incorporation or our Bylaws or any action asserting a claim that is governed by the internal affairs doctrine, in each case subject to the Court of Chancery having personal jurisdiction over the indispensable parties named as defendants therein and the claim not being one which is vested in the exclusive jurisdiction of a court or forum other than the Court of Chancery or for which the Court of Chancery does not have subject matter jurisdiction. Any person purchasing or otherwise acquiring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8"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interest in any shares of our capital stock shall be deemed to have notice of and to have consented to this provision of our Certificate of Incorporation and Bylaws.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In addition, investors cannot waive compliance with the federal securities laws and the rules and regulations thereunder.</w:t>
      </w:r>
    </w:p>
    <w:p>
      <w:pPr>
        <w:pStyle w:val="TextBody"/>
        <w:bidi w:val="0"/>
        <w:spacing w:lineRule="auto" w:line="288" w:before="240" w:after="283"/>
        <w:ind w:left="0" w:right="0" w:firstLine="720"/>
        <w:jc w:val="both"/>
        <w:rPr/>
      </w:pPr>
      <w:r>
        <w:rPr>
          <w:rFonts w:ascii="Arial;sans-serif" w:hAnsi="Arial;sans-serif"/>
          <w:b w:val="false"/>
          <w:color w:val="000000"/>
          <w:sz w:val="20"/>
        </w:rPr>
        <w:t>These choice of forum provisions will not apply to claims brought to enforce a duty or liability created by the Exchange Act</w:t>
      </w:r>
      <w:r>
        <w:rPr>
          <w:rFonts w:ascii="Arial;sans-serif" w:hAnsi="Arial;sans-serif"/>
          <w:b w:val="false"/>
          <w:color w:val="008080"/>
          <w:sz w:val="20"/>
        </w:rPr>
        <w:t xml:space="preserve">. </w:t>
      </w:r>
      <w:r>
        <w:rPr>
          <w:rFonts w:ascii="Arial;sans-serif" w:hAnsi="Arial;sans-serif"/>
          <w:b w:val="false"/>
          <w:color w:val="000000"/>
          <w:sz w:val="20"/>
        </w:rPr>
        <w:t>These choice of forum provisions may limit our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specified courts could face additional litigation costs in pursuing any such claim. The specified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these provisions of our governance documents inapplicable to, or unenforceable in respect of, one or more of the specified types of actions or proceedings, we may incur additional costs associated with resolving such matters in other jurisdictions, which could have a material adverse effect on our business, financial condition or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do not anticipate that we will pay any cash dividends in the foreseeable future.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Future sales of shares by existing stockholders could cause our stock price to decline. </w:t>
      </w:r>
    </w:p>
    <w:p>
      <w:pPr>
        <w:pStyle w:val="TextBody"/>
        <w:bidi w:val="0"/>
        <w:spacing w:lineRule="auto" w:line="288" w:before="240" w:after="283"/>
        <w:ind w:left="0" w:right="0" w:firstLine="720"/>
        <w:jc w:val="both"/>
        <w:rPr/>
      </w:pPr>
      <w:r>
        <w:rPr>
          <w:rFonts w:ascii="Arial;sans-serif" w:hAnsi="Arial;sans-serif"/>
          <w:b w:val="false"/>
          <w:color w:val="000000"/>
          <w:sz w:val="20"/>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and restricted stock units will become eligible for sale in the public market to the extent permitted by the provisions of various vesting agreements and Rules 144 and 701 under the Securities Act</w:t>
      </w:r>
      <w:r>
        <w:rPr>
          <w:rFonts w:ascii="Arial;sans-serif" w:hAnsi="Arial;sans-serif"/>
          <w:b w:val="false"/>
          <w:color w:val="0000FF"/>
          <w:sz w:val="20"/>
        </w:rPr>
        <w:t>.</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Future sales and issuances of equity and debt could result in additional dilution to our stockholders.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expect that we will need significant additional capital to fund our current and future operations, including to complete ongoing and potential preclinical and clinical trials for our product candidates. To raise capital, we may sell common stock, convertible securities, or other equity securities in one or more transactions at prices and in a manner we determine from time to time. As a result, our stockholders may experience additional dilution, which could cause our stock price to fall.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our equity incentive plans, we may grant equity awards and issue additional shares of our common stock to our employees, directors and consultants, and the number of shares of our common stock reserved for future issuance under certain of these plans will be subject to automatic annual increases in accordance with the terms of the plans. To the extent that new options or other stock-based equity awards are granted and, if applicable, exercised, or we issue additional shares of common stock in the future, our stockholders may experience additional dilution, which could cause our stock price to fall.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principal stockholders own a significant percentage of our stock and are able to exert significant control over matters subject to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9"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directors, officers, 5% stockholders, and their affiliates currently beneficially own a substantial portion of our outstanding voting stock. Therefore, these stockholders have the ability and may continue to have the ability to influence us through this ownership position. These stockholders may be able to determine some or all matters requiring stockholder approval. For example, these stockholders, acting together, may be able to control elections of directors, amendments of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become exposed to costly and damaging liability claims, either when testing our programs in the clinic or at the commercial stage, and our product liability insurance may not cover all damages from such claims.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product candidates in clinical trials, and the sale of any approved products in the future, may expose us to liability claims. These claims may be made by participants or patients that use the product candidate or product, healthcare providers,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Litigation costs and the outcome of litigation could have a material adverse effect on our business.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continue to incur significant costs and demands upon management as a result of complying with the laws and regulations regulating public companies.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public company, and particularly after December 31, 2024, when we ceased to be a “smaller reporting company” and “non-accelerated filer,” and became a “large accelerated filer,” we have and will continue to incur significant legal, accounting and other expenses associated with public company reporting requirements, including costs associated with corporate governance requirements, such as requirements under the Sarbanes-Oxley Act, the Dodd-Frank Wall Street Reform and Consumer Protection Act, as well as rules implemented by the SEC and Nasdaq.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These rules and regulations increase our legal and financial compliance costs and make some activities more time-consuming and costly. These rules and regulations may also make it difficult and expensive for us to obtain directors’ and officers’ liability insurance. Our management and other personnel will continue to devote a substantial amount of time to these compliance initiatives, and we will continue to incur increased legal and financial compliance costs. As a result, it may be more difficult for us to attract and retain qualified individuals to serve on our board of directors or as our executive officers, which may adversely affect investor confidence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0"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could cause our business or stock price to suffer. In addition, the increased costs may require us to reduce costs in other areas of our business or increase the prices of our product candidates,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We are no longer a “smaller reporting company” within the meaning of the Securities Act and as a result we are or will be subject to certain enhanced disclosure requirements which will require us to incur significant expenses and expend time and resources.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no longer a “smaller reporting company,” as of January 1, 2025 and, as a result, we are required to comply with various disclosure and compliance requirements that did not previously apply, such as the auditor attestation requirements of Section 404(b) of the Sarbanes-Oxley Act, the requirement that we hold a nonbinding advisory vote on executive compensation and obtain stockholder approval of any golden parachute payments not previously approved, the requirement to provide full and more detailed executive compensation disclosure and the reduction in the amount of time for filing our periodic and annual reports.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stock exchange on which our common shares are listed, or sanctions or investigations by the SEC or other regulatory authorities, which would require additional financial and management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equity research analysts do not publish research or reports, or publish unfavorable research or reports, about us, our business, or our market, our stock price and trading volume could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trading market for our common stock is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fail to maintain proper and effective internal controls, our ability to produce accurate financial statements on a timely basis could be impaired, investors may lose confidence in the accuracy and completeness of our financial reports and the market price of our common stock may be negatively affected. For example, in the fourth quarter of 2024, we identified a material weakness in our internal control over financial reporting which resulted in restatements of our previously-issued financial statements to amend certain net loss per share disclosures.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In addition to our management’s report on the effectiveness of our internal controls over financial reporting, our independent registered public accounting firm is required to attest to the effectiveness of our internal control over financial reporting pursuant to Section 404 of the Sarbanes-Oxley Act. The rules governing the standards that must be met for management to assess our internal control over financial reporting are complex and require significant documentation, testing, and possible remediation. We must perform system and process evaluation and testing of our internal control over financial reporting to allow management to report on the effectiveness of our internal controls over financial reporting in our annual report filing for that year, as required by Section 404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1"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we are not able to comply with the requirements of Section 404 of the Sarbanes-Oxley Act, or if we are unable to maintain proper and effective internal controls, it could result in a material misstatement of our financial statements that would not be prevented or detected on a timely basis, which could require a restatement, cause us to be subject to sanctions or investigations by Nasdaq, the SEC, or other regulatory authorities, cause investors to lose confidence in our financial information, or cause our stock price to decline.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described in our Annual Report for the year ended December 31, 2024, we identified a material weakness in our internal control over financial reporting in connection with our net earnings (loss) per share disclosures, which resulted in the restatement of our consolidated financial statements as of and for the year ended December 31, 2023, as well as the quarterly condensed consolidated financial information for the interim periods ended March 31, 2024, June 30, 2024, and September 30, 2024. We have implemented measures designed to improve our disclosure controls and procedures and internal control over financial reporting to address the underlying causes of this material weakness, including enhancing the design of controls relevant to the preparation and presentation of financial reporting matters related to net earnings (loss) per share calculations and disclosures to ensure that economic substance beyond the legal form of our capital structure is considered when preparing disclosures related to net earnings (loss) per share.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In addition, we may encounter problems or delays in completing the implementation of any requested improvements and receiving a favorable attestation in connection with the attestation provided by our independent registered public accounting firm.</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a public company, we incur significant legal, accounting, insurance, and other expenses, and our management and other personnel have and will need to continue to devote a substantial amount of time to compliance initiatives resulting from operating as a public company. We may experience difficulty in meeting these reporting requirements in a timely manner for each period.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could be adversely affected by economic downturns, inflation, increases in interest rates, natural disasters, public health crises, political crises, U.S. elections, international or geopolitical events, such as the conflict between Russia and Ukraine, recent events in Venezuela, and conflicts in the Middle East, the implementation of measures that restrict international trade or other macroeconomic conditions, which could have a material and adverse effect on our results of operations and financial condition.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Adverse macroeconomic conditions, including inflation, slower growth or recession, new or increased tariffs and other barriers to trade, especially in light of recent comments and executive orders made by the Trump administration, changes to fiscal and monetary policy or government budget dynamics (particularly in the pharmaceutical and biotechnology areas), tighter credit, higher interest rates, volatility in financial markets, high unemployment, labor availability constraints, currency fluctuations and other challenges in the global economy have in the past adversely affected, and may in the future adversely affect, us and our business partners and suppliers. The United States has previously announced tariffs on imports from most countries, including significant tariffs on imports from Canada, Mexico and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The Federal Reserve has raised interest rates multiple times in response to concerns about inflation and it may raise them again. Higher interest rates, coupled with reduced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2"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government spending and volatility in financial markets, may increase economic uncertainty and affect consumer spending. Similarly, geopolitical uncertainties, international conflicts and government actions, including the ongoing military conflicts between Russia and Ukraine, recent events in Venezuela, and conflicts in the Middle East involving Israel and various other parties, including Iran, Hamas and Hezbollah, as well as other conflicts in the region, rising tensions with China and the implementation of tariffs, sanctions, export or import controls, and other measures that restrict international trade by the United States, China or other governments,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may in the future experience disruptions as a result of such macroeconomic conditions, including delays or difficulties in initiating or expanding clinical trials and manufacturing or shipping sufficient quantities of materials. Any one or a combination of these events could have a material and adverse effect on our results of operations and financial condition. For example, our business may be generally exposed to the impact of political or civil unrest or military action. While we do not have any employees or offices in Ukraine, Venezuela, Russia or countries in the Middle East, including Israel, we do have third-party partners with locations in Europe, South America and the Middle East, which may be affected by the ongoing conflicts affecting such countries. In addition, we are pursuing sites for our Phase 2 platform trial in Israel and Ukraine. These sites may be materially impacted by the increasing military conflicts in Europe and the Middle East, could result in difficulties enrolling and retaining participants and/or delivering drug samples in such areas on schedule and cause delay in our clinical trials and/or increase trial costs. Any of the foregoing could harm our business and we cannot anticipate all of the ways in which the current economic or political climate and financial market conditions could adversely impact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the ordinary course of business, we collect, use, store, and transmit digitally confidential, sensitive, proprietary, personal, and health-related information. The secure maintenance of this information and our information technology systems is important to our operations and business strategy. To this end, we have implemented processes using the cybersecurity risk framework published by the NIST designed to assess, identify, and manage risks from potential unauthorized occurrences on or through our information technology systems that may result in adverse effects on the confidentiality, integrity, and availability of these systems and the data residing therein. These processes are managed and monitored by a dedicated information technology team, which is led by our Vice President, Information Technology ("IT"), and include mechanisms, controls, technologies, systems, and other processes designed to prevent or mitigate data loss, theft, misuse, or other security incidents or vulnerabilities affecting the data and maintain a stable information technology environment. Our cybersecurity risk management processes also incorporate the use of automated and data-driven tools provided by third-party vendors to support threat detection, monitoring, and incident response, and are designed to address evolving cybersecurity threats, including those that may be enabled by artificial intelligence. Specific measures include regular penetration and vulnerability testing, data recovery testing, security audits, and ongoing risk assessments. We conduct due diligence on and audits of key technology vendors, contract research organizations (CROs), and other third-party contractors and suppliers. Additionally, we conduct employee training that covers identifying threats (phishing, social engineering), secure practices (strong passwords, multi-factor authentication, safe internet use, data handling), and incident response (reporting procedures), turning employees into the first line of defense through regular, engaging education on topics like malware, remote work security, physical security, cloud security, mobile devices, and social media risks. We also regularly consult with outside advisors and experts. Their assistance helps us assess, identify, and manage cybersecurity risks, anticipate future threats and trends, and understand their potential impact on our risk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3"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Vice President, IT, who reports directly to our Chief Financial Officer, has over 26 years of experience managing information technology and cybersecurity matters and is certified as a Certified Information Systems Security Professional. Together with other members of our senior leadership team, our Vice President, IT is responsible for assessing and managing cybersecurity risks. We consider cybersecurity, along with other significant risks that we face, within our overall enterprise risk management framework. In the last fiscal year, we have not identified risks from known cybersecurity threats, including as a result of any prior cybersecurity incidents, that have materially affected us, but we face certain ongoing cybersecurity risks that, if realized, are reasonably likely to materially affect us. Additional information on cybersecurity risks we face is discussed in Part I, Item 1A, "Risk Factors".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Board of Directors, as a whole and at the committee level, has oversight for the most significant risks facing us and for our processes to identify, prioritize, assess, manage, and mitigate those risks. The Audit Committee, which is comprised solely of independent directors, has been designated by our Board to oversee cybersecurity risks. The Audit Committee receives regular updates on cybersecurity and information technology matters and related risk exposures from our Vice President, IT, as well as other members of the senior leadership team. The Board also receives updates from management and the Audit Committee on cybersecurity risks on at least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do not maintain physical corporate offices. Our employees work remotely. We believe these arrangements support our current needs. We maintain a mailing address at 221 Crescent St., Building 23, Suite 105, Waltham, MA 02453. As we expand, we believe that suitable additional alternative spaces will be available in the future on commercially reasonable terms, if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Market Information and 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common stock is traded on The Nasdaq Stock Market LLC under the symbol “SYRE.”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February 12, 2026, there were approximately 24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Stock Price Performance Graph</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stock performance graph compares our total stock return with the total return for (i) the Nasdaq Composite Index and the (ii) the Nasdaq Biotechnology Index for the period from December 31, 2020 through December 31, 2025. The figures represented below assume an investment of $100 in our common stock at the closing price of $196.75 on December 31, 2020 and in the Nasdaq Composite Index and the Nasdaq Biotechnology Index on December 31, 2020 and the reinvestment of dividends into shares of common stock. The comparisons in the table are required by the SEC and are not intended to forecast or be indicative of possible future performance of our common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2023, the Company completed a reverse merger, which brought in an entirely new pipeline of product candidates targeting IBD, and refreshed the Board and executive team to lead development of this new pipeline and sunset legacy asset development. Additionally, the Company has since expanded its pipeline into RD. The graph below includes pre-reverse merger stock performance, which is not relevant to Spyre's current stock performance.</w:t>
      </w:r>
    </w:p>
    <w:p>
      <w:pPr>
        <w:pStyle w:val="TextBody"/>
        <w:bidi w:val="0"/>
        <w:spacing w:before="240" w:after="283"/>
        <w:ind w:left="0" w:right="0" w:firstLine="720"/>
        <w:jc w:val="center"/>
        <w:rPr/>
      </w:pPr>
      <w:r>
        <w:rPr/>
        <w:drawing>
          <wp:inline distT="0" distB="0" distL="0" distR="0">
            <wp:extent cx="5829300" cy="3276600"/>
            <wp:effectExtent l="0" t="0" r="0" b="0"/>
            <wp:docPr id="10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 descr=""/>
                    <pic:cNvPicPr>
                      <a:picLocks noChangeAspect="1" noChangeArrowheads="1"/>
                    </pic:cNvPicPr>
                  </pic:nvPicPr>
                  <pic:blipFill>
                    <a:blip r:embed="rId11"/>
                    <a:stretch>
                      <a:fillRect/>
                    </a:stretch>
                  </pic:blipFill>
                  <pic:spPr bwMode="auto">
                    <a:xfrm>
                      <a:off x="0" y="0"/>
                      <a:ext cx="5829300" cy="3276600"/>
                    </a:xfrm>
                    <a:prstGeom prst="rect">
                      <a:avLst/>
                    </a:prstGeom>
                  </pic:spPr>
                </pic:pic>
              </a:graphicData>
            </a:graphic>
          </wp:inline>
        </w:drawing>
      </w:r>
      <w:bookmarkStart w:id="9" w:name="i-10"/>
      <w:bookmarkEnd w:id="9"/>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before="240" w:after="283"/>
        <w:ind w:left="0" w:right="0" w:firstLine="720"/>
        <w:jc w:val="both"/>
        <w:rPr/>
      </w:pPr>
      <w:r>
        <w:rPr/>
      </w:r>
    </w:p>
    <w:tbl>
      <w:tblPr>
        <w:tblW w:w="8931" w:type="dxa"/>
        <w:jc w:val="left"/>
        <w:tblInd w:w="0" w:type="dxa"/>
        <w:tblLayout w:type="fixed"/>
        <w:tblCellMar>
          <w:top w:w="28" w:type="dxa"/>
          <w:left w:w="28" w:type="dxa"/>
          <w:bottom w:w="28" w:type="dxa"/>
          <w:right w:w="28" w:type="dxa"/>
        </w:tblCellMar>
      </w:tblPr>
      <w:tblGrid>
        <w:gridCol w:w="995"/>
        <w:gridCol w:w="872"/>
        <w:gridCol w:w="878"/>
        <w:gridCol w:w="211"/>
        <w:gridCol w:w="721"/>
        <w:gridCol w:w="109"/>
        <w:gridCol w:w="211"/>
        <w:gridCol w:w="721"/>
        <w:gridCol w:w="109"/>
        <w:gridCol w:w="211"/>
        <w:gridCol w:w="616"/>
        <w:gridCol w:w="109"/>
        <w:gridCol w:w="211"/>
        <w:gridCol w:w="721"/>
        <w:gridCol w:w="109"/>
        <w:gridCol w:w="211"/>
        <w:gridCol w:w="721"/>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231F20"/>
                <w:sz w:val="18"/>
              </w:rPr>
            </w:pPr>
            <w:r>
              <w:rPr>
                <w:rFonts w:ascii="Arial;sans-serif" w:hAnsi="Arial;sans-serif"/>
                <w:b/>
                <w:color w:val="231F20"/>
                <w:sz w:val="18"/>
              </w:rPr>
              <w:t>Company/Index</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231F20"/>
                <w:sz w:val="18"/>
              </w:rPr>
            </w:pPr>
            <w:r>
              <w:rPr>
                <w:rFonts w:ascii="Arial;sans-serif" w:hAnsi="Arial;sans-serif"/>
                <w:b/>
                <w:color w:val="231F20"/>
                <w:sz w:val="18"/>
              </w:rPr>
              <w:t>2020</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Spyre Therapeutics, Inc. (SYRE)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31F20"/>
                <w:sz w:val="18"/>
              </w:rPr>
            </w:pPr>
            <w:r>
              <w:rPr>
                <w:rFonts w:ascii="Arial;sans-serif" w:hAnsi="Arial;sans-serif"/>
                <w:b w:val="false"/>
                <w:color w:val="231F2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NASDAQ Biotechnology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31F20"/>
                <w:sz w:val="18"/>
              </w:rPr>
            </w:pPr>
            <w:r>
              <w:rPr>
                <w:rFonts w:ascii="Arial;sans-serif" w:hAnsi="Arial;sans-serif"/>
                <w:b w:val="false"/>
                <w:color w:val="231F2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Nasdaq Composite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31F20"/>
                <w:sz w:val="18"/>
              </w:rPr>
            </w:pPr>
            <w:r>
              <w:rPr>
                <w:rFonts w:ascii="Arial;sans-serif" w:hAnsi="Arial;sans-serif"/>
                <w:b w:val="false"/>
                <w:color w:val="231F2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231F20"/>
                <w:sz w:val="18"/>
              </w:rPr>
            </w:pPr>
            <w:r>
              <w:rPr>
                <w:rFonts w:ascii="Arial;sans-serif" w:hAnsi="Arial;sans-serif"/>
                <w:b w:val="false"/>
                <w:color w:val="231F2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Dividends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Recent Sales of Unregistered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Purchases of Equity Securities by the Issuer and Affiliated Purchasers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240" w:after="283"/>
        <w:ind w:left="0" w:right="0" w:firstLine="720"/>
        <w:jc w:val="both"/>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our financial statements and related notes appearing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As used in this report, unless the context suggests otherwise, “we”, “us”, “our”, “the Company,” “Aeglea BioTherapeutics, Inc.” or “Spyre” refers to Spyre Therapeutics, Inc. and its consolidated subsidiaries taken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Acquisition of Pre-Merger Spyre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22, 2023, we acquired Pre-Merger Spyre pursuant to that certain Agreement and Plan of Merger (the “Acquisition Agreement”), dated June 22, 2023, by and among us, Aspen Merger Sub I, Inc., a Delaware corporation and a wholly owned subsidiary of the Company, Sequoia Merger Sub II, LLC, a Delaware limited liability company and one of our wholly owned subsidiaries, and Pre-Merger Spyre. Pre-Merger Spyre was a pre-clinical stage biotechnology company that was incorporated on April 28, 2023 under the direction of Peter Harwin, a Managing Member of Fairmount, for the purpose of holding rights to certain intellectual property being developed by Paragon. Fairmount is a founder of Paragon.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Through the Asset Acquisition, we received the option to license certain intellectual property rights related to four research programs (collectively, the "Option"). On July 12, 2023, we exercised the Option with respect to one of these research programs to be granted an exclusive license to all of Paragon's rights, title and interest in and to intellectual property rights, including inventions, patents, sequence information and results, under SPY001, our α4β7 integrin program, to develop and commercialize antibodies and products worldwide in all therapeutics disorders. On December 14, 2023, we exercised the Option under the Paragon Agreement to be granted an exclusive license to all of Paragon’s rights, title and interest in and to intellectual property rights, including inventions, patents, sequence information and results, under SPY002, our TL1A program, to develop and commercialize antibodies and products worldwide in all therapeutics disorders. On June 5, 2024, we exercised the Option under the Paragon Agreement to be granted an exclusive license to all of Paragon’s rights, title and interest in and to intellectual property rights, including inventions, patents, sequence information and results, under SPY003, our IL-23 program, to develop and commercialize antibodies and products worldwide solely in inflammatory bowel disease ("IBD") indications. The License Agreements pertaining to SPY001 and SPY002 between the Company and Paragon were executed in the second quarter of 2024, and the License Agreement pertaining to SPY003 was executed in October 2024 and subsequently amended and restated on February 24, 2025. Furthermore, as of the date of this Annual Report, the Option remains unexercised with respect to the intellectual property rights related to the last remaining research program under the Paragon Agreement. See discussion in Part I, Item 1 “Business - Intellectual Property” for further discussion of our intellectual property.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Following the Asset Acquisition, we have significantly reshaped the business into a clinical stage biotechnology company focused on developing next generation therapeutics for patients living with IBD, including ulcerative colitis ("UC") and Crohn's disease ("CD"), and other immune-mediated diseases. Our portfolio of novel and proprietary monoclonal antibody product candidates has the potential to address unmet needs in IBD and RD care by improving efficacy, safety, and/or dosing convenience relative to products currently available or product candidates in development. We have engineered our product candidates with the aim to bind potently and selectively to their target epitopes and to exhibit extended pharmacokinetic half-lives through modifications in the Fc domain, which modifications are designed to increase affinity to human FcRn and increase antibody recycling. We anticipate that half-life extension will enable less frequent administration as compared to marketed or development-stage mAbs that do not incorporate half-life extension modifications. In addition to the development of our product candidates as potential monotherapies, we plan to investigate combinations of our proprietary antibodies in nonclinical studies and clinical trials in order to evaluate whether combination therapy (co-administration or co-formulation of multiple monoclonal antibodies) can lead to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efficacy, as compared to monotherapies in IBD. We intend to deliver our product candidates through convenient, infrequently self-administered, subcutaneous maintenance injections, although the specific delivery mechanism or technology has not been selected given our early stage.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Business and Macroeconomic Conditions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extent of the impact of macroeconomic events and conditions, including inflation, increasing interest rates, increasing financial market volatility and uncertainty, the impacts of geopolitical instabilities and government actions, including the ongoing military conflict in Ukraine, conflict between Israel and various other parties, recent events in Venezuela, geopolitical tensions between China and the United States, and the implementation of tariffs, sanctions, export or import controls, and other measures that restrict international trade by the United States, China or other governments, and their potential supply chain impact, and public health pandemics on our operational and financial performance will continue to depend on certain developments, including the impact on our clinical studies, employee or industry events, and effect on our suppliers and manufacturers, all of which are uncertain and cannot be predicted. Adverse effects of these large macroeconomic conditions have been prevalent in many of the areas where we, our clinical research organizations ("CROs"), suppliers or third-party business partners conduct business and as a result, we may experience disruptions in our operations. We have experienced and may in the future experience such disruption or delays due to these factors as well as delays due to labor shortages and supply chain disruptions in distribution of clinical trial materials, trial monitoring and data analysis that could materially adversely impact our business, results of operations and overall financial performance in future periods. As of the filing date of this Annual Report, the extent to which these macroeconomic events and conditions may impact our financial condition, results of operations or guidance is uncertain. The effect of these macroeconomic events and conditions may not be fully reflected in our results of operations and overall financial performance until future periods. See Part I, Item 1A “Risk Factors” for further discussion of the possible impact of these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Components of Operating Results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recognized license and development revenue from the Immedica Agreement (as defined below) related to our legacy product candidate pegzilarginase. On July 27, 2023, we announced that we entered into an agreement to sell the global rights to pegzilarginase to Immedica. The sale of pegzilarginase to Immedica superseded and terminated the Immedica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not generated any revenue from commercial product sales. Our ability to generate product revenues in the future will depend on the successful development, regulatory approval, and commercialization of our product candidates.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Licensing and Sale of Pegzilarginase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2021, we licensed to Immedica the rights to the commercialization of pegzilarginase in the European Economic Area, United Kingdom, Switzerland, Andorra, Monaco, San Marino, Vatican City, Turkey, Saudi Arabia, United Arab Emirates, Qatar, Kuwait, Bahrain, and Oman (the "Immedica Agreement"). The Immedica Agreement included a non-refundable upfront payment of $21.5 million from Immedica and up to $3.0 million of payments for development services provided to Immedica. Under the terms of the Immedica Agreement, we were eligible to receive additional regulatory and commercial milestone payments and were entitled to receive royalties in the mid-20% range on net sales of the product in countries included in the Immedica Agreement.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year ended December 31, 2023, we recognized revenue of $0.9 million under the Immedica Agreement. The total revenue generated during the year ended December 31, 2023 was attributable to the PEACE Phase 3 trial and PIP trials, drug supply, and royalties from an early access program in France.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27, 2023, we announced that we entered into an agreement to sell the global rights to pegzilarginase to Immedica for $15.0 million in upfront cash proceeds and up to $100.0 million in contingent milestone payments. The sale of pegzilarginase to Immedica superseded and terminated the Immedica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Agreement. On July 27, 2023, the carrying value of the asset was zero as it was internally developed. Accordingly, we recognized a $16.4 million gain within Gain on sale of in-process research and development, which is comprised of $15.0 million in upfront cash proceeds and the reimbursement of $1.8 million in pre-paid manufacturing costs that was contingent upon a favorable opinion being received by the CHMP, net of transaction costs and the derecognition of pegzilarginase related nonfinancial assets and liabilities totaling $0.4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milestone payments are contingent on formal reimbursement decisions by national authorities in key European markets and pegzilarginase approval by the FDA, among other events. Subject to the terms of the contingent value rights agreement (the "CVR Agreement") we entered into with Equiniti Trust Company LLC (f/k/a American Stock Transfer &amp; Trust Company LLC) as rights agent in connection with the Asset Acquisition, the upfront payment and contingent milestone payments actually received by us during the CVR term, net of expenses and adjustments, will be distributed to holders of our CVRs (as defined below) pursuant to the CVR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twelve months ended December 31, 2025, the Company recognized a gain of $10.0 million within Gain on Sale of in-process research and development, for achieving certain reimbursement decision milestones during the period. As of December 31, 2025, $3.0 million remains outstanding and reflected in Prepaid expenses and other current assets. There was no similar gain during the twelve months ended December 31, 2024 nor similar receivable as of December 31,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Milestone payments, net of allowable expenses and adjustments, will be distributed to CVR holders pursuant to the CVR agreement resulting from the Asset Acquisition and will reduce the CVR liability.</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consist primarily of costs incurred for the discovery and development of our product candidates, historically including pegtarviliase and pegzilarginase, and now focused on our portfolio of product candidates for IBD and other immune-mediated diseases. We contract with external providers for nonclinical studies and clinical trials. Our research and development expenses include: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costs from acquiring clinical trial materials and services performed for contracted services with contract manufacturing organizations, or CMOs;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fees paid to clinical trial sites, CROs, CMOs, nonclinical research companies, and academic institutions;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direct and pass through costs associated with research conducted under the Paragon Agreement;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employee and consultant-related expenses incurred, which include salaries, benefits, travel, and stock-based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costs are expensed as incurred. Advance payments for goods or services to be rendered in the future for use in research and development activities are deferred and capitalized. The capitalized amounts are expensed as the related goods are delivered or the services are performed.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have historically represented the largest component of our total operating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expenditures on current and future nonclinical and clinical development programs are subject to numerous uncertainties in timing and cost to completion. The duration, costs, and timing of nonclinical activities, clinical trials, and development of our product candidates will depend on a variety of factors, including: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scope, rate of progress, and expenses of our ongoing research activities as well as any additional nonclinical activities, clinical trials, and other research and development activities;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future clinical trial results;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uncertainties in clinical trial enrollment rates or drop-out or discontinuation rates of patients;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the competitive drug development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potential safety monitoring or other studies requested by regulatory agencies;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significant and changing government regulation;</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timing and receipt of regulatory approvals, if any;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macroeconomic events and conditions, including inflation, increasing interest rates, increasing financial market volatility and uncertainty, the impact of geopolitical instabilities and government actions, including ongoing military conflict in Ukraine, conflict in Israel and surrounding areas, recent events in Venezuela, geopolitical tensions between China and the United States, and the implementation of tariffs, sanctions, export or import controls, and other measures that restrict international trade by the United States, China or other governments, and its potential supply chain impact, and public health pandemics.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process of conducting the necessary clinical research to obtain FDA and other regulatory approval is costly and time-consuming and the successful development of our product candidates is highly uncertain. The risks and uncertainties associated with our research and development projects are discussed more fully in Part I, Item 1A of this Annual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General and administrative expenses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consist primarily of salaries and other related costs, including stock-based compensation, for personnel in executive, finance, accounting, legal, corporate development, information technology, and human resources functions. Other significant costs include legal fees relating to corporate matters and fees for insurance, accounting, consulting, facilities, and recruiting services.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that our general and administrative expenses will increase in the future to support our continued research and development activities. These increases will likely include higher costs related to the hiring of additional personnel and fees to outside consultants, lawyers and accountants, among other expenses. Additionally, we have incurred and expect to continue to incur increased costs associated with being a public company, including expenses related to services associated with maintaining compliance with Nasdaq listing rules and SEC requirements, insurance, and investor relations costs.</w:t>
      </w:r>
    </w:p>
    <w:p>
      <w:pPr>
        <w:pStyle w:val="TextBody"/>
        <w:bidi w:val="0"/>
        <w:spacing w:lineRule="auto" w:line="268" w:before="240" w:after="283"/>
        <w:jc w:val="both"/>
        <w:rPr>
          <w:rFonts w:ascii="Arial;sans-serif" w:hAnsi="Arial;sans-serif"/>
          <w:b/>
          <w:i/>
          <w:color w:val="000000"/>
          <w:sz w:val="20"/>
        </w:rPr>
      </w:pPr>
      <w:r>
        <w:rPr>
          <w:rFonts w:ascii="Arial;sans-serif" w:hAnsi="Arial;sans-serif"/>
          <w:b/>
          <w:i/>
          <w:color w:val="000000"/>
          <w:sz w:val="20"/>
        </w:rPr>
        <w:t>Restructuring</w:t>
      </w:r>
    </w:p>
    <w:p>
      <w:pPr>
        <w:pStyle w:val="TextBody"/>
        <w:bidi w:val="0"/>
        <w:spacing w:lineRule="auto" w:line="26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12, 2023, based on the review of the inconclusive interim results from our Phase 1/2 clinical trial of pegtarviliase for the treatment of classical homocystinuria and other business considerations, we announced that we had initiated a process to explore strategic alternatives to maximize stockholder value and engaged an independent exclusive financial advisor to support this process. As a result, we implemented a restructuring plan that resulted in an approximate 83% reduction of our existing headcount by June 30, 2023.</w:t>
      </w:r>
    </w:p>
    <w:p>
      <w:pPr>
        <w:pStyle w:val="TextBody"/>
        <w:bidi w:val="0"/>
        <w:spacing w:lineRule="auto" w:line="26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All charges related to the restructuring activities were recognized during the year ended December 31, 2023. No further restructuring charges will be incurred under the restructuring plan. </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Severance and Stock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recognized restructuring expenses consisting of cash severance payments and other employee-related costs of $6.4 million during the year ended December 31, 2023. Cash payments for employee related restructuring charges of $1.1 million and $5.3 million were paid during December 31, 2024 and 2023, respectively. In addition, we recognized $1.0 million in non-cash stock-based compensation expense related to the accelerated vesting of stock-based awards for certain employees. We recorded these restructuring charges based on each employee’s role to the respective research and development and general and administrative operating expense categories on its consolidated statements of operations and comprehensive loss.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Sale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quarter of 2023, we sold various lab equipment, consumables, and furniture and fixtures for total consideration of $0.5 million. After recording the disposal of all our property and equipment net of proceeds, we recorded a $0.7 million and $0.2 million loss on disposal of long-lived assets which is included in Research and development and General and administrative expenses, respectively.</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Lease Right-of-use Asset and Leasehold Improvement Impairment</w:t>
      </w:r>
    </w:p>
    <w:p>
      <w:pPr>
        <w:pStyle w:val="TextBody"/>
        <w:bidi w:val="0"/>
        <w:spacing w:lineRule="auto" w:line="288" w:before="240" w:after="283"/>
        <w:ind w:left="0" w:right="0" w:firstLine="720"/>
        <w:jc w:val="both"/>
        <w:rPr/>
      </w:pPr>
      <w:r>
        <w:rPr>
          <w:rFonts w:ascii="Arial;sans-serif" w:hAnsi="Arial;sans-serif"/>
          <w:b w:val="false"/>
          <w:color w:val="000000"/>
          <w:sz w:val="20"/>
        </w:rPr>
        <w:t>Effective June 30, 2023, we abandoned our leased office space in Austin, Texas. As a result, we recognized an impairment loss of $0.9 million related to the operating lease right-of-use asset and $1.7 million related to leasehold improvements. On August 7, 2023, we terminated our building lease in Austin, Texas. The negotiated termination agreement obligated us to pay the lessor a $2.0 million termination fee in exchange for releasing us of all further obligations under the lease. All charges related to the restructuring activities were recognized during the second quarter of 2023.</w:t>
      </w:r>
      <w:r>
        <w:rPr>
          <w:color w:val="000000"/>
        </w:rPr>
        <w:t xml:space="preserve"> </w:t>
      </w:r>
      <w:r>
        <w:rPr>
          <w:rFonts w:ascii="Arial;sans-serif" w:hAnsi="Arial;sans-serif"/>
          <w:b w:val="false"/>
          <w:color w:val="000000"/>
          <w:sz w:val="20"/>
        </w:rPr>
        <w:t xml:space="preserve">No further restructuring charges will be incurred under the restructuring plan.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income consists of interest earned on our cash, cash equivalents, marketable securities, and restricted cash.</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year ended December 31, 2024, we completed the merger of our nine U.S. subsidiaries (the "Former Subsidiaries") with and into our parent company, Spyre Therapeutics, Inc. In addition, we dissolved our subsidiaries in the United Kingdom and Ireland in 2026 and 2025, respectively, both of which had not had any operational activity since the closing of the Asset Acquisition. We filed a consolidated U.S. corporate federal income tax return for the 2024 tax year for us and our Former Subsidiaries.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income tax returns are subject to audit and adjustment by the taxing authorities. We use the asset and liability method of accounting for income taxes. Under this method, deferred tax assets and liabilities are recognized for the expected future tax consequences of temporary differences between the financial statements and the tax bases of assets and liabilities. A valuation allowance is established against the deferred tax assets to reduce their carrying value to an amount that is more likely than not to be realized. The deferred tax assets and liabilities are classified as noncurrent along with the related valuation allowance. Due to our lack of earnings history, the net deferred tax assets have been fully offset by a valuation allowance.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recognize benefits of uncertain tax positions if it is more likely than not that such positions will be sustained upon examination based solely on the technical merits, as the largest amount of benefits that is more likely than not to be realized upon the ultimate settlement. Our policy is to recognize interest and penalties related to the unrecognized tax benefits as a component of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consolidated financial statements are prepared in accordance with generally accepted accounting principles in the United States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liabilities and equity and the amount of revenues and expenses, which are not readily apparent from other sources. We base our estimates on historical experience and on various other assumptions that we believe are reasonable under the circumstances. On an ongoing basis, we evaluate our estimates and assumptions. Our actual results may differ materially from these estimates under different assumptions or conditions.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critical accounting policies are those policies which require the most significant judgments and estimates in the preparation of our consolidated financial statements. The most significant estimates and assumptions that management considers in the preparation of our financial statements relate to accrued research and development costs; the valuation of consideration transferred in acquiring in-process research and development ("IPR&amp;D"); the discount rate, probabilities of success, and timing of estimated cash flows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the valuation of the CVR liability; inputs used in the Black-Scholes model for stock-based compensation expense; estimated future cash flows used in calculating the impairment of right-of-use lease assets; and estimated cost to complete performance obligations related to revenue recognition. The consideration transferred in acquiring IPR&amp;D in connection with the acquisition of Pre-Merger Spyre was comprised of our common stock and shares of Series A Preferred Stock. To determine the fair value of the equity transferred, we considered the per share value of our PIPE financing that closed in June 2023 (the "June 2023 PIPE"), which was a financing involving a group of accredited investors.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consolidated financial statements included elsewhere in this Annual Report.</w:t>
      </w:r>
    </w:p>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Revenue recognition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enter into license agreements related to our technologies that we have determined are within the scope of Accounting Standards Codification 606. Based on the terms and conditions of our agreements, we identify the goods and services that we promise to transfer to the customer, which may consist of the licensing of technologies, the performance of research and development activities, and/or the supply of products related to our technologies. Based on the nature of the goods and services provided and the customer’s intended benefit of the arrangement, we evaluate which of the promised goods and services are distinct and, therefore, represent a performance obligation, which may require us to combine certain promised goods and services that are determined to not be distinct from one another. We also evaluate whether an agreement provides the customer an option to purchase future goods or services at a discounted price, or a material right, which would also represent a performance obligation.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exchange for the performance obligations, we estimate the amount of consideration promised by the customer, or transaction price, which may include both fixed and variable consideration. Variable consideration, which may consist of various milestone payments based upon the achievement of certain events or conditions, sales-based royalties, or payments contingent on the performance of research and development services, are included in the transaction price only if we expect to receive such consideration and determine it is likely that the inclusion of the variable consideration will not result in a significant reversal in the cumulative amount of revenue recognized under the arrangement. Sales-based royalty and milestone payments that we determine are predominantly related to the license of our intellectual property are excluded from the transaction price we expect to receive until the underlying sales occur.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allocate the estimated transaction price to the identified performance obligations based on the relative estimated stand-alone selling price ("SSP") of each performance. SSP is based on the observable price of our goods and services, or when SSP is not directly observable, we estimate SSP based on factors such as forecasted revenues or costs, development timelines, discount rates, probabilities of technical and regulatory success, and considerations such as market conditions and entity-specific factors. We recognize revenue allocated to each performance obligation either at a point-in-time or over time in a manner that depicts the transfer of control of the promised goods and services to the customer. For performance obligations that are recognized over time, we estimate the measure of progress associated with the satisfaction of the performance obligation based on an input or output method, which may be based on factors such as costs incurred, labor hours expended, time elapsed, among other measures based on the nature of the performance obligation. The estimates made on an input or output method are subject to change and may result in material changes to revenue that could materially affect our results of operations. Please refer to Note 13, Strategic License Agreements, to the consolidated financial statements included elsewhere in this Annual Report. </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Accrued research and development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record the costs associated with research and development such as nonclinical studies, clinical trials, and manufacturing as incurred. These costs are a significant component of our research and development expenses, with a substantial portion of our on-going research and development activities conducted by third-party service providers, including CROs, CMOs, and our related-party Paragon.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accrue for expenses resulting from obligations under the Paragon Agreement and agreements with CROs, CMOs, and other outside service providers for which payment flows do not match the periods over which materials or services are provided to us. We record accruals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We make significant judgments and estimates in determining the accrual balance in each reporting period. In the event advance payments are made to Paragon, a CRO, a CMO, or an outside service provider, the payments will be recorded as a prepaid asset which will be amortized as the contracted services are performed. As actual costs become known, we adjust our accruals. Inputs, such as the services performed, the number of patients enrolled, or the trial duration, may vary from our estimates, resulting in adjustments to research and development expense in future periods. Changes in these estimates that result in material changes to our accruals could materially affect our results of operations. However, there have been no material changes in estimates for the periods presented.</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License Agreements Contingent Milestone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license agreements include specific development, regulatory, and clinical milestone payments that are payable upon the resolution of a contingency, such as upon the selection of a development candidate, first dosing of a human patient in clinical trials or receipt of the Food and Drug Administration’s (“FDA”) approval of a Spyre drug. The achievement of these milestone payments involves many factors outside of the Company’s control and therefore the associated likelihood can therefore not be considered probable until the related contingency is resolved. Based on the preceding, the Company accrues each milestone payment upon the achievement of the applicable milestone event.</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Impairment of ROU Assets and Leasehold Improvements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required to test for impairment of our long-lived assets when events arise that would call into question the recoverability of an asset group. We determined that the abandonment of our leased office space in Austin, Texas would meet this criteria. Accordingly, we tested for impairment using a discounted future cash flow model using estimated cash flows that could be obtained through a hypothetical sub-letting of the leased space.</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Convertible Preferred Stock Issued through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records shares of convertible preferred stock at their respective fair values on the dates of issuance, net of issuance costs. The Company classified the Series B Preferred Stock outside of stockholders’ equity at issuance because if conversion to common stock was not approved by the stockholders, the Series B Preferred Stock was redeemable at the option of the holders for cash equal to the closing price of the Company's common stock on the last trading day prior to the holder’s redemption request. The Company determined that the conversion and redemption was outside of the Company’s control. Additionally, the Company determined the Series B Preferred Stock did not contain any embedded derivatives and therefore the conversion and redemption features did not require bifurcation.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the Series B Preferred Stock is no longer redeemable, the associated balances of the Series B Preferred Stock were reclassified from mezzanine equity to permanent equity during the second quarter of 2024.</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 xml:space="preserve">Contingent Value Rights Liability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3, 2023, we issued contingent value rights ("CVRs") to certain of our securityholders of record as of the close of business on that date (the "Legacy Stockholders"), but these were not issued to holders of shares of common stock or preferred stock issued to former stockholders of Pre-Merger Spyre or the investors (the "June 2023 Investors") in the June 2023 PIPE. Each CVR entitles the holder thereof to receive certain cash payments from proceeds received by the Company prior to the third anniversary of the CVR Agreement, if any, related to the disposition or monetization of certain legacy assets owned by us prior to the Asset Acquisition (the "Legacy Assets"). Certain contingent payments under the CVR Agreement qualify as derivatives under ASC 815, Derivatives and Hedging, and are recorded as a liability on the balance sheet as of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and December 31, 2024. The CVR liability is considered a Level 3 instrument that is initially measured at its estimated fair value on the transaction date and subsequently remeasured at each reporting date with changes recorded in the consolidated statement of operations. The determination of the initial and subsequent fair value of the CVR liability requires significant judgment by management. Changes in any of the inputs not related to facts and circumstances existing as of the transaction date may result in a significant fair value adjustment, which can impact the results of operations in the period in which the adjustment is made. For example, changes in inputs related to the likelihood of regulatory approval increases or decreases as the regulatory approval process progresses and decisions or comments are issued by the applicable regulatory agencies.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Recently Issued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Information regarding recent accounting pronouncements is included in Item 8 of Part II, "Financial Statements and Supplementary Data", Note 2 in the "Notes to Consolidated Financial Statements"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 discussion and analysis of our financial condition and results of operations for the year ended December 31, 2025 compared to the year ended December 31, 2024 and a discussion and analysis of our financial condition and results of operations for the year ended December 31, 2024 compared with the year ended December 31, 2023 is presented below.</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Comparison of the Years Ended December 31, 2025 and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years ended December 31, 2025 and 2024, together with the changes in those items in dollars and as a percentage:</w:t>
      </w:r>
    </w:p>
    <w:tbl>
      <w:tblPr>
        <w:tblW w:w="10205" w:type="dxa"/>
        <w:jc w:val="center"/>
        <w:tblInd w:w="0" w:type="dxa"/>
        <w:tblLayout w:type="fixed"/>
        <w:tblCellMar>
          <w:top w:w="28" w:type="dxa"/>
          <w:left w:w="28" w:type="dxa"/>
          <w:bottom w:w="28" w:type="dxa"/>
          <w:right w:w="28" w:type="dxa"/>
        </w:tblCellMar>
      </w:tblPr>
      <w:tblGrid>
        <w:gridCol w:w="1651"/>
        <w:gridCol w:w="1412"/>
        <w:gridCol w:w="1422"/>
        <w:gridCol w:w="211"/>
        <w:gridCol w:w="908"/>
        <w:gridCol w:w="109"/>
        <w:gridCol w:w="109"/>
        <w:gridCol w:w="109"/>
        <w:gridCol w:w="109"/>
        <w:gridCol w:w="216"/>
        <w:gridCol w:w="933"/>
        <w:gridCol w:w="111"/>
        <w:gridCol w:w="109"/>
        <w:gridCol w:w="109"/>
        <w:gridCol w:w="109"/>
        <w:gridCol w:w="241"/>
        <w:gridCol w:w="921"/>
        <w:gridCol w:w="124"/>
        <w:gridCol w:w="109"/>
        <w:gridCol w:w="109"/>
        <w:gridCol w:w="109"/>
        <w:gridCol w:w="190"/>
        <w:gridCol w:w="190"/>
        <w:gridCol w:w="585"/>
      </w:tblGrid>
      <w:tr>
        <w:trPr/>
        <w:tc>
          <w:tcPr>
            <w:tcW w:w="165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Dollar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208,566 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(208,566)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Total other income</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53,745 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(52,749)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(208,018)</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(52,815)</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6"/>
        </w:rPr>
        <w:t>*</w:t>
      </w:r>
      <w:r>
        <w:rPr>
          <w:rFonts w:ascii="Arial;sans-serif" w:hAnsi="Arial;sans-serif"/>
          <w:b w:val="false"/>
          <w:color w:val="000000"/>
          <w:sz w:val="16"/>
        </w:rPr>
        <w:t>Percentage not meaningful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increased by $8.9 million, or 5%, to $171.7 million for the year ended December 31, 2025, from $162.8 million for the year ended December 31, 2024. The increase was primarily driven by increased clinical development activities and higher headcount partially offset by lower early-stage research and development.</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1234"/>
        <w:gridCol w:w="998"/>
        <w:gridCol w:w="1005"/>
        <w:gridCol w:w="261"/>
        <w:gridCol w:w="1024"/>
        <w:gridCol w:w="135"/>
        <w:gridCol w:w="135"/>
        <w:gridCol w:w="135"/>
        <w:gridCol w:w="135"/>
        <w:gridCol w:w="261"/>
        <w:gridCol w:w="1024"/>
        <w:gridCol w:w="135"/>
        <w:gridCol w:w="135"/>
        <w:gridCol w:w="135"/>
        <w:gridCol w:w="135"/>
        <w:gridCol w:w="282"/>
        <w:gridCol w:w="1024"/>
        <w:gridCol w:w="146"/>
        <w:gridCol w:w="135"/>
        <w:gridCol w:w="135"/>
        <w:gridCol w:w="135"/>
        <w:gridCol w:w="313"/>
        <w:gridCol w:w="315"/>
        <w:gridCol w:w="672"/>
        <w:gridCol w:w="161"/>
      </w:tblGrid>
      <w:tr>
        <w:trPr/>
        <w:tc>
          <w:tcPr>
            <w:tcW w:w="12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Dollar Change</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(in thousands)</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External research and development expenses: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Preclinical</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IBD</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Rheumatic diseases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 xml:space="preserve">Stock-based compensation </w:t>
            </w:r>
            <w:r>
              <w:rPr>
                <w:rFonts w:ascii="Arial;sans-serif" w:hAnsi="Arial;sans-serif"/>
                <w:b w:val="false"/>
                <w:color w:val="000000"/>
                <w:sz w:val="12"/>
              </w:rPr>
              <w:t>(1)</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Legacy Aeglea assets</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external research and development expense</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131,052 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(9,655)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Internal research and development expenses:</w:t>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internal research and development expenses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40,601 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171,653 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162,790 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24"/>
            <w:vMerge w:val="restart"/>
            <w:tcBorders/>
            <w:tcMar>
              <w:top w:w="0" w:type="dxa"/>
              <w:left w:w="0" w:type="dxa"/>
              <w:bottom w:w="0" w:type="dxa"/>
              <w:right w:w="0" w:type="dxa"/>
            </w:tcMar>
            <w:vAlign w:val="center"/>
          </w:tcPr>
          <w:p>
            <w:pPr>
              <w:pStyle w:val="TableContents"/>
              <w:bidi w:val="0"/>
              <w:spacing w:lineRule="auto" w:line="273"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For the year ended December 31, 2024, $14.5 million was recognized as stock compensation expense related to the Parapyre Option Obligation. There was no similar expense for the year ended December 31, 2025.</w:t>
            </w:r>
          </w:p>
          <w:p>
            <w:pPr>
              <w:pStyle w:val="TableContents"/>
              <w:bidi w:val="0"/>
              <w:spacing w:before="0" w:after="0"/>
              <w:jc w:val="both"/>
              <w:rPr/>
            </w:pPr>
            <w:r>
              <w:rPr/>
            </w:r>
          </w:p>
          <w:p>
            <w:pPr>
              <w:pStyle w:val="TableContents"/>
              <w:bidi w:val="0"/>
              <w:spacing w:before="0" w:after="0"/>
              <w:jc w:val="both"/>
              <w:rPr/>
            </w:pPr>
            <w:r>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24"/>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External research and development expenses include costs associated with third parties contracted to conduct research and development activities on behalf of the Company, including through Paragon, CROs, CMOs, and third-party laboratories. For the year ended December 31, 2025 and 2024, external research and development costs accounted for $131.1 million and $140.7 million, respectively. Preclinical expenses decreased primarily due to a reduction in early-stage research and development activities given our pipeline's advancement coupled with lower intellectual property license and sub-licensing fees. IBD expenses increased primarily due to increases in clinical development costs related to ongoing or planned clinical trials. Rheumatic diseases costs increased due to increases in manufacturing, clinical development costs, and intellectual property licensing and sub-licensing fees. External stock-based compensation decreased due to our obligations ending under the Parapyre Option Obligation.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Internal research and development expenses include compensation and related costs associated with our research and development employees. For the year ended December 31, 2025 and 2024, internal research and development costs accounted for $40.6 million and $22.1 million, respectively. The increase was primarily driven by an increase in research and development headcount.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General and administrative expenses increased by $2.1 million, or 5%, to $47.9 million for the year ended December 31, 2025, from $45.8 million for the year ended December 31, 2024. The increase was primarily attributable to an increase in compensation costs due to an increase in general and administrative headcount.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Gain on Sale of In-Process Research and Development Asset. During the year ended December 31, 2025, the Company recognized a gain of $10.0 million for an achieved milestone related to the 2023 sale of the global rights of the legacy Aeglea asset pegzilarginase to Immedica, driven by a favorable reimbursement decision for pegzilarginase in Europe. There was no similar gain or loss during the year ended December 31,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Income. Interest income was $24.9 million and $21.3 million for the year ended December 31, 2025 and 2024, respectively. The increase was primarily due to higher investment balances.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Other income, net. Other income, net for the year ended December 31, 2025 increased by $50.2 million versus the year ended December 31, 2024 primarily driven by changes in the fair value of the CVR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which was primarily driven by changes in the likelihood of achievement of certain milestones and receipt of certain cash consideration within the CVR term, changes in estimated reimbursement rates compared to reimbursement target rates, changes in estimated cash flow dates, and an increase in risk-adjusted discount rates, partially offset by time value of money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Comparison of the Years Ended December 31, 2024 and 2023</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results of operations for the years ended December 31, 2024 and 2023, together with the changes in those items in dollars and as a percentage:</w:t>
      </w:r>
    </w:p>
    <w:tbl>
      <w:tblPr>
        <w:tblW w:w="10205" w:type="dxa"/>
        <w:jc w:val="center"/>
        <w:tblInd w:w="0" w:type="dxa"/>
        <w:tblLayout w:type="fixed"/>
        <w:tblCellMar>
          <w:top w:w="28" w:type="dxa"/>
          <w:left w:w="28" w:type="dxa"/>
          <w:bottom w:w="28" w:type="dxa"/>
          <w:right w:w="28" w:type="dxa"/>
        </w:tblCellMar>
      </w:tblPr>
      <w:tblGrid>
        <w:gridCol w:w="1585"/>
        <w:gridCol w:w="1388"/>
        <w:gridCol w:w="1406"/>
        <w:gridCol w:w="211"/>
        <w:gridCol w:w="906"/>
        <w:gridCol w:w="109"/>
        <w:gridCol w:w="109"/>
        <w:gridCol w:w="109"/>
        <w:gridCol w:w="109"/>
        <w:gridCol w:w="216"/>
        <w:gridCol w:w="930"/>
        <w:gridCol w:w="111"/>
        <w:gridCol w:w="109"/>
        <w:gridCol w:w="109"/>
        <w:gridCol w:w="109"/>
        <w:gridCol w:w="222"/>
        <w:gridCol w:w="958"/>
        <w:gridCol w:w="114"/>
        <w:gridCol w:w="109"/>
        <w:gridCol w:w="109"/>
        <w:gridCol w:w="109"/>
        <w:gridCol w:w="240"/>
        <w:gridCol w:w="241"/>
        <w:gridCol w:w="587"/>
      </w:tblGrid>
      <w:tr>
        <w:trPr/>
        <w:tc>
          <w:tcPr>
            <w:tcW w:w="1585"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Year Ended 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Dollar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Development fee and royalty</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Acquired in-process research and development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sale of in-process research and development asset</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(34,623)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(242,303)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(33,737)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 (expense):</w:t>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Change in fair value of forward contract liability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Other expense, net</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(19,130)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 xml:space="preserve">Total other income (expense) </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(96,513)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97,112 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before income tax expense</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(338,816)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(338,790)</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(130,772)</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6"/>
        </w:rPr>
        <w:t>*</w:t>
      </w:r>
      <w:r>
        <w:rPr>
          <w:rFonts w:ascii="Arial;sans-serif" w:hAnsi="Arial;sans-serif"/>
          <w:b w:val="false"/>
          <w:color w:val="000000"/>
          <w:sz w:val="16"/>
        </w:rPr>
        <w:t>Percentage not meaningful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Development Fee and Royalty Revenue. For the year ended December 31, 2024, we did not recognize any revenue in connection with the Immedica Agreement. For the year ended December 31, 2023, we recognized $0.9 million of development fee revenue in connection with the Immedica Agreement. The revenue generated during the year ended December 31, 2023, was attributable to the PEACE Phase 3 trial and drug supply and royalties from an early access program in France.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increased by $73.3 million, or 82%, to $162.8 million for the year ended December 31, 2024, from $89.5 million for the year ended December 31, 2023. The increase was primarily driven by higher early-stage research and development and increased compensation costs partially offset by decrease in costs related to the Company's legacy rare disease pipeline.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1292"/>
        <w:gridCol w:w="1059"/>
        <w:gridCol w:w="1066"/>
        <w:gridCol w:w="258"/>
        <w:gridCol w:w="1010"/>
        <w:gridCol w:w="133"/>
        <w:gridCol w:w="133"/>
        <w:gridCol w:w="133"/>
        <w:gridCol w:w="133"/>
        <w:gridCol w:w="258"/>
        <w:gridCol w:w="881"/>
        <w:gridCol w:w="133"/>
        <w:gridCol w:w="133"/>
        <w:gridCol w:w="133"/>
        <w:gridCol w:w="133"/>
        <w:gridCol w:w="292"/>
        <w:gridCol w:w="1000"/>
        <w:gridCol w:w="151"/>
        <w:gridCol w:w="133"/>
        <w:gridCol w:w="133"/>
        <w:gridCol w:w="133"/>
        <w:gridCol w:w="324"/>
        <w:gridCol w:w="327"/>
        <w:gridCol w:w="663"/>
        <w:gridCol w:w="161"/>
      </w:tblGrid>
      <w:tr>
        <w:trPr/>
        <w:tc>
          <w:tcPr>
            <w:tcW w:w="129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Dollar Change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(in thousands)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External research and development expenses: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Preclinical</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IBD</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18"/>
              </w:rPr>
              <w:t>Stock-based compensation</w:t>
            </w:r>
            <w:r>
              <w:rPr>
                <w:color w:val="000000"/>
              </w:rPr>
              <w:t xml:space="preserve"> </w:t>
            </w:r>
            <w:r>
              <w:rPr>
                <w:rFonts w:ascii="Arial;sans-serif" w:hAnsi="Arial;sans-serif"/>
                <w:b w:val="false"/>
                <w:color w:val="000000"/>
                <w:sz w:val="12"/>
              </w:rPr>
              <w:t>(1)</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Legacy Aeglea assets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external research and development expense</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140,707 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68,045 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Internal research and development expenses: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Compensation</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internal research and development expenses</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research and development expense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162,790 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73,286 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61" w:type="dxa"/>
            <w:tcBorders/>
          </w:tcPr>
          <w:p>
            <w:pPr>
              <w:pStyle w:val="TableContents"/>
              <w:bidi w:val="0"/>
              <w:spacing w:before="0" w:after="283"/>
              <w:jc w:val="left"/>
              <w:rPr>
                <w:sz w:val="4"/>
                <w:szCs w:val="4"/>
              </w:rPr>
            </w:pPr>
            <w:r>
              <w:rPr>
                <w:sz w:val="4"/>
                <w:szCs w:val="4"/>
              </w:rPr>
            </w:r>
          </w:p>
        </w:tc>
      </w:tr>
      <w:tr>
        <w:trPr/>
        <w:tc>
          <w:tcPr>
            <w:tcW w:w="3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24"/>
            <w:vMerge w:val="restart"/>
            <w:tcBorders/>
            <w:tcMar>
              <w:top w:w="0" w:type="dxa"/>
              <w:left w:w="0" w:type="dxa"/>
              <w:bottom w:w="0" w:type="dxa"/>
              <w:right w:w="0" w:type="dxa"/>
            </w:tcMar>
            <w:vAlign w:val="center"/>
          </w:tcPr>
          <w:p>
            <w:pPr>
              <w:pStyle w:val="TableContents"/>
              <w:bidi w:val="0"/>
              <w:spacing w:lineRule="auto" w:line="273" w:before="0" w:after="0"/>
              <w:jc w:val="both"/>
              <w:rPr/>
            </w:pPr>
            <w:r>
              <w:rPr>
                <w:rFonts w:ascii="Arial;sans-serif" w:hAnsi="Arial;sans-serif"/>
                <w:b w:val="false"/>
                <w:color w:val="000000"/>
                <w:sz w:val="12"/>
              </w:rPr>
              <w:t xml:space="preserve">(1) </w:t>
            </w:r>
            <w:r>
              <w:rPr>
                <w:rFonts w:ascii="Arial;sans-serif" w:hAnsi="Arial;sans-serif"/>
                <w:b w:val="false"/>
                <w:color w:val="000000"/>
                <w:sz w:val="18"/>
              </w:rPr>
              <w:t xml:space="preserve">For the years ended December 31, 2024 and 2023, $14.5 million and $11.4 million was recognized as stock compensation expense related to the Parapyre Option Obligation, respectively. </w:t>
            </w:r>
          </w:p>
          <w:p>
            <w:pPr>
              <w:pStyle w:val="TableContents"/>
              <w:bidi w:val="0"/>
              <w:spacing w:before="0" w:after="0"/>
              <w:jc w:val="both"/>
              <w:rPr/>
            </w:pPr>
            <w:r>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24"/>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External research and development expenses include costs associated with third parties contracted to conduct research and development activities on behalf of the Company, including through Paragon, CROs, CMOs, and third-party laboratories. For the year ended December 31, 2024 and 2023, external research and development costs accounted for $140.7 million and $72.7 million, respectively. The increase was primarily due to increased costs associated with our IBD pipeline candidates, including preclinical and manufacturing activities coupled with intellectual property license fees, and stock compensation expense related to the Parapyre Option Obligation, partially offset by decreased costs related to the Company's legacy rare disease pipeline.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Internal research and development expenses include compensation and related costs associated with our research and development employees, as well as costs associated with the Company's on-premises research laboratory. For the year ended December 31, 2024 and 2023, internal research and development costs accounted for $22.1 million and $16.8 million, respectively. The increase was primarily driven by an increase in research and development headcount, partially offset by a decrease in costs associated with our on-premises research laboratory that was decommissioned, including the elimination of related internal roles, in the first half of 2023.</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General and Administrative Expenses. General and administrative expenses increased by $5.8 million, or 15%, to $45.8 million for the year ended December 31, 2024, from $39.9 million for the year ended December 31, 2023. The increase was primarily due to an increase in stock-based compensation expense, inclusive of acceleration expense related to legacy Aeglea officers and directors, partially offset by reduction in compensation costs primarily associated with lower legacy severance costs, and reduction in lease termination costs that were incurred in the prior year.</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Acquired In-process Research and Development Expenses. Acquired IPR&amp;D expenses were $130.2 million for the year ended December 31, 2023, as the acquisition of Pre-Merger Spyre was determined by management to be an asset acquisition, in accordance with U.S. GAAP as the product candidates were determined to have no alternative future use. There was no similar expense during the year ended December 31,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Gain on Sale of In-Process Research and Development Asset. Gain on sale of in-process research and development asset during the year ended December 31, 2023 was driven by the sale of pegzilarginase to Immedica. There was no similar gain or loss during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Income. Interest income was $21.3 million and $6.1 million for the twelve months ended December 31, 2024 and 2023, respectively. The increase was primarily due to higher investment balances.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Change in Fair Value of Forward Contract Liability. Non-cash expenses associated with the change in fair value of the forward contract liability were $83.5 million for the year ended December 31, 2023. This expense was due to the change in fair value of the underlying Series A Preferred Stock between June 22, 2023 and the forward contract's settlement on July 7, 2023. There was no similar expense during the year ended December 31,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Other expense, net. Other expense, net for the year ended December 31, 2024 increased by $1.6 million versus the year ended December 31, 2023, primarily driven by changes in the fair value of the CVR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are a clinical stage biotechnology company with a limited operating history, and due to our significant research and development expenditures, we have generated operating losses since our inception and have not generated any revenue from the sale of any products. There can be no assurance that profitable operations will ever be achieved, and, if achieved, whether profitability can be sustained on a continuing basis.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our inception and through December 31, 2025, we have funded our operations by raising an aggregate of approximately $1.6 billion of gross proceeds from the sale and issuance of convertible preferred stock and common stock, pre-funded warrants, the collection of grant proceeds, and the licensing of our product rights for commercialization of pegzilarginase in Europe and certain countries in the Middle East. As of December 31, 2025, we had an accumulated deficit of $1.1 billion.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use of cash is to fund the development of our product candidates and advance our pipeline. This includes both the research and development costs and the general and administrative expenses required to support those operations. We have incurred significant operating losses since our inception and we anticipate such losses, in absolute dollar terms, to increase as we continue clinical development of our product candidates, prepare for the potential commercialization of our product candidates, and expand our development efforts in our pipeline of nonclinical candidates. Based on current operating plans, we have sufficient resources to fund operations for at least one year from the issuance date of the financial statements included in this Annual Report with existing cash, cash equivalents, and marketable securities. We will need to secure additional financing in the future to fund additional research and development, and before a commercial drug can be produced, marketed and sold. If we are unable to obtain additional financing or generate license or product revenue, the lack of liquidity could have a material adverse effect on us.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 sources of liquidity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2023, we sold 721,452 shares of convertible Series A preferred stock at $291.08 per share in a private placement offering for net proceeds of $197.3 million after deducting approximately $12.7 million of placement agent and other offering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2023, we sold 6,000,000 shares of our common stock at an offering price of $15.00 and 150,000 shares of convertible Series B preferred stock at $600.00 per share for net proceeds of $169.1 million after deducting approximately $10.9 million of placement agent and other offering expenses.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2024, we completed a private placement of 121,625 shares of Series B Preferred Stock at $1,480 per share resulting in net proceeds of approximately $168.9 million after deducting approximately $11.2 million of placement agent and other offering costs.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2024, we sold 8,366,250 shares of our common stock in an underwritten public offering, inclusive of 1,091,250 shares pursuant to the full exercise of an over-allotment option, under our shelf registration statement on Form S-3 at a price per share of $27.50, resulting in net proceeds of $215.9 million after deducting approximately $14.2 million of underwriting discounts and other offering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2024, we sold an aggregate of 777,432 shares of common stock under an at-the-market offering program at an average price per share of $26.935 resulting in net proceeds of approximately $20.5 million after deducting approximately $0.4 million of sales agent commissions and other offering costs.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October 2025, we sold 17,094,594 shares of our common stock in an underwritten public offering, inclusive of 2,229,729 shares pursuant to the full exercise of the underwriters' over-allotment option, under our shelf registration statement on Form S-3 at a price per share of $18.50, resulting in net proceeds of $296.4 million after deducting approximately $19.9 million of underwriting discounts and other offering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and twelve months ending December 31, 2025, we sold an aggregate of 445,668 shares of common stock under an at-the-market offering program at an average price per share of $33.772 resulting in net proceeds of $14.8 million, after deducting $0.3 million of sales agent commissions and other offering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cash flows for the periods indicated (in thousands):</w:t>
      </w:r>
    </w:p>
    <w:tbl>
      <w:tblPr>
        <w:tblW w:w="9128" w:type="dxa"/>
        <w:jc w:val="center"/>
        <w:tblInd w:w="0" w:type="dxa"/>
        <w:tblLayout w:type="fixed"/>
        <w:tblCellMar>
          <w:top w:w="28" w:type="dxa"/>
          <w:left w:w="28" w:type="dxa"/>
          <w:bottom w:w="28" w:type="dxa"/>
          <w:right w:w="28" w:type="dxa"/>
        </w:tblCellMar>
      </w:tblPr>
      <w:tblGrid>
        <w:gridCol w:w="2274"/>
        <w:gridCol w:w="2002"/>
        <w:gridCol w:w="2008"/>
        <w:gridCol w:w="211"/>
        <w:gridCol w:w="916"/>
        <w:gridCol w:w="109"/>
        <w:gridCol w:w="109"/>
        <w:gridCol w:w="109"/>
        <w:gridCol w:w="109"/>
        <w:gridCol w:w="211"/>
        <w:gridCol w:w="916"/>
        <w:gridCol w:w="154"/>
      </w:tblGrid>
      <w:tr>
        <w:trPr/>
        <w:tc>
          <w:tcPr>
            <w:tcW w:w="2274"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20"/>
              </w:rPr>
              <w:t>Year Ended December 31,</w:t>
            </w:r>
            <w:r>
              <w:rPr>
                <w:color w:val="000000"/>
              </w:rPr>
              <w:t xml:space="preserve"> </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and cash equivalents (used in) provided by:</w:t>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309,025 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410,906 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73"/>
              <w:jc w:val="left"/>
              <w:rPr>
                <w:rFonts w:ascii="Arial;sans-serif" w:hAnsi="Arial;sans-serif"/>
                <w:b w:val="false"/>
                <w:color w:val="000000"/>
                <w:sz w:val="20"/>
              </w:rPr>
            </w:pPr>
            <w:r>
              <w:rPr>
                <w:rFonts w:ascii="Arial;sans-serif" w:hAnsi="Arial;sans-serif"/>
                <w:b w:val="false"/>
                <w:color w:val="000000"/>
                <w:sz w:val="20"/>
              </w:rPr>
              <w:t>Effect of exchange rate on cash, cash equivalents, and restricted cash</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(99,792)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 xml:space="preserve">Cash Used in Operating Activities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year ended December 31, 2025 was $169.3 million and reflected a net loss of $155.2 million adjusted for a $10.0 million non-operating gain on sale of in-process research and development, a $29.8 million decrease in the fair value of the CVR liability, $8.1 million in net accretion of discount on marketable securities and a $5.9 million change in net operating assets and liabilities driven primarily by timing of payments to vendors, partially offset by share-based compensation expense of $37.6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year ended December 31, 2024 was $157.4 million and reflected a net loss of $208.0 million. Our net loss coupled with $11.4 million in net accretion of discount on marketable securities and a $4.5 million net change in operating assets and liabilities and was partially offset by non-cash expenses, including $44.8 million in stock-based compensation and $20.4 million change in fair value of CVR liability. The net change in operating assets and liabilities was primarily driven by timing of payments to vendors.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Cash (Used in) Provided by Investing Activities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investing activities for the year ended December 31, 2025 was $143.5 million and primarily consisted of $522.2 million in purchases of marketable securities, $7.0 million in proceeds from the sale of in-process research &amp; development asset partially offset by $371.7 million in maturities and sales of marketable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investing activities for the year ended December 31, 2024 was $353.3 million and primarily consisted of $599.3 million in purchases of marketable securities, partially offset by $246.0 million in maturities and sales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Cash Provided by Financing Activities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year ended December 31, 2025 was $309.0 million, which primarily consisted of the net proceeds of $296.4 million and $14.8 million from the issuance common stock in the October 2025 follow-on offering and the December 2025 at-the-market offering program, respectively, $3.3 million proceeds from stock option exercises and sales of common stock under our Employee Stock Purchase Plan, partially offset by a $5.3 million payment to CVR 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year ended December 31, 2024 was $410.9 million, which primarily consisted of the net proceeds from the issuance of the Series B Preferred Stock in the March 2024 PIPE of $168.9 million, $215.9 million and $20.5 million in net proceeds from the issuance of common stock in connection with the November 2024 Offering and the at-the-market offering program, respectively, and $7.5 million from proceeds from stock option exercises and sales of common stock under our 2016 Employee Stock Purchase Plan and the exercise of pre-funded warrants partially offset by a $1.4 million payment to CVR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Contractual Obligations and Other Commitments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Effective June 30, 2023, we abandoned our leased corporate headquarters and laboratory space located in Austin, Texas. As a result, we recognized an impairment loss related to the operating right-of-use asset of $0.9 million. On August 7, 2023, we terminated our building lease in Austin, Texas. In exchange for releasing us of all further obligations under the lease, we paid the lessor a $2.0 million termination fee.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have entered into agreements in the normal course of business with CROs for clinical trials and CMOs, and with vendors for nonclinical research studies and other services and products for operating purposes. These contractual obligations are cancelable at any time by us, generally upon 30 to 60 days’ prior written notice to the vendor.</w:t>
      </w: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Contingent contractual obligations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Through the Asset Acquisition, we received the Option to license certain intellectual property rights related to certain research programs. The exercise of the Option allows for us to enter into an exclusive license agreement with Paragon for the respective research program. Thus far we have exercised the Option and entered into license agreements with respect to SPY001, SPY002, SPY072 and SPY003. Under the terms of each License Agreement, we are obligated to pay Paragon up to $22.0 million based on specific development, regulatory and clinical milestones for the first product under each agreement. As of December 31, 2025, we have incurred a total of $18.0 million of milestone fees out of a total maximum of $66.0 million in potential milestone fees across all License Agreements. As of December 31, 2025, no milestone fees remain outstanding and payable. With respect to the SPY002 License Agreement only, on a product by product basis, we are obligated to pay sublicensing fees of up to approximately $20.0 million upon the achievement of mostly commercial milestones. As of December 31, 2025, we have incurred $2.6 million of sublicensing fees of which none is outstanding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Our primary exposure to market risk is interest rate sensitivity, which is affected by changes in the general level of United States interest rates, particularly because our investments are in marketable securities. Our marketable securities are subject to interest rate risk and could fall in value if market interest rates increase. However, we believe that our exposure to interest rate risk is not significant as the majority of our investments are short-term in duration and have a low risk profile. A hypothetical 10% change in interest rates is not expected to have a material effect on the total market value of our investment portfolio. We have the ability to hold our marketable securities until maturity, and therefore, we would not expect our operating results or cash flows to be materially impacted by a change in market interest rates on our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we held $756.5 million in cash, cash equivalents, marketable securities, and restricted cash, predominately all of which was denominated in U.S. dollars, and consisted primarily of investments in money market funds, commercial paper, U.S. government obligations, and corporate bonds.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also exposed to market risk related to changes in foreign currency exchange rates as a result of our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For the year ended December 31, 2025, a majority of our expenditures were denominated in U.S. dollars. A hypothetical 10% change in foreign exchange rates during any of the periods presented would not have had a material impact on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INDEX TO CONSOLIDATED FINANCIAL STATEMENTS</w:t>
      </w:r>
    </w:p>
    <w:tbl>
      <w:tblPr>
        <w:tblW w:w="9090" w:type="dxa"/>
        <w:jc w:val="left"/>
        <w:tblInd w:w="0" w:type="dxa"/>
        <w:tblLayout w:type="fixed"/>
        <w:tblCellMar>
          <w:top w:w="28" w:type="dxa"/>
          <w:left w:w="28" w:type="dxa"/>
          <w:bottom w:w="28" w:type="dxa"/>
          <w:right w:w="28" w:type="dxa"/>
        </w:tblCellMar>
      </w:tblPr>
      <w:tblGrid>
        <w:gridCol w:w="3095"/>
        <w:gridCol w:w="2724"/>
        <w:gridCol w:w="2730"/>
        <w:gridCol w:w="158"/>
        <w:gridCol w:w="158"/>
        <w:gridCol w:w="225"/>
      </w:tblGrid>
      <w:tr>
        <w:trPr/>
        <w:tc>
          <w:tcPr>
            <w:tcW w:w="3095"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Page</w:t>
            </w:r>
          </w:p>
        </w:tc>
      </w:tr>
      <w:tr>
        <w:trPr/>
        <w:tc>
          <w:tcPr>
            <w:tcW w:w="854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4239289f41804bf78920a5c992d63e00_79">
              <w:r>
                <w:rPr>
                  <w:rStyle w:val="InternetLink"/>
                  <w:rFonts w:ascii="Arial;sans-serif" w:hAnsi="Arial;sans-serif"/>
                  <w:b w:val="false"/>
                  <w:strike w:val="false"/>
                  <w:dstrike w:val="false"/>
                  <w:color w:val="000000"/>
                  <w:sz w:val="20"/>
                  <w:u w:val="none"/>
                  <w:effect w:val="none"/>
                </w:rPr>
                <w:t>Audited Consolidated Financial Statements</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82">
              <w:r>
                <w:rPr>
                  <w:rStyle w:val="InternetLink"/>
                  <w:rFonts w:ascii="Arial;sans-serif" w:hAnsi="Arial;sans-serif"/>
                  <w:b w:val="false"/>
                  <w:color w:val="0000FF"/>
                  <w:sz w:val="20"/>
                  <w:u w:val="single"/>
                </w:rPr>
                <w:t xml:space="preserve">Report of Independent Registered Public Accounting Firm (ID </w:t>
              </w:r>
            </w:hyperlink>
            <w:r>
              <w:rPr>
                <w:rFonts w:ascii="Arial;sans-serif" w:hAnsi="Arial;sans-serif"/>
                <w:b w:val="false"/>
                <w:color w:val="0018FF"/>
                <w:sz w:val="20"/>
                <w:u w:val="single"/>
              </w:rPr>
              <w:t>185</w:t>
            </w:r>
            <w:hyperlink w:anchor="i4239289f41804bf78920a5c992d63e00_82">
              <w:r>
                <w:rPr>
                  <w:rStyle w:val="InternetLink"/>
                  <w:color w:val="0000FF"/>
                  <w:u w:val="single"/>
                </w:rPr>
                <w:t xml:space="preserve"> </w:t>
              </w:r>
            </w:hyperlink>
            <w:hyperlink w:anchor="i4239289f41804bf78920a5c992d63e00_82">
              <w:r>
                <w:rPr>
                  <w:rStyle w:val="InternetLink"/>
                  <w:rFonts w:ascii="Arial;sans-serif" w:hAnsi="Arial;sans-serif"/>
                  <w:b w:val="false"/>
                  <w:color w:val="0000FF"/>
                  <w:sz w:val="20"/>
                  <w:u w:val="single"/>
                </w:rPr>
                <w:t>KPMG LLP)</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82">
              <w:r>
                <w:rPr>
                  <w:rStyle w:val="InternetLink"/>
                  <w:rFonts w:ascii="Arial;sans-serif" w:hAnsi="Arial;sans-serif"/>
                  <w:b w:val="false"/>
                  <w:strike w:val="false"/>
                  <w:dstrike w:val="false"/>
                  <w:color w:val="000000"/>
                  <w:sz w:val="20"/>
                  <w:u w:val="none"/>
                  <w:effect w:val="none"/>
                </w:rPr>
                <w:t>110</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099511628659">
              <w:r>
                <w:rPr>
                  <w:rStyle w:val="InternetLink"/>
                  <w:rFonts w:ascii="Arial;sans-serif" w:hAnsi="Arial;sans-serif"/>
                  <w:b w:val="false"/>
                  <w:color w:val="0000FF"/>
                  <w:sz w:val="20"/>
                  <w:u w:val="single"/>
                </w:rPr>
                <w:t>Report of Independent Registered Public Accounting Firm (ID 238 Pricewaterhouse Coopers LLC)</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1099511628659">
              <w:r>
                <w:rPr>
                  <w:rStyle w:val="InternetLink"/>
                  <w:rFonts w:ascii="Arial;sans-serif" w:hAnsi="Arial;sans-serif"/>
                  <w:b w:val="false"/>
                  <w:strike w:val="false"/>
                  <w:dstrike w:val="false"/>
                  <w:color w:val="000000"/>
                  <w:sz w:val="20"/>
                  <w:u w:val="none"/>
                  <w:effect w:val="none"/>
                </w:rPr>
                <w:t>112</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85">
              <w:r>
                <w:rPr>
                  <w:rStyle w:val="InternetLink"/>
                  <w:rFonts w:ascii="Arial;sans-serif" w:hAnsi="Arial;sans-serif"/>
                  <w:b w:val="false"/>
                  <w:color w:val="0000FF"/>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85">
              <w:r>
                <w:rPr>
                  <w:rStyle w:val="InternetLink"/>
                  <w:rFonts w:ascii="Arial;sans-serif" w:hAnsi="Arial;sans-serif"/>
                  <w:b w:val="false"/>
                  <w:strike w:val="false"/>
                  <w:dstrike w:val="false"/>
                  <w:color w:val="000000"/>
                  <w:sz w:val="20"/>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88">
              <w:r>
                <w:rPr>
                  <w:rStyle w:val="InternetLink"/>
                  <w:rFonts w:ascii="Arial;sans-serif" w:hAnsi="Arial;sans-serif"/>
                  <w:b w:val="false"/>
                  <w:color w:val="0000FF"/>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88">
              <w:r>
                <w:rPr>
                  <w:rStyle w:val="InternetLink"/>
                  <w:rFonts w:ascii="Arial;sans-serif" w:hAnsi="Arial;sans-serif"/>
                  <w:b w:val="false"/>
                  <w:strike w:val="false"/>
                  <w:dstrike w:val="false"/>
                  <w:color w:val="000000"/>
                  <w:sz w:val="20"/>
                  <w:u w:val="none"/>
                  <w:effect w:val="none"/>
                </w:rPr>
                <w:t>114</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91">
              <w:r>
                <w:rPr>
                  <w:rStyle w:val="InternetLink"/>
                  <w:rFonts w:ascii="Arial;sans-serif" w:hAnsi="Arial;sans-serif"/>
                  <w:b w:val="false"/>
                  <w:color w:val="0000FF"/>
                  <w:sz w:val="20"/>
                  <w:u w:val="single"/>
                </w:rPr>
                <w:t>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91">
              <w:r>
                <w:rPr>
                  <w:rStyle w:val="InternetLink"/>
                  <w:rFonts w:ascii="Arial;sans-serif" w:hAnsi="Arial;sans-serif"/>
                  <w:b w:val="false"/>
                  <w:strike w:val="false"/>
                  <w:dstrike w:val="false"/>
                  <w:color w:val="000000"/>
                  <w:sz w:val="20"/>
                  <w:u w:val="none"/>
                  <w:effect w:val="none"/>
                </w:rPr>
                <w:t>115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94">
              <w:r>
                <w:rPr>
                  <w:rStyle w:val="InternetLink"/>
                  <w:rFonts w:ascii="Arial;sans-serif" w:hAnsi="Arial;sans-serif"/>
                  <w:b w:val="false"/>
                  <w:color w:val="0000FF"/>
                  <w:sz w:val="20"/>
                  <w:u w:val="single"/>
                </w:rPr>
                <w:t>Consolidated Statements of Changes in Convertible Preferred Stock and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94">
              <w:r>
                <w:rPr>
                  <w:rStyle w:val="InternetLink"/>
                  <w:rFonts w:ascii="Arial;sans-serif" w:hAnsi="Arial;sans-serif"/>
                  <w:b w:val="false"/>
                  <w:strike w:val="false"/>
                  <w:dstrike w:val="false"/>
                  <w:color w:val="000000"/>
                  <w:sz w:val="20"/>
                  <w:u w:val="none"/>
                  <w:effect w:val="none"/>
                </w:rPr>
                <w:t>116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97">
              <w:r>
                <w:rPr>
                  <w:rStyle w:val="InternetLink"/>
                  <w:rFonts w:ascii="Arial;sans-serif" w:hAnsi="Arial;sans-serif"/>
                  <w:b w:val="false"/>
                  <w:color w:val="0000FF"/>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97">
              <w:r>
                <w:rPr>
                  <w:rStyle w:val="InternetLink"/>
                  <w:rFonts w:ascii="Arial;sans-serif" w:hAnsi="Arial;sans-serif"/>
                  <w:b w:val="false"/>
                  <w:strike w:val="false"/>
                  <w:dstrike w:val="false"/>
                  <w:color w:val="000000"/>
                  <w:sz w:val="20"/>
                  <w:u w:val="none"/>
                  <w:effect w:val="none"/>
                </w:rPr>
                <w:t>118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100">
              <w:r>
                <w:rPr>
                  <w:rStyle w:val="InternetLink"/>
                  <w:rFonts w:ascii="Arial;sans-serif" w:hAnsi="Arial;sans-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4239289f41804bf78920a5c992d63e00_100">
              <w:r>
                <w:rPr>
                  <w:rStyle w:val="InternetLink"/>
                  <w:rFonts w:ascii="Arial;sans-serif" w:hAnsi="Arial;sans-serif"/>
                  <w:b w:val="false"/>
                  <w:strike w:val="false"/>
                  <w:dstrike w:val="false"/>
                  <w:color w:val="000000"/>
                  <w:sz w:val="20"/>
                  <w:u w:val="none"/>
                  <w:effect w:val="none"/>
                </w:rPr>
                <w:t>120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Report of Independent Registered Public Accounting Firm</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To the Stockholders and Board of Directors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Spyre Therapeutics, Inc.:</w:t>
      </w:r>
    </w:p>
    <w:p>
      <w:pPr>
        <w:pStyle w:val="TextBody"/>
        <w:bidi w:val="0"/>
        <w:spacing w:lineRule="auto" w:line="288" w:before="220" w:after="283"/>
        <w:jc w:val="both"/>
        <w:rPr>
          <w:rFonts w:ascii="Arial;sans-serif" w:hAnsi="Arial;sans-serif"/>
          <w:b w:val="false"/>
          <w:i/>
          <w:color w:val="000000"/>
          <w:sz w:val="20"/>
        </w:rPr>
      </w:pPr>
      <w:r>
        <w:rPr>
          <w:rFonts w:ascii="Arial;sans-serif" w:hAnsi="Arial;sans-serif"/>
          <w:b w:val="false"/>
          <w:i/>
          <w:color w:val="000000"/>
          <w:sz w:val="20"/>
        </w:rPr>
        <w:t>Opinions on the Consolidated Financial Statements and Internal Control Over Financial Reporting</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We have audited the accompanying consolidated balance sheet of Spyre Therapeutics, Inc. and subsidiaries (the Company) as of December 31, 2025, the related consolidated statements of operations, comprehensive loss, changes in convertible preferred stock and stockholders’ equity, and cash flows for the year then ended,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In our opinion, the consolidated financial statements referred to above present fairly, in all material respects, the financial position of the Company as of December 31, 2025, and the results of its operations and its cash flows for the year then ended,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220" w:after="283"/>
        <w:jc w:val="both"/>
        <w:rPr>
          <w:rFonts w:ascii="Arial;sans-serif" w:hAnsi="Arial;sans-serif"/>
          <w:b w:val="false"/>
          <w:i/>
          <w:color w:val="000000"/>
          <w:sz w:val="20"/>
        </w:rPr>
      </w:pPr>
      <w:r>
        <w:rPr>
          <w:rFonts w:ascii="Arial;sans-serif" w:hAnsi="Arial;sans-serif"/>
          <w:b w:val="false"/>
          <w:i/>
          <w:color w:val="000000"/>
          <w:sz w:val="20"/>
        </w:rPr>
        <w:t>Basis for Opinions</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20" w:after="283"/>
        <w:jc w:val="both"/>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20" w:after="283"/>
        <w:jc w:val="both"/>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lineRule="auto" w:line="288" w:before="220" w:after="283"/>
        <w:ind w:left="0" w:right="0" w:firstLine="540"/>
        <w:jc w:val="both"/>
        <w:rPr>
          <w:rFonts w:ascii="Arial;sans-serif" w:hAnsi="Arial;sans-serif"/>
          <w:b w:val="false"/>
          <w:i/>
          <w:color w:val="000000"/>
          <w:sz w:val="20"/>
        </w:rPr>
      </w:pPr>
      <w:r>
        <w:rPr>
          <w:rFonts w:ascii="Arial;sans-serif" w:hAnsi="Arial;sans-serif"/>
          <w:b w:val="false"/>
          <w:i/>
          <w:color w:val="000000"/>
          <w:sz w:val="20"/>
        </w:rPr>
        <w:t>Evaluation of the fair value of the contingent value right liability</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As described in Notes 1, 2, and 3 to the consolidated financial statements, in connection with the asset acquisition of Pre-Merger Spyre, a non-transferable contingent value right (CVR) was distributed to certain legacy stockholders of record as of the close of business on July 3, 2023. Holders of the CVR are entitled to receive certain cash payments from proceeds received by the Company prior to the third anniversary of the CVR Agreement, if any, related to the disposition or monetization of the Company’s legacy assets during the one-year period following the closing of the Asset Acquisition. Management determined that certain contingent payments under the CVR Agreement qualified as derivatives and were recorded as a liability on the balance sheet. For derivative financial instruments accounted for as liabilities, the derivative instrument is initially recorded by management at its estimated fair value and is re-valued at each reporting date with changes recorded as other income (expense). The fair value of the CVR liability was determined using the probability weighted discounted cash flow method to estimate future cash flows associated with the sale of the legacy assets. As discussed in Note 3 to the consolidated financial statements, the CVR liability as of December 31, 2025 was $26.7 million.</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We identified the evaluation of the fair value of the CVR liability as a critical audit matter. Subjective auditor judgment was required to evaluate certain key assumptions that are based on the outcome of uncertain future events, specifically the estimated probabilities of regulatory success and estimated cash flow dates assumptions.</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CVR liability valuation process, including controls over the estimated probabilities of regulatory success and estimated cash flow dates key assumptions utilized to determine the fair value of the CVR liability. We tested the completeness and accuracy of the underlying data for these key assumptions used in the probability weighted discounted cash flow method. We evaluated the reasonableness of these key assumptions by comparing them to relevant publicly available market and industry data and assessing probable outcomes, including likelihood of occurrence and impact on the fair value of the CVR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served as the Company’s auditor since 2025.</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February 19,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Report of Independent Registered Public Accounting Firm</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To the Board of Directors and Stockholders of Spyre Therapeutics, Inc.</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 xml:space="preserve">Opinion on the Financial Statements </w:t>
      </w:r>
    </w:p>
    <w:p>
      <w:pPr>
        <w:pStyle w:val="TextBody"/>
        <w:bidi w:val="0"/>
        <w:spacing w:lineRule="auto" w:line="288" w:before="220" w:after="283"/>
        <w:jc w:val="both"/>
        <w:rPr/>
      </w:pPr>
      <w:r>
        <w:rPr>
          <w:rFonts w:ascii="Arial;sans-serif" w:hAnsi="Arial;sans-serif"/>
          <w:b w:val="false"/>
          <w:color w:val="000000"/>
          <w:sz w:val="20"/>
        </w:rPr>
        <w:t>We have audited the consolidated balance sheet of Spyre Therapeutics, Inc. and its subsidiaries (the “Company”) as of December 31, 2024, and the related consolidated statements of operations, of comprehensive loss, of changes in convertible preferred stock and stockholders’ equity and cash flows</w:t>
      </w:r>
      <w:r>
        <w:rPr>
          <w:color w:val="FF0000"/>
        </w:rPr>
        <w:t xml:space="preserve"> </w:t>
      </w:r>
      <w:r>
        <w:rPr>
          <w:rFonts w:ascii="Arial;sans-serif" w:hAnsi="Arial;sans-serif"/>
          <w:b w:val="false"/>
          <w:color w:val="000000"/>
          <w:sz w:val="20"/>
        </w:rPr>
        <w:t>for each of the two years in the period ended December 31, 2024,</w:t>
      </w:r>
      <w:r>
        <w:rPr>
          <w:color w:val="FF0000"/>
        </w:rPr>
        <w:t xml:space="preserve"> </w:t>
      </w:r>
      <w:r>
        <w:rPr>
          <w:rFonts w:ascii="Arial;sans-serif" w:hAnsi="Arial;sans-serif"/>
          <w:b w:val="false"/>
          <w:color w:val="000000"/>
          <w:sz w:val="20"/>
        </w:rPr>
        <w:t>including the related notes as of and for each of the two years in the period ended December 31, 2024 (collectively referred to as the “consolidated financial statements”). In our opinion, the consolidated financial statements present fairly, in all material respects, the financial position of the Company as of December 31, 2024 , and the results of its operations and its</w:t>
      </w:r>
      <w:r>
        <w:rPr>
          <w:color w:val="FF0000"/>
        </w:rPr>
        <w:t xml:space="preserve"> </w:t>
      </w:r>
      <w:r>
        <w:rPr>
          <w:rFonts w:ascii="Arial;sans-serif" w:hAnsi="Arial;sans-serif"/>
          <w:b w:val="false"/>
          <w:color w:val="000000"/>
          <w:sz w:val="20"/>
        </w:rPr>
        <w:t xml:space="preserve">cash flows for each of the two years in the period ended December 31, 2024 in conformity with accounting principles generally accepted in the United States of America.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 xml:space="preserve">Basis for Opinion </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220" w:after="283"/>
        <w:jc w:val="both"/>
        <w:rPr>
          <w:rFonts w:ascii="Arial;sans-serif" w:hAnsi="Arial;sans-serif"/>
          <w:b w:val="false"/>
          <w:color w:val="000000"/>
          <w:sz w:val="20"/>
        </w:rPr>
      </w:pPr>
      <w:r>
        <w:rPr>
          <w:rFonts w:ascii="Arial;sans-serif" w:hAnsi="Arial;sans-serif"/>
          <w:b w:val="false"/>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February 27, 2025</w:t>
      </w:r>
    </w:p>
    <w:p>
      <w:pPr>
        <w:pStyle w:val="TextBody"/>
        <w:bidi w:val="0"/>
        <w:spacing w:before="60" w:after="283"/>
        <w:jc w:val="left"/>
        <w:rPr/>
      </w:pPr>
      <w:r>
        <w:rPr/>
      </w:r>
    </w:p>
    <w:p>
      <w:pPr>
        <w:pStyle w:val="TextBody"/>
        <w:bidi w:val="0"/>
        <w:spacing w:lineRule="auto" w:line="288" w:before="60" w:after="283"/>
        <w:jc w:val="left"/>
        <w:rPr/>
      </w:pPr>
      <w:r>
        <w:rPr>
          <w:rFonts w:ascii="Arial;sans-serif" w:hAnsi="Arial;sans-serif"/>
          <w:b w:val="false"/>
          <w:color w:val="000000"/>
          <w:sz w:val="20"/>
        </w:rPr>
        <w:t>We served as the Company's auditor from 2014</w:t>
      </w:r>
      <w:r>
        <w:rPr>
          <w:color w:val="FF0000"/>
        </w:rPr>
        <w:t xml:space="preserve"> </w:t>
      </w:r>
      <w:r>
        <w:rPr>
          <w:rFonts w:ascii="Arial;sans-serif" w:hAnsi="Arial;sans-serif"/>
          <w:b w:val="false"/>
          <w:color w:val="000000"/>
          <w:sz w:val="20"/>
        </w:rPr>
        <w:t>to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015"/>
        <w:gridCol w:w="2253"/>
        <w:gridCol w:w="2268"/>
        <w:gridCol w:w="211"/>
        <w:gridCol w:w="829"/>
        <w:gridCol w:w="109"/>
        <w:gridCol w:w="109"/>
        <w:gridCol w:w="109"/>
        <w:gridCol w:w="109"/>
        <w:gridCol w:w="211"/>
        <w:gridCol w:w="826"/>
        <w:gridCol w:w="156"/>
      </w:tblGrid>
      <w:tr>
        <w:trPr/>
        <w:tc>
          <w:tcPr>
            <w:tcW w:w="301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7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8"/>
              </w:rPr>
              <w:t>ASSETS</w:t>
            </w:r>
            <w:r>
              <w:rPr>
                <w:color w:val="000000"/>
              </w:rPr>
              <w:t xml:space="preserve"> </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670,812 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513,665 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608,474 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608,484 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8"/>
              </w:rPr>
              <w:t>LIABILITIES AND STOCKHOLDERS’ EQUITY</w:t>
            </w:r>
            <w:r>
              <w:rPr>
                <w:color w:val="000000"/>
              </w:rPr>
              <w:t xml:space="preserve"> </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CVR liability</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and other current liabilities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Related party accounts payable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54,060 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Non-current CVR liability</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36,620 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90,680 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8, Note 9)</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CONVERTIBLE PREFERRED STOCK AND STOCKHOLDERS’ EQUITY</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Series A non-voting convertible preferred stock, $0.0001 par value; 1,086,341 shares authorized and 346,045 shares issued and outstanding as of December 31, 2025 and December 31, 2024.</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146,425 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Series B non-voting convertible preferred stock, $0.0001 par value; 271,625 shares authorized and 16,667 shares issued and outstanding as of December 31, 2025 and December 31, 2024.</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Preferred stock, $0.0001 par value; 8,642,034 shares authorized and no shares issued and outstanding as of December 31, 2025 and December 31, 2024.</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Common stock, $0.0001 par value; 400,000,000 shares authorized as of December 31, 2025 and December 31, 2024; 78,189,811 shares and 60,257,023 shares issued and outstanding as of December 31, 2025 and December 31, 2024, respectively.</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1,686,167 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1,334,223 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(1,127,635)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(972,432)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TOTAL CONVERTIBLE PREFERRED STOCK AND STOCKHOLDERS’ EQUITY</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517,804 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TOTAL LIABILITIES, CONVERTIBLE PREFERRED STOCK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777,781 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608,484 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ind w:left="0" w:right="0" w:firstLine="720"/>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193"/>
        <w:gridCol w:w="1778"/>
        <w:gridCol w:w="1790"/>
        <w:gridCol w:w="211"/>
        <w:gridCol w:w="891"/>
        <w:gridCol w:w="109"/>
        <w:gridCol w:w="109"/>
        <w:gridCol w:w="109"/>
        <w:gridCol w:w="109"/>
        <w:gridCol w:w="211"/>
        <w:gridCol w:w="891"/>
        <w:gridCol w:w="109"/>
        <w:gridCol w:w="109"/>
        <w:gridCol w:w="109"/>
        <w:gridCol w:w="109"/>
        <w:gridCol w:w="211"/>
        <w:gridCol w:w="891"/>
        <w:gridCol w:w="109"/>
        <w:gridCol w:w="157"/>
      </w:tblGrid>
      <w:tr>
        <w:trPr/>
        <w:tc>
          <w:tcPr>
            <w:tcW w:w="219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Development fee and royalty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89,504 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General and administrative </w:t>
            </w:r>
            <w:r>
              <w:rPr>
                <w:rFonts w:ascii="Arial;sans-serif" w:hAnsi="Arial;sans-serif"/>
                <w:b w:val="false"/>
                <w:color w:val="000000"/>
                <w:sz w:val="13"/>
              </w:rPr>
              <w:t>(2)</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Gain on sale of in-process research and development asset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208,566 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(209,562)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fair value of forward contract liability</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other income (expense) </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(96,513)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Net loss per share, basic and diluted, Series A Preferred Stock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Weighted-average Series A non-voting convertible preferred stock outstanding, basic and diluted </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Net loss per share, basic and diluted, Series B Preferred Stock </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Series B non-voting convertible preferred stock outstanding, basic and diluted</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 common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common shares outstanding, basic and diluted</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64,056,442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47,027,638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6,897,065</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left"/>
        <w:rPr/>
      </w:pPr>
      <w:r>
        <w:rPr>
          <w:rFonts w:ascii="Arial;sans-serif" w:hAnsi="Arial;sans-serif"/>
          <w:b w:val="false"/>
          <w:color w:val="000000"/>
          <w:sz w:val="13"/>
        </w:rPr>
        <w:t>(1)</w:t>
      </w:r>
      <w:r>
        <w:rPr>
          <w:rFonts w:ascii="Arial;sans-serif" w:hAnsi="Arial;sans-serif"/>
          <w:b w:val="false"/>
          <w:color w:val="000000"/>
          <w:sz w:val="20"/>
        </w:rPr>
        <w:t>Includes $10.5 million, $40.1 million and $48.5 million in related party expenses for the years ended December 31, 2025, 2024 and 2023, respectively.</w:t>
      </w:r>
    </w:p>
    <w:p>
      <w:pPr>
        <w:pStyle w:val="TextBody"/>
        <w:bidi w:val="0"/>
        <w:spacing w:lineRule="auto" w:line="288" w:before="120" w:after="283"/>
        <w:ind w:left="0" w:right="0" w:firstLine="360"/>
        <w:jc w:val="left"/>
        <w:rPr/>
      </w:pPr>
      <w:r>
        <w:rPr>
          <w:rFonts w:ascii="Arial;sans-serif" w:hAnsi="Arial;sans-serif"/>
          <w:b w:val="false"/>
          <w:color w:val="000000"/>
          <w:sz w:val="13"/>
        </w:rPr>
        <w:t>(2)</w:t>
      </w:r>
      <w:r>
        <w:rPr>
          <w:rFonts w:ascii="Arial;sans-serif" w:hAnsi="Arial;sans-serif"/>
          <w:b w:val="false"/>
          <w:color w:val="000000"/>
          <w:sz w:val="20"/>
        </w:rPr>
        <w:t>Includes $1.0 million, $1.1 million and $0.1 million in related party expenses for the years ended December 31, 2025, 2024 and 2023, respectively.</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8592" w:type="dxa"/>
        <w:jc w:val="left"/>
        <w:tblInd w:w="0" w:type="dxa"/>
        <w:tblLayout w:type="fixed"/>
        <w:tblCellMar>
          <w:top w:w="28" w:type="dxa"/>
          <w:left w:w="28" w:type="dxa"/>
          <w:bottom w:w="28" w:type="dxa"/>
          <w:right w:w="28" w:type="dxa"/>
        </w:tblCellMar>
      </w:tblPr>
      <w:tblGrid>
        <w:gridCol w:w="1513"/>
        <w:gridCol w:w="1330"/>
        <w:gridCol w:w="1342"/>
        <w:gridCol w:w="211"/>
        <w:gridCol w:w="916"/>
        <w:gridCol w:w="109"/>
        <w:gridCol w:w="109"/>
        <w:gridCol w:w="109"/>
        <w:gridCol w:w="109"/>
        <w:gridCol w:w="211"/>
        <w:gridCol w:w="916"/>
        <w:gridCol w:w="109"/>
        <w:gridCol w:w="109"/>
        <w:gridCol w:w="109"/>
        <w:gridCol w:w="109"/>
        <w:gridCol w:w="211"/>
        <w:gridCol w:w="91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(338,790)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Unrealized gain (loss) on marketable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bookmarkStart w:id="10" w:name="ib57f21315c0f49ba8717eb1de0a9c64c_5-1-1-"/>
            <w:bookmarkEnd w:id="10"/>
            <w:r>
              <w:rPr>
                <w:rFonts w:ascii="Arial;sans-serif" w:hAnsi="Arial;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(154,514)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(208,140)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(338,440)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Changes in Convertible Preferred Stock and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4601" w:type="dxa"/>
        <w:jc w:val="center"/>
        <w:tblInd w:w="0" w:type="dxa"/>
        <w:tblLayout w:type="fixed"/>
        <w:tblCellMar>
          <w:top w:w="28" w:type="dxa"/>
          <w:left w:w="28" w:type="dxa"/>
          <w:bottom w:w="28" w:type="dxa"/>
          <w:right w:w="28" w:type="dxa"/>
        </w:tblCellMar>
      </w:tblPr>
      <w:tblGrid>
        <w:gridCol w:w="449"/>
        <w:gridCol w:w="263"/>
        <w:gridCol w:w="264"/>
        <w:gridCol w:w="109"/>
        <w:gridCol w:w="109"/>
        <w:gridCol w:w="109"/>
        <w:gridCol w:w="203"/>
        <w:gridCol w:w="203"/>
        <w:gridCol w:w="161"/>
        <w:gridCol w:w="109"/>
        <w:gridCol w:w="109"/>
        <w:gridCol w:w="109"/>
        <w:gridCol w:w="181"/>
        <w:gridCol w:w="571"/>
        <w:gridCol w:w="109"/>
        <w:gridCol w:w="109"/>
        <w:gridCol w:w="109"/>
        <w:gridCol w:w="109"/>
        <w:gridCol w:w="203"/>
        <w:gridCol w:w="203"/>
        <w:gridCol w:w="161"/>
        <w:gridCol w:w="109"/>
        <w:gridCol w:w="109"/>
        <w:gridCol w:w="109"/>
        <w:gridCol w:w="181"/>
        <w:gridCol w:w="646"/>
        <w:gridCol w:w="109"/>
        <w:gridCol w:w="109"/>
        <w:gridCol w:w="109"/>
        <w:gridCol w:w="109"/>
        <w:gridCol w:w="203"/>
        <w:gridCol w:w="203"/>
        <w:gridCol w:w="186"/>
        <w:gridCol w:w="109"/>
        <w:gridCol w:w="109"/>
        <w:gridCol w:w="109"/>
        <w:gridCol w:w="199"/>
        <w:gridCol w:w="447"/>
        <w:gridCol w:w="109"/>
        <w:gridCol w:w="109"/>
        <w:gridCol w:w="109"/>
        <w:gridCol w:w="109"/>
        <w:gridCol w:w="203"/>
        <w:gridCol w:w="203"/>
        <w:gridCol w:w="161"/>
        <w:gridCol w:w="109"/>
        <w:gridCol w:w="109"/>
        <w:gridCol w:w="109"/>
        <w:gridCol w:w="181"/>
        <w:gridCol w:w="301"/>
        <w:gridCol w:w="109"/>
        <w:gridCol w:w="109"/>
        <w:gridCol w:w="109"/>
        <w:gridCol w:w="109"/>
        <w:gridCol w:w="181"/>
        <w:gridCol w:w="646"/>
        <w:gridCol w:w="109"/>
        <w:gridCol w:w="109"/>
        <w:gridCol w:w="109"/>
        <w:gridCol w:w="109"/>
        <w:gridCol w:w="265"/>
        <w:gridCol w:w="551"/>
        <w:gridCol w:w="160"/>
        <w:gridCol w:w="327"/>
        <w:gridCol w:w="181"/>
        <w:gridCol w:w="646"/>
        <w:gridCol w:w="109"/>
        <w:gridCol w:w="327"/>
        <w:gridCol w:w="181"/>
        <w:gridCol w:w="646"/>
        <w:gridCol w:w="109"/>
        <w:gridCol w:w="109"/>
        <w:gridCol w:w="109"/>
        <w:gridCol w:w="109"/>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 xml:space="preserve">Series B </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Non-Voting</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Convertible Preferred Stock</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Series A</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Non-Voting</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2"/>
              </w:rPr>
            </w:pPr>
            <w:r>
              <w:rPr>
                <w:rFonts w:ascii="Arial;sans-serif" w:hAnsi="Arial;sans-serif"/>
                <w:b/>
                <w:color w:val="000000"/>
                <w:sz w:val="12"/>
              </w:rPr>
              <w:t xml:space="preserve">Series B </w:t>
              <w:br/>
              <w:t>Non-Voting 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Common</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2"/>
              </w:rPr>
            </w:pPr>
            <w:r>
              <w:rPr>
                <w:rFonts w:ascii="Arial;sans-serif" w:hAnsi="Arial;sans-serif"/>
                <w:b/>
                <w:color w:val="000000"/>
                <w:sz w:val="12"/>
              </w:rPr>
              <w:t>Additional</w:t>
            </w:r>
          </w:p>
          <w:p>
            <w:pPr>
              <w:pStyle w:val="TableContents"/>
              <w:bidi w:val="0"/>
              <w:spacing w:lineRule="auto" w:line="273" w:before="0" w:after="0"/>
              <w:jc w:val="center"/>
              <w:rPr>
                <w:rFonts w:ascii="Arial;sans-serif" w:hAnsi="Arial;sans-serif"/>
                <w:b/>
                <w:color w:val="000000"/>
                <w:sz w:val="12"/>
              </w:rPr>
            </w:pPr>
            <w:r>
              <w:rPr>
                <w:rFonts w:ascii="Arial;sans-serif" w:hAnsi="Arial;sans-serif"/>
                <w:b/>
                <w:color w:val="000000"/>
                <w:sz w:val="12"/>
              </w:rPr>
              <w:t>Paid-in</w:t>
            </w:r>
          </w:p>
          <w:p>
            <w:pPr>
              <w:pStyle w:val="TableContents"/>
              <w:bidi w:val="0"/>
              <w:spacing w:lineRule="auto" w:line="273" w:before="0" w:after="0"/>
              <w:jc w:val="center"/>
              <w:rPr>
                <w:rFonts w:ascii="Arial;sans-serif" w:hAnsi="Arial;sans-serif"/>
                <w:b/>
                <w:color w:val="000000"/>
                <w:sz w:val="12"/>
              </w:rPr>
            </w:pPr>
            <w:r>
              <w:rPr>
                <w:rFonts w:ascii="Arial;sans-serif" w:hAnsi="Arial;sans-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Accumulated</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Other</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Comprehensive</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Accumulated</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Total</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Stockholders’</w:t>
            </w:r>
          </w:p>
          <w:p>
            <w:pPr>
              <w:pStyle w:val="TableContents"/>
              <w:bidi w:val="0"/>
              <w:spacing w:lineRule="auto" w:line="276" w:before="0" w:after="0"/>
              <w:jc w:val="center"/>
              <w:rPr>
                <w:rFonts w:ascii="Arial;sans-serif" w:hAnsi="Arial;sans-serif"/>
                <w:b/>
                <w:color w:val="000000"/>
                <w:sz w:val="12"/>
              </w:rPr>
            </w:pPr>
            <w:r>
              <w:rPr>
                <w:rFonts w:ascii="Arial;sans-serif" w:hAnsi="Arial;sans-serif"/>
                <w:b/>
                <w:color w:val="000000"/>
                <w:sz w:val="12"/>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475,971 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(425,624)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50,305 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Series A non-voting convertible preferred stock in connection with private placement, net of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197,364 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197,364 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Series A non-voting convertible preferred stock in connection with the asset acquisition of Spyre and settlement of related forward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Conversion of Series A non-voting convertible preferred stock into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25,972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Series B non-voting convertible preferred stock in connection with private placement, net of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private placement, net of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the asset acquisition of Spyre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exercise of pre-funded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exercise of stock options and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CVR distribution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Parapyre Option Obligation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(338,790)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763,191 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(764,414)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184,016 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Series B non-voting convertible preferred stock in connection with private placement, net of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168,850 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Stockholder approval of the issuance of common stock upon conversion of Series B convertible non-voting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Conversion of Series B non-voting convertible preferred stock into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(244,010)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Exchange of Series A non-voting convertible preferred stock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at-the-market offering program, net of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4772" w:type="dxa"/>
        <w:jc w:val="center"/>
        <w:tblInd w:w="0" w:type="dxa"/>
        <w:tblLayout w:type="fixed"/>
        <w:tblCellMar>
          <w:top w:w="28" w:type="dxa"/>
          <w:left w:w="28" w:type="dxa"/>
          <w:bottom w:w="28" w:type="dxa"/>
          <w:right w:w="28" w:type="dxa"/>
        </w:tblCellMar>
      </w:tblPr>
      <w:tblGrid>
        <w:gridCol w:w="468"/>
        <w:gridCol w:w="253"/>
        <w:gridCol w:w="255"/>
        <w:gridCol w:w="203"/>
        <w:gridCol w:w="203"/>
        <w:gridCol w:w="109"/>
        <w:gridCol w:w="203"/>
        <w:gridCol w:w="203"/>
        <w:gridCol w:w="109"/>
        <w:gridCol w:w="109"/>
        <w:gridCol w:w="109"/>
        <w:gridCol w:w="109"/>
        <w:gridCol w:w="181"/>
        <w:gridCol w:w="406"/>
        <w:gridCol w:w="109"/>
        <w:gridCol w:w="109"/>
        <w:gridCol w:w="109"/>
        <w:gridCol w:w="109"/>
        <w:gridCol w:w="203"/>
        <w:gridCol w:w="203"/>
        <w:gridCol w:w="109"/>
        <w:gridCol w:w="109"/>
        <w:gridCol w:w="109"/>
        <w:gridCol w:w="109"/>
        <w:gridCol w:w="181"/>
        <w:gridCol w:w="646"/>
        <w:gridCol w:w="109"/>
        <w:gridCol w:w="109"/>
        <w:gridCol w:w="109"/>
        <w:gridCol w:w="109"/>
        <w:gridCol w:w="203"/>
        <w:gridCol w:w="203"/>
        <w:gridCol w:w="109"/>
        <w:gridCol w:w="109"/>
        <w:gridCol w:w="109"/>
        <w:gridCol w:w="109"/>
        <w:gridCol w:w="181"/>
        <w:gridCol w:w="496"/>
        <w:gridCol w:w="109"/>
        <w:gridCol w:w="109"/>
        <w:gridCol w:w="109"/>
        <w:gridCol w:w="109"/>
        <w:gridCol w:w="203"/>
        <w:gridCol w:w="203"/>
        <w:gridCol w:w="153"/>
        <w:gridCol w:w="109"/>
        <w:gridCol w:w="109"/>
        <w:gridCol w:w="109"/>
        <w:gridCol w:w="181"/>
        <w:gridCol w:w="301"/>
        <w:gridCol w:w="109"/>
        <w:gridCol w:w="109"/>
        <w:gridCol w:w="109"/>
        <w:gridCol w:w="109"/>
        <w:gridCol w:w="181"/>
        <w:gridCol w:w="766"/>
        <w:gridCol w:w="109"/>
        <w:gridCol w:w="203"/>
        <w:gridCol w:w="203"/>
        <w:gridCol w:w="109"/>
        <w:gridCol w:w="181"/>
        <w:gridCol w:w="376"/>
        <w:gridCol w:w="109"/>
        <w:gridCol w:w="327"/>
        <w:gridCol w:w="181"/>
        <w:gridCol w:w="766"/>
        <w:gridCol w:w="109"/>
        <w:gridCol w:w="406"/>
        <w:gridCol w:w="109"/>
        <w:gridCol w:w="181"/>
        <w:gridCol w:w="646"/>
        <w:gridCol w:w="109"/>
        <w:gridCol w:w="109"/>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exercise of pre-funded warrants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follow-on offering, net of financing costs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215,673 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exercise of stock options and employee stock purchase plan</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Parapyre Option Obligation warrants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CVR distribution to common stockholders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4"/>
              </w:rPr>
            </w:pPr>
            <w:r>
              <w:rPr>
                <w:rFonts w:ascii="Arial;sans-serif" w:hAnsi="Arial;sans-serif"/>
                <w:b w:val="false"/>
                <w:color w:val="000000"/>
                <w:sz w:val="14"/>
              </w:rPr>
              <w:t>Unrealized loss on marketable securities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Balances—December 31, 2024</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146,425 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1,334,223 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(972,432)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517,804 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follow-on offering, net of financing costs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296,279 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296,281 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at-the-market offering program, net of financing costs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 in connection with exercise of stock options and employee stock purchase plan</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Foreign currency translation adjustment</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Unrealized gain on marketable securities</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(155,203)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(155,203)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Balances—December 31, 2025</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146,425 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1,686,167 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(1,127,635)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36"/>
        <w:gridCol w:w="2083"/>
        <w:gridCol w:w="2091"/>
        <w:gridCol w:w="181"/>
        <w:gridCol w:w="674"/>
        <w:gridCol w:w="109"/>
        <w:gridCol w:w="109"/>
        <w:gridCol w:w="109"/>
        <w:gridCol w:w="109"/>
        <w:gridCol w:w="181"/>
        <w:gridCol w:w="674"/>
        <w:gridCol w:w="109"/>
        <w:gridCol w:w="109"/>
        <w:gridCol w:w="109"/>
        <w:gridCol w:w="109"/>
        <w:gridCol w:w="181"/>
        <w:gridCol w:w="674"/>
        <w:gridCol w:w="158"/>
      </w:tblGrid>
      <w:tr>
        <w:trPr/>
        <w:tc>
          <w:tcPr>
            <w:tcW w:w="243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 December 31,</w:t>
            </w:r>
          </w:p>
        </w:tc>
      </w:tr>
      <w:tr>
        <w:trPr/>
        <w:tc>
          <w:tcPr>
            <w:tcW w:w="6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2023</w:t>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CASH FLOWS FROM OPERATING ACTIVITIES</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(155,203)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(338,790)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Adjustments to reconcile net loss to net cash used in operating activities: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25,675 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Acquired in-process research and development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130,188 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Change in fair value of CVR liability</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Change in fair value of forward contract liability</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83,530 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Gain on sale of in-process research and development asset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(16,449)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Lease ROU asset and leasehold improvement impairment loss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Loss on disposal of long-lived assets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(accretion of discount) amortization of premium on marketable securities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Interest proceeds from maturities of zero coupon debt securities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Amortization of operating lease assets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Other</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Changes in operating assets and liabilities: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3,245 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Development receivables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(2,326)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Accrued and other liabilities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(4,891)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Related party accounts payable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(2,402)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cash used in operating activities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(169,252)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(157,410)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(99,910)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CASH FLOWS FROM INVESTING ACTIVITIES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Cash assumed from asset acquisition of Spyre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sale of in-process research &amp; development asset</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the sale of property plant and equipment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Purchases of marketable securities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(522,214)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(599,252)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(166,803)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maturities and sales of marketable securities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(143,475)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(353,285)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(108,393)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CASH FLOWS FROM FINANCING ACTIVITIES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issuance of Series B non-voting convertible preferred stock in connection with private placement, net of placement and other offering costs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 in connection with at-the-market offering program, net of issuance costs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 in connection with follow-on offering, net of issuance costs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296,382 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215,860 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Payment of deferred offering costs in connection with shelf registration</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issuance of Series A non-voting convertible preferred stock in connection with private placement, net of placement and other offering costs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197,364 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issuance of common stock in connection with private placement, net of placement and other offering costs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84,555 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Payment of contingent value rights liability</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4"/>
              </w:rPr>
            </w:pPr>
            <w:r>
              <w:rPr>
                <w:rFonts w:ascii="Arial;sans-serif" w:hAnsi="Arial;sans-serif"/>
                <w:b w:val="false"/>
                <w:color w:val="000000"/>
                <w:sz w:val="14"/>
              </w:rPr>
              <w:t>Proceeds from employee stock option exercises and employee stock plan purchases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4"/>
              </w:rPr>
            </w:pPr>
            <w:r>
              <w:rPr>
                <w:rFonts w:ascii="Arial;sans-serif" w:hAnsi="Arial;sans-serif"/>
                <w:b w:val="false"/>
                <w:color w:val="000000"/>
                <w:sz w:val="14"/>
              </w:rPr>
              <w:t>Other financing cash flows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cash provided by financing activities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309,025 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410,906 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361,077 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Effect of exchange rate on cash, cash equivalents, and restricted cash</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(DECREASE) INCREASE IN CASH, CASH EQUIVALENTS, AND RESTRICTED CASH</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(99,792)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152,799 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CASH, CASH EQUIVALENTS, AND RESTRICTED CASH</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Beginning of period</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189,215 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501"/>
        <w:gridCol w:w="2132"/>
        <w:gridCol w:w="2139"/>
        <w:gridCol w:w="181"/>
        <w:gridCol w:w="571"/>
        <w:gridCol w:w="109"/>
        <w:gridCol w:w="109"/>
        <w:gridCol w:w="109"/>
        <w:gridCol w:w="109"/>
        <w:gridCol w:w="181"/>
        <w:gridCol w:w="646"/>
        <w:gridCol w:w="109"/>
        <w:gridCol w:w="109"/>
        <w:gridCol w:w="109"/>
        <w:gridCol w:w="109"/>
        <w:gridCol w:w="181"/>
        <w:gridCol w:w="646"/>
        <w:gridCol w:w="155"/>
      </w:tblGrid>
      <w:tr>
        <w:trPr/>
        <w:tc>
          <w:tcPr>
            <w:tcW w:w="2501"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14"/>
              </w:rPr>
            </w:pPr>
            <w:r>
              <w:rPr>
                <w:rFonts w:ascii="Arial;sans-serif" w:hAnsi="Arial;sans-serif"/>
                <w:b/>
                <w:color w:val="000000"/>
                <w:sz w:val="14"/>
              </w:rPr>
              <w:t>Supplemental Disclosure of Non-Cash Investing and Financing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Allocation of deferred offering costs against proceeds of issuance of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Exchange of Series A non-voting convertible preferred stock for common stock</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Conversion of Series B non-voting convertible preferred stock into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244,010 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Settlement of forward contract liability and issuance of Series A non-voting convertible preferred stock in connection with the asset acquisition of Spyre</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Conversion of Series A non-voting convertible preferred stock into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202,178 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Reconciliation of Cash, Cash Equivalents, and Restricted Cash Reported in the Statement of Financial Position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Restricted cash</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Total cash, cash equivalents, and restricted cash shown in the statement of cash flows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89,423 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189,215 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Spyre Therapeutics,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The Company and Basis of Presentation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Spyre Therapeutics, Inc., formerly Aeglea BioTherapeutics, Inc., (“Spyre” or the “Company”) is a clinical stage biotechnology company focused on developing next generation therapeutics for patients living with inflammatory bowel disease and other immune-mediated diseases. The Company was formed as a Limited Liability Company ("LLC") in Delaware on December 16, 2013 under the name Aeglea BioTherapeutics Holdings, LLC and was converted from a Delaware LLC to a Delaware corporation on March 10, 2015. On November 27, 2023, the Company completed its corporate rebranding, changing the name of the Company to Spyre Therapeutics, Inc. The Company operates in one segment and has its principal offices in Waltham, Massachusetts.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8, 2023, the Company effected a reverse stock split of its common stock at a ratio of 1-for-25 (the “Reverse Split”). Except as indicated otherwise, all share numbers related to the Company's common stock disclosed in these financial statements have been adjusted on a post-Reverse Split basis.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12, 2023, based on the review of the inconclusive interim results from the Company's Phase 1/2 clinical trial of pegtarviliase for the treatment of Classical Homocystinuria and other business considerations, the Company announced that it had initiated a process to explore strategic alternatives to maximize stockholder value and engaged an independent exclusive financial advisor to support this process. As a result, in April 2023, the Company implemented a restructuring plan resulting in an approximate 83% reduction of the Company’s existing headcount.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22, 2023, the Company acquired, in accordance with the terms of the Agreement and Plan of Merger (the "Acquisition Agreement"), the assets of Spyre Therapeutics, Inc. (“Pre-Merger Spyre”) as disclosed in Note 7 and 8, a privately held biotechnology company advancing a pipeline of antibody therapeutics with the potential to transform the treatment of inflammatory bowel disease through a research and development option agreement ("Paragon Agreement") with Paragon Therapeutics ("Paragon"). The asset acquisition was accomplished through a two-step reverse triangular merger whereby Aspen Merger Sub I, Inc., a Delaware corporation and a wholly owned subsidiary of the Company ("First Merger Sub"), merged with and into Pre-Merger Spyre, which existed at the time the Acquisition Agreement was entered into, became a wholly owned subsidiary of the Company in accordance with the terms of the Acquisition Agreement. Immediately following this merger, Pre-Merger Spyre merged with and into Sequoia Merger Sub II, LLC, a Delaware limited liability company and a wholly subsidiary of the Company (“Second Merger Sub”), in accordance with the terms of the Acquisition Agreement and Pre-Merger Spyre ceased to exist. Subsequently, Aeglea BioTherapeutics, Inc. was renamed Spyre Therapeutics, Inc. and is a different entity than Pre-Merger Spyre, which ceased to exist upon merging with Second Merger Sub. The transaction was structured as a stock-for-stock transaction pursuant to which all of Pre-Merger Spyre's outstanding equity interests were exchanged based on a fixed exchange ratio of 0.5494488 to 1 for consideration from the Company of 517,809 shares of common stock and 364,887 shares of Series A non-voting convertible preferred stock, par value of $0.0001 per share ("Series A Preferred Stock") (convertible on a 40 to 1 basis), in addition to the assumption of outstanding and unexercised stock options to purchase 2,734 shares of common stock from the Amended and Restated Spyre 2023 Equity Incentive Plan (the "Asset Acquisition"). The common stock and Series A Preferred Stock related to the Asset Acquisition were issued to the Pre-Merger Spyre stockholders on July 7, 2023. For additional information, see Note 7.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on June 26, 2023, the Company completed a private placement of shares of Series A Preferred Stock (the “June 2023 PIPE” and, together with the Asset Acquisition, the "June 2023 Transactions") to a group of investors (the “June 2023 Investors”). The Company sold an aggregate of 721,452 shares of Series A Preferred Stock (the “June 2023 PIPE Securities”) at $291.08 per share for net proceeds of $197.3 million after deducting approximately $12.7 million of placement agent and other offering expenses. For additional information, see Note 12.</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connection with the Asset Acquisition, a non-transferable contingent value right ("CVR") was distributed to stockholders of record of the Company as of the close of business on July 3, 2023 (the "Legacy Stockholders"), but was not distributed to the holders of shares of common stock or Series A Preferred Stock issued to the former stockholders of Pre-Merger Spyre or June 2023 Investors in the June 2023 Transactions. </w:t>
      </w:r>
    </w:p>
    <w:p>
      <w:pPr>
        <w:pStyle w:val="TextBody"/>
        <w:bidi w:val="0"/>
        <w:spacing w:lineRule="auto" w:line="288" w:before="240" w:after="283"/>
        <w:jc w:val="both"/>
        <w:rPr/>
      </w:pPr>
      <w:r>
        <w:rPr>
          <w:rFonts w:ascii="Arial;sans-serif" w:hAnsi="Arial;sans-serif"/>
          <w:b w:val="false"/>
          <w:color w:val="000000"/>
          <w:sz w:val="20"/>
        </w:rPr>
        <w:t>Holders of the CVRs will be entitled to receive certain cash payments from proceeds received by the Company prior to the third anniversary of the CVR Agreement, if any, related to the disposition or monetization of its legacy assets during the one-year period following the closing of the Asset Acquisition. For additional information, see Note 3</w:t>
      </w:r>
      <w:r>
        <w:rPr>
          <w:rFonts w:ascii="Arial;sans-serif" w:hAnsi="Arial;sans-serif"/>
          <w:b w:val="false"/>
          <w:color w:val="000000"/>
          <w:sz w:val="24"/>
        </w:rPr>
        <w: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November 21, 2023, the Company's stockholders approved the conversion of the Company's Series A non-voting convertible preferred stock to common stock. For additional information, see Note 12.</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December 11, 2023, the Company completed a private placement of shares of common stock and Series B non-voting convertible preferred stock, par value of $0.0001 per share ("Series B Preferred Stock") (convertible on a 40 to 1 basis) (collectively, the “December 2023 PIPE”) to a group of investors (the “December 2023 PIPE Investors”). The Company sold an aggregate of 6,000,000 shares of its common stock at an offering price of $15.00 per share and 150,000 shares of Series B Preferred Stock (the “December 2023 PIPE Securities”) at $600.00 per share for net proceeds of approximately $169.1 million after deducting approximately $10.9 million of placement agent and other offering expenses. For additional information, see Note 12.</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20, 2024, the Company completed a private placement of Series B Preferred Stock (convertible on a 40 to 1 basis) (the “March 2024 PIPE”) to a group of investors. The Company sold 121,625 shares of Series B Preferred Stock at $1,480 per share. The net proceeds from this offering were approximately $168.9 million after deducting placement and offering costs of $11.2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April 23, 2024, the Company entered into an exchange agreement with Fairmount Healthcare Fund II L.P. (the “Stockholder”), pursuant to which the Stockholder agreed to exchange an aggregate of 90,992 shares of Series A Preferred Stock, for an aggregate of 3,639,680 shares of the Company's common stock (the “April 2024 Exchange”). The common stock issued in connection with the April 2024 Exchange was issued without registration under the Securities Act of 1933, as amended (the “Securities Act”) in reliance on the exemption from registration contained in Section 3(a)(9) of the Securities Act. The April 2024 Exchange closed on April 25, 2024, with 346,045 shares of Series A Preferred Stock remaining outstanding following the April 2024 Exchange.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May 14, 2024, the Company's stockholders approved the issuance of its common stock upon conversion of the Company's Series B Preferred Stock to common stock. A total of 254,958 shares of Series B Preferred Stock automatically converted to 10,198,320 shares of common stock; 16,667 shares of Series B Preferred Stock did not automatically convert and remained outstanding as of December 31,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September 6, 2024, the Company filed a new shelf registration statement on Form S-3 that was declared effective by the SEC for the potential offering, issuance and sale by the Company of up to $500.0 million of its common stock, preferred stock, debt securities, warrants and/or units consisting of all or some of these securities. Concurrent with the filing of the shelf-registration statement, the Company entered into a sales agreement, dated September 6, 2024, with TD Securities (USA) LLC (“TD Cowen”) ("Sales Agreement"), as its sales agent, pursuant to which the Company may issue and sell shares of its common stock for an aggregate offering price of up to $200.0 million under an at-the-market (“ATM”) offering program included in the shelf registration. During the year ended December 31, 2024, the Company sold an aggregate of 777,432 shares of common stock under the ATM resulting in aggregate net proceeds of approximately $20.5 million after deducting commissions paid to TD Cowen as sales agent and other offering costs.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November 18, 2024, the Company entered into an underwriting agreement (the "November 2024 Underwriting Agreement") with Jefferies LLC, Goldman Sachs &amp; Co. LLC, Evercore Group L.L.C. and Guggenheim Securities, LLC as representatives of the several underwriters (collectively, the "November 2024 Underwriters"), pursuant to which the Company sold an aggregate of 8,366,250 shares of its common stock, inclusive of 1,091,250 shares pursuant to the full exercise of the November 2024 Underwriters' over-allotment option, at a public offering price per share of $27.50, resulting in net proceeds of approximately $215.9 million after deducting approximately $14.2 million of underwriting discounts and other offering costs (the "November 2024 Offering"). The November 2024 Offering closed on November 20, 2024 and the over-allotment option was exercised in full on November 26, 2024 and closed on November 29, 2024.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February 2025, the Company filed a new shelf registration statement on Form S-3 (the "February 2025 Shelf Registration Statement") that was declared effective by the SEC for the potential offering, issuance </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and sale of up to $500.0 million of shares of common stock, preferred stock, debt securities, warrants and/or units consisting of all or some of these securities. Concurrent with the effectiveness of the February 2025 Shelf Registration Statement, the offering of unsold securities under a previous shelf registration statement on Form S-3 (File No. 333-281975), which was initially filed with the SEC on September 6, 2024 and became effective on September 18, 2024, was deemed terminated pursuant to Rule 415(a)(6) under the Securities Act. The February 2025 Shelf Registration Statement contains a sales agreement prospectus supplement covering the offering, issuance and sale by the Company of up to $179.1 million of shares of common stock that may be issued and sold under the Sales Agreement in connection with the ATM offering program. During the three and twelve months ended December 31, 2025, the Company sold an aggregate of 445,668 shares of common stock under the ATM offering program at an average price per share of $33.772 resulting in net proceeds of $14.8 million, after deducting sales agent commissions and other offering costs of $0.3 million. As of December 31, 2025, $164.1 million remained available for sale under the Sales Agreement. Subsequent to December 31, 2025 through February 12, 2026 the Company sold an aggregate of 296,396 shares of common stock under the ATM offering program at an average price per share of $33.566 resulting in net proceeds of $9.7 million after deducting sales agent commissions and other offering costs of $0.2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October 13, 2025, the Company entered into an underwriting agreement (the "October 2025 Underwriting Agreement") with Jefferies LLC, TD Securities (USA) LLC, Leerink Partners LLC and Stifel, Nicolaus &amp; Company, Incorporated as representatives of the several underwriters (collectively, the "October 2025 Underwriters"), pursuant to which the Company sold an aggregate of 17,094,594 shares of its common stock, inclusive of 2,229,729 shares pursuant to the full exercise of the October 2025 Underwriters' over-allotment option, at a public offering price per share of $18.50, resulting in net proceeds of approximately $296.4 million after deducting approximately $19.9 million of underwriting discounts and other offering costs (the "October 2025 Offering"). The over-allotment option was exercised in full on October 14, 2025 and the transaction closed on October 15, 2025.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Liquidity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a clinical stage biotechnology company with a limited operating history, and due to its significant research and development expenditures, the Company has generated operating losses since its inception and has not generated any revenue from the commercial sale of any products. There can be no assurance that profitable operations will ever be achieved, and, if achieved, whether profitability can be sustained on a continuing basis.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its inception and through December 31, 2025, the Company has funded its operations by raising an aggregate of approximately $1.6 billion of gross proceeds from the sale and issuance of convertible preferred stock and common stock, pre-funded warrants, the collection of grant proceeds, and the licensing of its product rights for commercialization of pegzilarginase in Europe and certain countries in the Middle East. As of December 31, 2025, Spyre had an accumulated deficit of $1.1 billion, and cash, cash equivalents, and marketable securities of $756.5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current operating plans, the Company has sufficient resources to fund operations for at least one year from the issuance date of these financial statements with existing cash, cash equivalents, and marketable securities. The Company will need to secure additional financing in the future to fund additional research and development, and before a commercial drug can be produced, marketed and sold. If the Company is unable to obtain additional financing or generate license or product revenue, the lack of liquidity could have a material adverse effect on the Company.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consolidated financial statements have been prepared in conformity with generally accepted accounting principles in the United States (“U.S. GAAP”) as defined by the Financial Accounting Standards Board (“FASB”) and include the accounts of the Company and its wholly owned subsidiaries. All intercompany balances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U.S. GAAP requires management to make estimates and assumptions that affect the amounts reported in the consolidated financial statements and accompanying notes. Management bases its estimates on historical experience and on various other market-specific and relevant assumptions that management believes to be reasonable under the circumstances, the results of which form the basis for making judgments about the carrying value of assets, liabilities, and equity and the amount of revenues and expenses. Actual results could differ significantly from those estimates. The most significant estimates and assumptions that management considers in the preparation of the Company's financial statements relate to accrued research and development costs; the valuation of consideration transferred in acquiring in-process research &amp; development ("IPR&amp;D"); the discount rate, probabilities of success, and timing of estimated cash flows in the valuation of the CVR liability; inputs used in the Black-Scholes model for stock-based compensation expense; estimated future cash flows used in calculating the impairment of right-of-use lease assets; and estimated cost to complete performance obligations related to revenue recognition. The consideration transferred in acquiring IPR&amp;D in connection with the acquisition of Pre-Merger Spyre was comprised of shares of the Company’s common stock and shares of Series A Preferred Stock. To determine the fair value of the equity transferred, the Company considered the per share value of securities sold in the June 2023 PIPE, which was a financing event involving a group of accredited investors.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Cash and Cash Equivalents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considers all highly liquid investments with original maturities of three months or less from the date of purchase to be cash equivalents. Cash equivalents consist of money market funds and debt securities and are stated at fair value.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Marketable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The Company may hold securities with stated maturities greater than one year until maturity. All available-for-sale securities are considered available to support current operations and are classified as current assets. The Company presents credit losses as an allowance rather than as a reduction in the amortized cost of the available-for-sale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Any unrealized losses from declines in fair value below the amortized cost basis as a result of non-credit loss factors is recognized as a component of accumulated other comprehensive (loss) income, along with unrealized gains. Realized gains and losses and declines in fair value, if any, on available-for-sale securities are included in other income (expense) in the results of operations. The cost of securities sold is based on the specific-identification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Restricted Cash</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Restricted cash consisted of cash balances related to the Company's former operations in the United Kingdom for the period ended December 31, 2023. There were no restricted cash balances as of December 31, 2025 and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Concentration of Credit Risk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Financial instruments that potentially subject the Company to a concentration of credit risk consist of cash, cash equivalents, marketable securities, and restricted cash. The Company’s investment policy limits investments to high credit quality securities issued by the U.S. government, U.S. government-sponsored agencies, highly rated banks, and corporate issuers, subject to certain concentration limits and restrictions on maturities. The financial instruments that potentially subject the Company to a concentration of credit risk consist principally of cash deposits. Accounts at each of the Company's two U.S. banking institutions are insured by the Federal Deposit Insurance Corporation (“FDIC”) up to $250,000 per depositor. As of December 31, 2025 and 2024, balances at the Company's U.S. banking institutions exceeded the FDIC limits. The Company has not experienced any losses on its deposits of cash, cash equivalents, and restricted cash and its accounts are monitored by management to mitigate risk. The Company is exposed to credit risk in the event of default by the financial institutions holding its cash, cash equivalents, and restricted cash, and bond issuers.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Property and equipment are stated at cost, net of accumulated depreciation and amortization. Depreciation and amortization are computed using the straight-line method over the estimated useful lives of the assets. Repairs and maintenance that do not extend the life or improve an asset are expensed as incurred. Upon retirement or sale, the cost of disposed assets and their related accumulated depreciation and amortization are removed from the balance sheet. Any gain or loss is credited or charged to operations.</w:t>
      </w:r>
    </w:p>
    <w:p>
      <w:pPr>
        <w:pStyle w:val="TextBody"/>
        <w:bidi w:val="0"/>
        <w:spacing w:lineRule="auto" w:line="288" w:before="240" w:after="283"/>
        <w:ind w:left="0" w:right="0" w:firstLine="450"/>
        <w:jc w:val="left"/>
        <w:rPr>
          <w:rFonts w:ascii="Arial;sans-serif" w:hAnsi="Arial;sans-serif"/>
          <w:b w:val="false"/>
          <w:color w:val="000000"/>
          <w:sz w:val="20"/>
        </w:rPr>
      </w:pPr>
      <w:r>
        <w:rPr>
          <w:rFonts w:ascii="Arial;sans-serif" w:hAnsi="Arial;sans-serif"/>
          <w:b w:val="false"/>
          <w:color w:val="000000"/>
          <w:sz w:val="20"/>
        </w:rPr>
        <w:t>The useful lives of the property and equipment are as follows:</w:t>
      </w:r>
    </w:p>
    <w:tbl>
      <w:tblPr>
        <w:tblW w:w="7680" w:type="dxa"/>
        <w:jc w:val="center"/>
        <w:tblInd w:w="0" w:type="dxa"/>
        <w:tblLayout w:type="fixed"/>
        <w:tblCellMar>
          <w:top w:w="28" w:type="dxa"/>
          <w:left w:w="28" w:type="dxa"/>
          <w:bottom w:w="28" w:type="dxa"/>
          <w:right w:w="28" w:type="dxa"/>
        </w:tblCellMar>
      </w:tblPr>
      <w:tblGrid>
        <w:gridCol w:w="999"/>
        <w:gridCol w:w="879"/>
        <w:gridCol w:w="882"/>
        <w:gridCol w:w="1433"/>
        <w:gridCol w:w="1433"/>
        <w:gridCol w:w="20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Laboratory equipment</w:t>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5 years</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Furniture and office equipment</w:t>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5 years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Computer equipment</w:t>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4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 years</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4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Shorter of remaining lease term or estimated useful life</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did not have any property, plant, and equipment assets as of December 31,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 Company recognized a $2.6 million impairment loss for the year ended December 31, 2023 related to its leased office space in Austin, Texas (see Note 11 and Note 17 for additional information). There were no impairments of long-lived assets for the years ended December 31, 2025 and 2024.</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Accrued Research and Development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organizations ("CROs") and contract manufacturing organizations ("CMOs"), and the Company's related-party Paragon.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050"/>
                <wp:effectExtent l="0" t="0" r="0" b="0"/>
                <wp:wrapNone/>
                <wp:docPr id="136"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accrues for expenses resulting from obligations under the Paragon Agreement and agreements with CROs, CMOs, and other outside service providers for which payment flows do not match the periods over which materials or services are provided to the Company. Accruals are recorded based on estimates of services received and efforts expended pursuant to agreements established with Paragon,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Paragon,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trial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License Agreements Contingent Milestone Payments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license agreements include specific development, regulatory, and clinical milestone payments that are payable upon the resolution of a contingency, such as upon the selection of a development candidate, first dosing of a human patient in clinical trials or receipt of the U.S. Food Drug and Administration’s (“FDA”) approval of a Spyre drug. The achievement of these milestone payments involves many factors outside of the Company’s control and therefore the associated likelihood cannot be considered probable until the related contingency is resolved. Based on the preceding, the Company accrues each milestone payment upon the achievement of the applicable milestone event.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As the Company's leases do not provide an implicit rate, the Company uses its incremental borrowing rate based on the information available at the lease commencement date in determining the present value of future lease payments. To determine the incremental borrowing rate, the Company uses the lease-term appropriate current treasury bond rates adjusted for collateral and inflation risks combined with quoted bank financing rates. The ROU asset is based on the measurement of the lease liability and also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straight-line basis over the lease term. Amortization expense for the ROU asset associated with its finance leases is recognized on a straight-line basis over the term of the lease and interest expense associated with its finance leases is recognized on the balance of the lease liability using the effective interest method based on the estimated incremental borrowing rate.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described in Note 11, the Company had lease agreements with lease and non-lease components prior to its restructuring. As allowed under Topic 842, the Company elected to not separate lease and non-lease components for any leases involving real estate and office equipment classes of assets and, as a result, accounted for the lease and non-lease components as a single lease component. The Company also elected to not apply the recognition requirement of Topic 842 to leases with a term of 12 months or less for all classes of assets. As of December 31, 2025 and 2024, the Company had no operating or finance lease obligations.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uses fair value measurements to record fair value adjustments to certain financial and non-financial assets and liabilities and to determine fair value disclosures. The accounting standards define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050"/>
                <wp:effectExtent l="0" t="0" r="0" b="0"/>
                <wp:wrapNone/>
                <wp:docPr id="137"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lineRule="auto" w:line="288" w:before="240" w:after="283"/>
        <w:ind w:left="0" w:right="0" w:firstLine="1260"/>
        <w:jc w:val="both"/>
        <w:rPr>
          <w:rFonts w:ascii="Arial;sans-serif" w:hAnsi="Arial;sans-serif"/>
          <w:b w:val="false"/>
          <w:color w:val="000000"/>
          <w:sz w:val="20"/>
        </w:rPr>
      </w:pPr>
      <w:r>
        <w:rPr>
          <w:rFonts w:ascii="Arial;sans-serif" w:hAnsi="Arial;sans-serif"/>
          <w:b w:val="false"/>
          <w:color w:val="000000"/>
          <w:sz w:val="20"/>
        </w:rPr>
        <w:t>The three levels of inputs that may be used to measure fair value are as follows:</w:t>
      </w:r>
    </w:p>
    <w:tbl>
      <w:tblPr>
        <w:tblW w:w="10205" w:type="dxa"/>
        <w:jc w:val="center"/>
        <w:tblInd w:w="0" w:type="dxa"/>
        <w:tblLayout w:type="fixed"/>
        <w:tblCellMar>
          <w:top w:w="28" w:type="dxa"/>
          <w:left w:w="28" w:type="dxa"/>
          <w:bottom w:w="28" w:type="dxa"/>
          <w:right w:w="28" w:type="dxa"/>
        </w:tblCellMar>
      </w:tblPr>
      <w:tblGrid>
        <w:gridCol w:w="245"/>
        <w:gridCol w:w="215"/>
        <w:gridCol w:w="217"/>
        <w:gridCol w:w="2932"/>
        <w:gridCol w:w="2729"/>
        <w:gridCol w:w="386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Level 1:</w:t>
            </w:r>
          </w:p>
        </w:tc>
        <w:tc>
          <w:tcPr>
            <w:tcW w:w="952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Observable inputs, such as quoted prices in active markets for identical assets or liabilities.</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Level 2:</w:t>
            </w:r>
          </w:p>
        </w:tc>
        <w:tc>
          <w:tcPr>
            <w:tcW w:w="952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Observable inputs other than Level 1 prices, such as quoted prices for similar assets or liabilities, or other inputs that are observable or can be corroborated by observable market data for substantially the full term of the assets or liabilities.</w:t>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Level 3:</w:t>
            </w:r>
          </w:p>
        </w:tc>
        <w:tc>
          <w:tcPr>
            <w:tcW w:w="9528"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Arial;sans-serif" w:hAnsi="Arial;sans-serif"/>
                <w:b w:val="false"/>
                <w:color w:val="000000"/>
                <w:sz w:val="20"/>
              </w:rPr>
            </w:pPr>
            <w:r>
              <w:rPr>
                <w:rFonts w:ascii="Arial;sans-serif" w:hAnsi="Arial;sans-serif"/>
                <w:b w:val="false"/>
                <w:color w:val="000000"/>
                <w:sz w:val="20"/>
              </w:rPr>
              <w:t>Valuations based on unobservable inputs to the valuation methodology and including data about assumptions that market participants would use in pricing the asset or liability based on the best information available under the circumstances.</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Financial instruments carried at fair value include cash equivalents and marketable securities. The carrying amounts of accounts payable and accrued liabilities approximate fair value due to their relatively short maturities.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ASC Topic 606, “Revenue from Contracts with Customers”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assesses its license arrangements within the scope of Topic 606 in accordance with this framework as follows: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License revenue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050"/>
                <wp:effectExtent l="0" t="0" r="0" b="0"/>
                <wp:wrapNone/>
                <wp:docPr id="138"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discretion are generally considered options. The Company assesses if these options provide a material right to the customer and if so, they are considered performance obligations.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If an arrangement includes development, regulatory or commercial milestone payments, the Company evaluates whether the milestones are considered likely of being reached and estimates the amount to be included in the transaction price using the most likely amount method. If it is probable that a significant cumulative revenue reversal would not occur, the associated milestone value is included in the transaction price. Milestone payments that are not within the Company’s control or the licensee’s control, such as regulatory approvals, are generally not considered likely of being achieved until those approvals are received.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contracts may be modified for changes in the customer’s requirements. If contract modifications are for additional goods and services that are distinct from the existing contract, the modification will be accounted for as either a separate contract or a termination of the existing contract, depending on whether the additional goods or services reflects the SSP.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If the additional goods or services in a contract modification are not distinct from the existing contract, they are accounted for as if they were part of the original contract. The effect of the contract modification on the transaction price and the measure of progress for the performance obligation to which it relates is recognized as an adjustment to revenue on a cumulative catch-up basis. The cumulative catch-up adjustment is calculated using an updated measure of progress applied to the sum of (1) the remaining consideration allocated to the partially satisfied performance obligation and (2) the revenue already recognized on that performance obligation. The revenue recognized for fully satisfied goods or services and distinct from the remaining performance obligations is not altered by the modification.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050"/>
                <wp:effectExtent l="0" t="0" r="0" b="0"/>
                <wp:wrapNone/>
                <wp:docPr id="139"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Collaborative arrangements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analyzes its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(“Topic 808”). This assessment is performed throughout the life of the arrangement based on changes in the responsibilities of all parties in the arrangement. For arrangements within the scope of Topic 808 that contain multiple elements, the Company first determines which elements of the collaboration are deemed to be within the scope of Topic 808 and which elements of the collaboration are more reflective of a vendor-customer relationship and therefore within the scope of Topic 606. For elements of collaboration arrangements that are accounted for pursuant to Topic 808, an appropriate recognition method is determined and applied consistently, either by analogy to authoritative accounting literature or by applying a reasonable and rational policy election. For those elements of the arrangement that are accounted for pursuant to Topic 606, the Company applies the five-step model described above.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costs are expensed as incurred. Research and development costs include, but are not limited to, salaries, benefits, travel, stock-based compensation, consulting costs, contract research service costs, laboratory supplies and facilities, contract manufacturing costs, and costs paid to other third parties that conduct research and development activities on the Company’s behalf. Amounts incurred in connection with license agreements are also included in research and development expense.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Advance payments for goods or services to be rendered in the future for use in research and development activities are recorded as a prepaid asset and expensed as the related goods are delivered or the services are performed.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recognizes the cost of stock-based awards granted to employees and non-employees based on the estimated grant-date fair values of the awards. The fair values of stock options are estimated on the date of grant using the Black-Scholes option pricing model. The fair values of restricted stock units (“RSUs”) are based on the fair value of the Company’s common stock on the date of the grant.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Convertible Preferred Stock Issued through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records shares of convertible preferred stock at their respective fair values on the dates of issuance, net of issuance costs. The Company classified the Series B Preferred Stock outside of stockholders’ equity at issuance because if conversion to common stock was not approved by the stockholders, the Series B Preferred Stock was redeemable at the option of the holders for cash equal to the closing price of the Company's common stock on the last trading day prior to the holder’s redemption request. The Company determined that the conversion and redemption was outside of the Company’s control. Additionally, the Company determined the Series B Preferred Stock did not contain any embedded derivatives and therefore the conversion and redemption features did not require bifurcation.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Since the Series B Preferred Stock is no longer redeemable, the associated balances of the Series B Preferred Stock were reclassified from mezzanine equity to permanent equity during the second quarter of 2024.</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Contingent Milestone Proceeds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recognizes contingent milestone proceeds associated from the sale of in-process research and development assets in earnings once the achievement of the milestone becomes probable and payment to the Company is contractually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050"/>
                <wp:effectExtent l="0" t="0" r="0" b="0"/>
                <wp:wrapNone/>
                <wp:docPr id="140"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Acquisitions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the Company has acquired inputs and processes that have the ability to create outputs, which would meet the definition of a business. Significant judgment is required in the application of the test to determine whether an acquisition is a business combination or an acquisition of assets.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 When a transaction accounted for as an asset acquisition includes an IPR&amp;D asset, the IPR&amp;D asset is only capitalized if it has an alternative future use other than in a particular research and development project. Otherwise, the cost allocated to acquire an IPR&amp;D asset with no alternative future use is charged to expense at the acquisition date.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Contingent Value Rights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evaluates its contracts to determine if those contracts qualify as derivatives under ASC 815, Derivatives and Hedging (“ASC 815”). For derivative financial instruments that are accounted for as liabilities, the derivative instrument is initially recorded at its fair value and is then re-valued at each reporting date. Any changes in fair value are recorded as other income or expense for each reporting period. Derivative instrument liabilities are classified in the balance sheet as current or non-current based on whether or not net-cash settlement of the derivative instrument is probable within the next 12 months from the balance sheet date. The Company determined that certain contingent payments under the CVR Agreement qualified as derivatives under ASC 815, and as such, were recorded as a liability on the balance sheet. This value is then remeasured for future expected payout as well as the increase in fair value due to the time value of money. These gains or losses, if any, are recognized in the consolidated statements of operations and comprehensive loss within Other (expense) income, net.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applies a scenario-based method and weighs them based on the possible achievement of certain milestones. The milestone payments are contingent on formal reimbursement decisions by national authorities in key European markets and pegzilarginase approval by the FDA, among other events. This fair value measurement is based on significant inputs not observable in the market and thus represents a Level 3 measurement as defined in ASC 820, Fair Value Measurement. The key assumptions used include the discount rate, probability of regulatory success, reimbursement rates from certain government agencies and estimated cash flow dates. The estimated value of the CVR consideration is based upon available information and certain assumptions which the Company's management believes are reasonable under the circumstances. The ultimate payout under the CVRs may differ materially from the assumptions used in determining the fair value of the CVR consideration.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uses the asset and liability method of accounting for income taxes. Under this method, deferred tax assets and liabilities are recognized for the expected future tax consequences of temporary differences between the financial statements and the tax bases of assets and liabilities. Additionally, any changes in income tax laws are immediately recognized in the year of enactment.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valuation allowance is established against the deferred tax assets to reduce their carrying value to an amount that is more likely than not to be realized. The deferred tax assets and liabilities are classified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050"/>
                <wp:effectExtent l="0" t="0" r="0" b="0"/>
                <wp:wrapNone/>
                <wp:docPr id="141"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noncurrent along with the related valuation allowance. Due to a lack of earnings history, the net deferred tax assets have been fully offset by a valuation allowance.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recognizes benefits of uncertain tax positions if it is more likely than not that such positions will be sustained upon examination based solely on the technical merits, as the largest amount of benefits that is more likely than not to be realized upon the ultimate settlement. The Company’s policy is to recognize interest and penalties related to the unrecognized tax benefits as a component of income tax expense, if applicable. As of December 31, 2025 and 2024, the Company had no unrecognized tax benefits and there were no interest or penalties incurred by the Company in the years ended December 31, 2025, 2024, or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Comprehensive Loss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Comprehensive loss is the change in stockholders’ equity from transactions and other events and circumstances other than those resulting from investments by stockholders and distributions to stockholders. The Company’s other comprehensive income (loss) is currently comprised of changes in unrealized losses and gains on available-for-sale securities and foreign currency translation adjustments reflecting the cumulative effect of changes in exchange rates between the foreign entity’s functional currency and the reporting currency.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FASB issued ASU No. 2023-09, Income Taxes (Topic 740) - Improvements to Income Tax Disclosures, to require enhanced income tax disclosures to provide information to assess how an entity’s operations and related tax risks, tax planning, and operational opportunities affect its tax rate and prospects for future cash flows. The amendments in this update provide that a business entity disclose (1) a tabular income tax rate reconciliation, using both percentages and amounts, (2) separate disclosure of any individual reconciling items that are equal to or greater than 5% of the amount computed by multiplying the income (loss) from continuing operations before income taxes by the applicable statutory income tax rate, and disaggregation of certain items that are significant and (3) amount of income taxes paid (net of refunds received) disaggregated by federal, state and foreign jurisdictions, including separate disclosure of any individual jurisdictions greater than 5% of total income taxes paid. These amendments are effective for the Company for annual periods in beginning in 2025, applied prospectively, with early adoption and retrospective application permitted. The Company applied the amendments prospectively for the year ended December 31, 2025, and the impact of the adoption of the amendments in this update was not material to the Company’s consolidated financial position and results of operations since the amendments require only enhancement of existing income tax disclosures in the footnotes to the Company’s consolidated financial statements. See Note 18, Income Taxes.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Not Yet Adopted Accounting Pronouncements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2024, the FASB issued ASU 2024-03, Income Statement—Reporting Comprehensive Income—Expense Disaggregation Disclosures (Subtopic 220-40): Disaggregation of Income Statement Expenses to improve disclosures about public business entities’ expenses and to provide more detailed information around the types of expenses included in commonly presented expense captions. ASU 2024-03 is effective for fiscal years beginning after December 15, 2026, and interim periods for fiscal years beginning after December 15, 2027, and can be applied on a prospective basis or on a retrospective basis to all periods presented. Early adoption is permitted. This ASU will have no impact on the Company’s consolidated financial condition or results of operations. The Company is currently evaluating the impact of adopting ASU 2024-03 on its disclosures.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050"/>
                <wp:effectExtent l="0" t="0" r="0" b="0"/>
                <wp:wrapNone/>
                <wp:docPr id="142"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2027. Adoption of this ASU can be applied either a prospective or a retrospective approach. Early adoption is permitted. The Company is currently evaluating the impact of adopting ASU 2024-03 on its disclosures.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2025, the FASB issued ASU No. 2025-12, Codification Improvements. The update represents changes to the Codification that clarify, correct errors in or make other improvements to a variety of topics that are intended to make it easier to understand and apply. Generally, the amendments in this Update are not intended to result in significant changes for most entities. The ASU is effective for interim reporting periods within annual reporting periods beginning after December 15, 2026. The adoption method of this ASU may vary, on an issue-by-issue basis. Early adoption is permitted. The Company is currently evaluating the impact of adopting ASU 2024-03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Arial;sans-serif" w:hAnsi="Arial;sans-serif"/>
          <w:b/>
          <w:color w:val="000000"/>
          <w:sz w:val="20"/>
        </w:rPr>
        <w:t>3.</w:t>
      </w:r>
      <w:r>
        <w:rPr>
          <w:color w:val="000000"/>
        </w:rPr>
        <w:t xml:space="preserve">  </w:t>
      </w:r>
      <w:r>
        <w:rPr>
          <w:rFonts w:ascii="Arial;sans-serif" w:hAnsi="Arial;sans-serif"/>
          <w:b/>
          <w:color w:val="000000"/>
          <w:sz w:val="20"/>
        </w:rPr>
        <w:t>Fair Value Measurements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measures and reports certain financial instruments as assets and liabilities at fair value on a recurring basis. The following tables set forth the fair value of the Company’s financial assets and liabilities at fair value on a recurring basis based on the three-tier fair value hierarchy (in thousands):</w:t>
      </w:r>
    </w:p>
    <w:tbl>
      <w:tblPr>
        <w:tblW w:w="8880" w:type="dxa"/>
        <w:jc w:val="center"/>
        <w:tblInd w:w="0" w:type="dxa"/>
        <w:tblLayout w:type="fixed"/>
        <w:tblCellMar>
          <w:top w:w="28" w:type="dxa"/>
          <w:left w:w="28" w:type="dxa"/>
          <w:bottom w:w="28" w:type="dxa"/>
          <w:right w:w="28" w:type="dxa"/>
        </w:tblCellMar>
      </w:tblPr>
      <w:tblGrid>
        <w:gridCol w:w="1178"/>
        <w:gridCol w:w="1038"/>
        <w:gridCol w:w="103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56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Financial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340,068 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414,735 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754,803 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CVR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80" w:type="dxa"/>
        <w:jc w:val="center"/>
        <w:tblInd w:w="0" w:type="dxa"/>
        <w:tblLayout w:type="fixed"/>
        <w:tblCellMar>
          <w:top w:w="28" w:type="dxa"/>
          <w:left w:w="28" w:type="dxa"/>
          <w:bottom w:w="28" w:type="dxa"/>
          <w:right w:w="28" w:type="dxa"/>
        </w:tblCellMar>
      </w:tblPr>
      <w:tblGrid>
        <w:gridCol w:w="1178"/>
        <w:gridCol w:w="1038"/>
        <w:gridCol w:w="103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Total</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Financial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165,130 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601,405 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CVR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measures the fair value of money market funds and U.S. government treasury securities on quoted prices in active markets for identical asset or liabilities. The Level 2 assets include U.S. government agency securities, commercial paper and corporate bonds, and are valued based on quoted prices for similar assets in active markets and inputs other than quoted prices that are derived from observable market data.</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evaluates transfers in and out of Level 3 at the end of each reporting period. There were no transfers in or out of Level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050"/>
                <wp:effectExtent l="0" t="0" r="0" b="0"/>
                <wp:wrapNone/>
                <wp:docPr id="143" name="Frame1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and 2024, the Company had $26.7 million and $61.7 million, respectively, of financial liabilities outstanding measured at fair value.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Forward Contract Liability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the Company entered into a contract for the issuance of 364,887 shares of Series A Preferred Stock as part of the consideration transferred. This forward contract was classified as a liability because the underlying preferred shares were contingently redeemable. Further, the forward contract liability was considered a Level 2 liability based on observable market data for substantially the full term of the liability and was initially measured at its estimated fair value on the transaction date based on the underlying price per share on an as-converted basis of the June 2023 PIPE Securities issued in the June 2023 PIPE. Subsequent remeasurement of the fair value of the forward contract liability through its settlement date was based on the market price of the Company's common stock, which represents the redemption value of the Series A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fair value of the forward contract at the transaction date, June 22, 2023, was $106.2 million. The liability was settled with the issuance of the Series A Preferred Stock on July 7, 2023 for $189.7 million. For the year ended December 31, 2023, $83.5 million was recorded as Other income (expense) in the consolidated statements of operations in connection with the change in fair value of the forward contract liability. There was no similar expense for the year ended December 31, 2025 and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presents changes in the forward contract liability for the periods presented (in millions):</w:t>
      </w:r>
    </w:p>
    <w:tbl>
      <w:tblPr>
        <w:tblW w:w="6989" w:type="dxa"/>
        <w:jc w:val="left"/>
        <w:tblInd w:w="0" w:type="dxa"/>
        <w:tblLayout w:type="fixed"/>
        <w:tblCellMar>
          <w:top w:w="28" w:type="dxa"/>
          <w:left w:w="28" w:type="dxa"/>
          <w:bottom w:w="28" w:type="dxa"/>
          <w:right w:w="28" w:type="dxa"/>
        </w:tblCellMar>
      </w:tblPr>
      <w:tblGrid>
        <w:gridCol w:w="1725"/>
        <w:gridCol w:w="1519"/>
        <w:gridCol w:w="1525"/>
        <w:gridCol w:w="463"/>
        <w:gridCol w:w="1419"/>
        <w:gridCol w:w="338"/>
      </w:tblGrid>
      <w:tr>
        <w:trPr/>
        <w:tc>
          <w:tcPr>
            <w:tcW w:w="172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Forward Contract Liability</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 as of June 22, 2023</w:t>
            </w:r>
          </w:p>
        </w:tc>
        <w:tc>
          <w:tcPr>
            <w:tcW w:w="4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3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fair value</w:t>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Issuance of Series A Preferred Stock on July 7, 2023</w:t>
            </w:r>
          </w:p>
        </w:tc>
        <w:tc>
          <w:tcPr>
            <w:tcW w:w="18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(189.7)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Ending balance as of December 31, 2023</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CVR Liability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a non-transferable contingent value right was distributed to the Legacy Stockholders, but was not distributed to holders of shares of the Company's common stock or Series A Preferred Stock issued to the June 2023 Investors or former stockholders of Pre-Merger Spyre in connection with the June 2023 Transactions. Holders of the CVRs will be entitled to receive certain cash payments from proceeds received by the Company prior to the third anniversary of the CVR Agreement, if any, related to the disposition or monetization of the Company’s legacy assets during the one-year period following the closing of the Asset Acquisition.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fair value of the CVR liability was determined using the probability weighted discounted cash flow method to estimate future cash flows associated with the sale of the legacy assets. Analogous to a dividend being declared/approved in one period and paid out in another, the liability was recorded at the date of approval, June 22, 2023, as a common stock dividend, returning capital to the Legacy Stockholders. Changes in fair value of the liability will be recognized as a component of Other income (expense) in the consolidated statement of operations and comprehensive loss in each reporting period. The liability value is based on significant inputs not observable in the market such as estimated cash flows, estimated probabilities of regulatory success,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050"/>
                <wp:effectExtent l="0" t="0" r="0" b="0"/>
                <wp:wrapNone/>
                <wp:docPr id="144" name="Frame1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discount rates, which represent a Level 3 measurement within the fair value hierarchy. The significant inputs used to estimate the fair value of the CVR liability were as follows:</w:t>
      </w:r>
    </w:p>
    <w:tbl>
      <w:tblPr>
        <w:tblW w:w="7620" w:type="dxa"/>
        <w:jc w:val="left"/>
        <w:tblInd w:w="0" w:type="dxa"/>
        <w:tblLayout w:type="fixed"/>
        <w:tblCellMar>
          <w:top w:w="28" w:type="dxa"/>
          <w:left w:w="28" w:type="dxa"/>
          <w:bottom w:w="28" w:type="dxa"/>
          <w:right w:w="28" w:type="dxa"/>
        </w:tblCellMar>
      </w:tblPr>
      <w:tblGrid>
        <w:gridCol w:w="2094"/>
        <w:gridCol w:w="1842"/>
        <w:gridCol w:w="1854"/>
        <w:gridCol w:w="536"/>
        <w:gridCol w:w="536"/>
        <w:gridCol w:w="758"/>
      </w:tblGrid>
      <w:tr>
        <w:trPr/>
        <w:tc>
          <w:tcPr>
            <w:tcW w:w="2094"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Estimated cash flow dates</w:t>
            </w:r>
          </w:p>
        </w:tc>
        <w:tc>
          <w:tcPr>
            <w:tcW w:w="18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05/15/26 - 08/15/29</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Estimated probability of success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 - 72%</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Estimated reimbursement rate compared to reimbursement target</w:t>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45% - 55%</w:t>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Risk-adjusted discount rates</w:t>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9.85% - 9.97%</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change in fair value between December 31, 2024 and December 31, 2025 was a $29.8 million decrease, primarily driven by changes in the likelihood of achievement of certain milestones and receipt of certain cash consideration within the CVR term, changes in estimated reimbursement rates compared to reimbursement target rates, changes in estimated cash flow dates, and an increase in risk-adjusted discount rates, partially offset by time value of money adjustments.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presents changes in the CVR liability for the periods presented (in thousands):</w:t>
      </w:r>
    </w:p>
    <w:tbl>
      <w:tblPr>
        <w:tblW w:w="5189" w:type="dxa"/>
        <w:jc w:val="left"/>
        <w:tblInd w:w="0" w:type="dxa"/>
        <w:tblLayout w:type="fixed"/>
        <w:tblCellMar>
          <w:top w:w="28" w:type="dxa"/>
          <w:left w:w="28" w:type="dxa"/>
          <w:bottom w:w="28" w:type="dxa"/>
          <w:right w:w="28" w:type="dxa"/>
        </w:tblCellMar>
      </w:tblPr>
      <w:tblGrid>
        <w:gridCol w:w="1455"/>
        <w:gridCol w:w="1278"/>
        <w:gridCol w:w="1286"/>
        <w:gridCol w:w="221"/>
        <w:gridCol w:w="788"/>
        <w:gridCol w:w="161"/>
      </w:tblGrid>
      <w:tr>
        <w:trPr/>
        <w:tc>
          <w:tcPr>
            <w:tcW w:w="145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CVR Liability</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Beginning balance as of December 31, 2024</w:t>
            </w:r>
          </w:p>
        </w:tc>
        <w:tc>
          <w:tcPr>
            <w:tcW w:w="2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61,700 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Changes in the fair value of the CVR liability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(29,769)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Ending Balance as of December 31, 2025</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26,680 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4.  Cash Equivalents and Marketable Securities</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tables summarize the estimated fair value of the Company’s cash equivalents and marketable securities and the gross unrealized gains and losses (in thousands):</w:t>
      </w:r>
    </w:p>
    <w:tbl>
      <w:tblPr>
        <w:tblW w:w="8525" w:type="dxa"/>
        <w:jc w:val="center"/>
        <w:tblInd w:w="0" w:type="dxa"/>
        <w:tblLayout w:type="fixed"/>
        <w:tblCellMar>
          <w:top w:w="28" w:type="dxa"/>
          <w:left w:w="28" w:type="dxa"/>
          <w:bottom w:w="28" w:type="dxa"/>
          <w:right w:w="28" w:type="dxa"/>
        </w:tblCellMar>
      </w:tblPr>
      <w:tblGrid>
        <w:gridCol w:w="1178"/>
        <w:gridCol w:w="1035"/>
        <w:gridCol w:w="1042"/>
        <w:gridCol w:w="211"/>
        <w:gridCol w:w="856"/>
        <w:gridCol w:w="109"/>
        <w:gridCol w:w="109"/>
        <w:gridCol w:w="109"/>
        <w:gridCol w:w="109"/>
        <w:gridCol w:w="249"/>
        <w:gridCol w:w="568"/>
        <w:gridCol w:w="129"/>
        <w:gridCol w:w="109"/>
        <w:gridCol w:w="109"/>
        <w:gridCol w:w="109"/>
        <w:gridCol w:w="249"/>
        <w:gridCol w:w="568"/>
        <w:gridCol w:w="12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Estimated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83,991 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669,942 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670,812 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050"/>
                <wp:effectExtent l="0" t="0" r="0" b="0"/>
                <wp:wrapNone/>
                <wp:docPr id="145" name="Frame1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8525" w:type="dxa"/>
        <w:jc w:val="center"/>
        <w:tblInd w:w="0" w:type="dxa"/>
        <w:tblLayout w:type="fixed"/>
        <w:tblCellMar>
          <w:top w:w="28" w:type="dxa"/>
          <w:left w:w="28" w:type="dxa"/>
          <w:bottom w:w="28" w:type="dxa"/>
          <w:right w:w="28" w:type="dxa"/>
        </w:tblCellMar>
      </w:tblPr>
      <w:tblGrid>
        <w:gridCol w:w="1178"/>
        <w:gridCol w:w="1036"/>
        <w:gridCol w:w="1041"/>
        <w:gridCol w:w="211"/>
        <w:gridCol w:w="856"/>
        <w:gridCol w:w="109"/>
        <w:gridCol w:w="109"/>
        <w:gridCol w:w="109"/>
        <w:gridCol w:w="109"/>
        <w:gridCol w:w="249"/>
        <w:gridCol w:w="568"/>
        <w:gridCol w:w="129"/>
        <w:gridCol w:w="109"/>
        <w:gridCol w:w="109"/>
        <w:gridCol w:w="109"/>
        <w:gridCol w:w="249"/>
        <w:gridCol w:w="568"/>
        <w:gridCol w:w="129"/>
        <w:gridCol w:w="109"/>
        <w:gridCol w:w="109"/>
        <w:gridCol w:w="109"/>
        <w:gridCol w:w="211"/>
        <w:gridCol w:w="856"/>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Amortized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Gross</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Estimated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Fair Value</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87,740 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143,292 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227,244 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513,507 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513,665 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available-for-sale securities in an unrealized loss position for which an allowance for credit losses has not been recorded as of December 31, 2025 and 2024, aggregated by major security type and length of time in a continuous unrealized loss position:</w:t>
      </w:r>
    </w:p>
    <w:tbl>
      <w:tblPr>
        <w:tblW w:w="10205" w:type="dxa"/>
        <w:jc w:val="center"/>
        <w:tblInd w:w="0" w:type="dxa"/>
        <w:tblLayout w:type="fixed"/>
        <w:tblCellMar>
          <w:top w:w="28" w:type="dxa"/>
          <w:left w:w="28" w:type="dxa"/>
          <w:bottom w:w="28" w:type="dxa"/>
          <w:right w:w="28" w:type="dxa"/>
        </w:tblCellMar>
      </w:tblPr>
      <w:tblGrid>
        <w:gridCol w:w="907"/>
        <w:gridCol w:w="796"/>
        <w:gridCol w:w="799"/>
        <w:gridCol w:w="211"/>
        <w:gridCol w:w="856"/>
        <w:gridCol w:w="109"/>
        <w:gridCol w:w="109"/>
        <w:gridCol w:w="109"/>
        <w:gridCol w:w="109"/>
        <w:gridCol w:w="249"/>
        <w:gridCol w:w="568"/>
        <w:gridCol w:w="129"/>
        <w:gridCol w:w="109"/>
        <w:gridCol w:w="109"/>
        <w:gridCol w:w="109"/>
        <w:gridCol w:w="241"/>
        <w:gridCol w:w="465"/>
        <w:gridCol w:w="124"/>
        <w:gridCol w:w="109"/>
        <w:gridCol w:w="109"/>
        <w:gridCol w:w="109"/>
        <w:gridCol w:w="274"/>
        <w:gridCol w:w="529"/>
        <w:gridCol w:w="143"/>
        <w:gridCol w:w="109"/>
        <w:gridCol w:w="109"/>
        <w:gridCol w:w="109"/>
        <w:gridCol w:w="211"/>
        <w:gridCol w:w="856"/>
        <w:gridCol w:w="109"/>
        <w:gridCol w:w="109"/>
        <w:gridCol w:w="109"/>
        <w:gridCol w:w="109"/>
        <w:gridCol w:w="247"/>
        <w:gridCol w:w="563"/>
        <w:gridCol w:w="18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Less Than 12 Months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 xml:space="preserve">Total </w:t>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Losses</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180,961 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180,961 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8"/>
        <w:gridCol w:w="797"/>
        <w:gridCol w:w="800"/>
        <w:gridCol w:w="211"/>
        <w:gridCol w:w="856"/>
        <w:gridCol w:w="109"/>
        <w:gridCol w:w="109"/>
        <w:gridCol w:w="109"/>
        <w:gridCol w:w="109"/>
        <w:gridCol w:w="249"/>
        <w:gridCol w:w="568"/>
        <w:gridCol w:w="129"/>
        <w:gridCol w:w="109"/>
        <w:gridCol w:w="109"/>
        <w:gridCol w:w="109"/>
        <w:gridCol w:w="240"/>
        <w:gridCol w:w="463"/>
        <w:gridCol w:w="124"/>
        <w:gridCol w:w="109"/>
        <w:gridCol w:w="109"/>
        <w:gridCol w:w="109"/>
        <w:gridCol w:w="274"/>
        <w:gridCol w:w="529"/>
        <w:gridCol w:w="143"/>
        <w:gridCol w:w="109"/>
        <w:gridCol w:w="109"/>
        <w:gridCol w:w="109"/>
        <w:gridCol w:w="211"/>
        <w:gridCol w:w="856"/>
        <w:gridCol w:w="109"/>
        <w:gridCol w:w="109"/>
        <w:gridCol w:w="109"/>
        <w:gridCol w:w="109"/>
        <w:gridCol w:w="247"/>
        <w:gridCol w:w="563"/>
        <w:gridCol w:w="18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Less Than 12 Months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12 Months or Longer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Total</w:t>
            </w:r>
            <w:r>
              <w:rPr>
                <w:color w:val="000000"/>
              </w:rPr>
              <w:t xml:space="preserve"> </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Unrealized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 xml:space="preserve">Losses </w:t>
            </w:r>
          </w:p>
        </w:tc>
      </w:tr>
      <w:tr>
        <w:trPr/>
        <w:tc>
          <w:tcPr>
            <w:tcW w:w="2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63"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 government agency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249,264 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(493)</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they will be required to sell the securities before recovery of the unamortized cost basis. As of December 31, 2025 and 2024,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December 31, 2025 and 2024.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were $0.7 million and $0.3 million net unrealized gains on marketable securities for the years ended December 31, 2025 and 2023, respectively, and $0.1 million net unrealized losses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050"/>
                <wp:effectExtent l="0" t="0" r="0" b="0"/>
                <wp:wrapNone/>
                <wp:docPr id="146" name="Frame1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December 31, 2024. There were no realized gains on marketable securities for the years ended December 31, 2025, 2024 and 2023.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Interest on marketable securities is included in interest income. Accrued interest receivable on available-for-sale debt securities totaled $4.5 million and $3.4 million as of December 31, 2025 and 2024, respectively, and is excluded from the estimate of credit losses.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contractual maturities of the Company's marketable securities at estimated fair value (in thousands):</w:t>
      </w:r>
    </w:p>
    <w:tbl>
      <w:tblPr>
        <w:tblW w:w="5198" w:type="dxa"/>
        <w:jc w:val="center"/>
        <w:tblInd w:w="0" w:type="dxa"/>
        <w:tblLayout w:type="fixed"/>
        <w:tblCellMar>
          <w:top w:w="28" w:type="dxa"/>
          <w:left w:w="28" w:type="dxa"/>
          <w:bottom w:w="28" w:type="dxa"/>
          <w:right w:w="28" w:type="dxa"/>
        </w:tblCellMar>
      </w:tblPr>
      <w:tblGrid>
        <w:gridCol w:w="893"/>
        <w:gridCol w:w="788"/>
        <w:gridCol w:w="793"/>
        <w:gridCol w:w="211"/>
        <w:gridCol w:w="856"/>
        <w:gridCol w:w="109"/>
        <w:gridCol w:w="109"/>
        <w:gridCol w:w="109"/>
        <w:gridCol w:w="109"/>
        <w:gridCol w:w="211"/>
        <w:gridCol w:w="856"/>
        <w:gridCol w:w="154"/>
      </w:tblGrid>
      <w:tr>
        <w:trPr/>
        <w:tc>
          <w:tcPr>
            <w:tcW w:w="8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Due in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440,895 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338,442 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Due in 1 - 2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175,223 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670,812 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513,665 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may sell investments at any time for use in current operations even if they have not yet reached maturity. As a result, the Company classifies marketable securities, including securities with maturities beyond twelve months, as current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5.  Property and Equipment, Net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did not have any property, plant, and equipment assets as of December 31, 2025 and 2024.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Depreciation and amortization expense for the years ended December 31, 2023 was $0.7 million. There was no depreciation and amortization expense for the year ended December 31, 2025 and 2024. All of the Company’s long-lived assets were located in the United States.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Sale of Assets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12, 2023, based on the review of the inconclusive interim results from the Company's Phase 1/2 clinical trial of pegtarviliase for the treatment of classical homocystinuria and other business considerations, the Company announced that it had initiated a process to explore strategic alternatives to maximize stockholder value and engaged an independent exclusive financial advisor to support this process. As a result, the Company implemented a restructuring plan resulting in an approximate 83% reduction of the Company’s existing headcount by June 30, 2023.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quarter of 2023, the Company sold various lab equipment, consumables, and furniture and fixtures for total consideration of $0.5 million. After recording the disposal of all the Company's property and equipment net of proceeds, the Company recorded a $0.7 million and $0.2 million loss on disposal of long-lived assets which is included in Research and development and General and administrative expenses,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050"/>
                <wp:effectExtent l="0" t="0" r="0" b="0"/>
                <wp:wrapNone/>
                <wp:docPr id="147" name="Frame1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6.  Accrued and Other Current Liabilities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Accrued and other current liabilities consist of the following (in thousands):</w:t>
      </w:r>
    </w:p>
    <w:tbl>
      <w:tblPr>
        <w:tblW w:w="7224" w:type="dxa"/>
        <w:jc w:val="center"/>
        <w:tblInd w:w="0" w:type="dxa"/>
        <w:tblLayout w:type="fixed"/>
        <w:tblCellMar>
          <w:top w:w="28" w:type="dxa"/>
          <w:left w:w="28" w:type="dxa"/>
          <w:bottom w:w="28" w:type="dxa"/>
          <w:right w:w="28" w:type="dxa"/>
        </w:tblCellMar>
      </w:tblPr>
      <w:tblGrid>
        <w:gridCol w:w="1706"/>
        <w:gridCol w:w="1499"/>
        <w:gridCol w:w="1505"/>
        <w:gridCol w:w="211"/>
        <w:gridCol w:w="751"/>
        <w:gridCol w:w="109"/>
        <w:gridCol w:w="109"/>
        <w:gridCol w:w="109"/>
        <w:gridCol w:w="109"/>
        <w:gridCol w:w="211"/>
        <w:gridCol w:w="751"/>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contracted research and development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professional and consulting fees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7.  Asset Acquisition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June 22, 2023, the Company acquired Pre-Merger Spyre pursuant to the Acquisition Agreement, by and among the Company, First Merger Sub, Second Merger Sub and Pre-Merger Spyre. Pursuant to the Acquisition Agreement, First Merger Sub merged with and into Pre-Merger Spyre, pursuant to which Pre-Merger Spyre was the surviving corporation and became the Company's wholly owned subsidiary (the “First Merger”). Immediately following the First Merger, Pre-Merger Spyre merged with and into Second Merger Sub, pursuant to which Second Merger Sub became the surviving entity. Pre-Merger Spyre was a pre-clinical stage biotechnology company that was incorporated on April 28, 2023 under the direction of Peter Harwin, a Managing Member of Fairmount, for the purpose of holding rights to certain intellectual property being developed by Paragon. Fairmount is a founder of Paragon.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With respect to the Asset Acquisition, the Company determined that Aeglea was the acquirer for accounting purposes under ASC 805. The primary factors considered were a) the relative voting rights in the combined entity not resulting in a change of control, b) legacy members of the Company's Board of Directors maintained control of the Board of Directors, and c) the only change in the composition of senior management was the appointment of a new Chief Operating Officer. Next, the Company considered whether the Asset Acquisition should be defined as a business under ASC 805. ASC 805-10-55-5A through 55-5C describe a screen test to determine whether an acquired set of assets and activities is not a business. We determined that substantially all (greater than 90%) of the fair value of the assets acquired were concentrated in a single asset, Spyre’s Option to license intellectual property rights related to SPY001, SPY002, SPY003 and an additional research program pursuant to the Paragon Agreement. Accordingly, the Company treated the Asset Acquisition as an asset acquisition for accounting purposes. Even if the transaction would have failed the screen test, Pre-Merger Spyre lacked the financial resources to have inputs, processes, and outputs to constitute a business under ASC 805.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completed the Asset Acquisition of Pre-Merger Spyre, in accordance with the terms of the Acquisition Agreement. Under the terms of the Acquisition Agreement, the Company issued 517,809 shares of common stock and 364,887 shares of Series A Preferred Stock to former Pre-Merger Spyre security holders. In addition, outstanding and unexercised stock options to purchase 2,734 shares of common stock were assumed from the Amended and Restated Spyre 2023 Equity Incentive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At the acquisition date, the Company recorded forward contracts to represent the obligation to issue shares of the Company's common stock and shares of Series A Preferred Stock. The forward contract related to the common stock was recorded as Additional paid-in capital as the instrument is indexed to the Company's common stock. The forward contract related to the Series A Preferred Stock was recorded as a liability, as the underlying stock has a cash redemption feature. On July 7, 2023, both the shares of common stock and Series A Preferred Stock were issued and the forward contract liability associated with the Series A Preferred Stock was settled accordingly.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concluded that the arrangement meets the definition of an asset acquisition rather than a business combination, as substantially all of the fair value of the gross assets acquired is concentrated in a single identifiable asset, the Option to exclusively license IPR&amp;D. The Company determined that the Option to license IPR&amp;D was a single asset as the Company's strategy relies on developing the entire portfolio of individual treatments to create combination treatments that simultaneously address different mechanisms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050"/>
                <wp:effectExtent l="0" t="0" r="0" b="0"/>
                <wp:wrapNone/>
                <wp:docPr id="148" name="Frame1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irritable bowel disease with a single treatment. The Company also determined that the pipeline candidates within the portfolio are similar in nature and risk profile. In addition, the Company did not obtain any substantive processes, assembled workforce, or employees capable of producing outputs in connection with the Asset Acquisition.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determined that the cost to acquire the asset was $113.2 million which was recorded as acquired IPR&amp;D. The fair value of the consideration issued consisted of the 364,887 shares of Series A Preferred Stock (14,595,480 shares of common stock on an as-converted basis) and 517,809 shares of common stock, valued at $291.08 per share and $7.277 per share,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Asset Acquisition costs are shown on the following table (in millions):</w:t>
      </w:r>
    </w:p>
    <w:tbl>
      <w:tblPr>
        <w:tblW w:w="7475" w:type="dxa"/>
        <w:jc w:val="left"/>
        <w:tblInd w:w="0" w:type="dxa"/>
        <w:tblLayout w:type="fixed"/>
        <w:tblCellMar>
          <w:top w:w="28" w:type="dxa"/>
          <w:left w:w="28" w:type="dxa"/>
          <w:bottom w:w="28" w:type="dxa"/>
          <w:right w:w="28" w:type="dxa"/>
        </w:tblCellMar>
      </w:tblPr>
      <w:tblGrid>
        <w:gridCol w:w="2341"/>
        <w:gridCol w:w="2059"/>
        <w:gridCol w:w="2064"/>
        <w:gridCol w:w="211"/>
        <w:gridCol w:w="646"/>
        <w:gridCol w:w="154"/>
      </w:tblGrid>
      <w:tr>
        <w:trPr/>
        <w:tc>
          <w:tcPr>
            <w:tcW w:w="234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22,</w:t>
              <w:br/>
              <w:t>2023</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Consideration transferred in Series A Preferred Stock and common stock</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Transaction costs incurred by the Company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cost to acquire asset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allocation of the purchase price to net assets acquired is as a follows:</w:t>
      </w:r>
    </w:p>
    <w:tbl>
      <w:tblPr>
        <w:tblW w:w="5211" w:type="dxa"/>
        <w:jc w:val="left"/>
        <w:tblInd w:w="0" w:type="dxa"/>
        <w:tblLayout w:type="fixed"/>
        <w:tblCellMar>
          <w:top w:w="28" w:type="dxa"/>
          <w:left w:w="28" w:type="dxa"/>
          <w:bottom w:w="28" w:type="dxa"/>
          <w:right w:w="28" w:type="dxa"/>
        </w:tblCellMar>
      </w:tblPr>
      <w:tblGrid>
        <w:gridCol w:w="1522"/>
        <w:gridCol w:w="1337"/>
        <w:gridCol w:w="1341"/>
        <w:gridCol w:w="211"/>
        <w:gridCol w:w="64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June 22,</w:t>
              <w:br/>
              <w:t>2023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Acquired in-process research and development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acquired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Assumed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cost to acquire asset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8.  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May 2023, Pre-Merger Spyre entered into the original Paragon Agreement with Paragon and Parapyre Holding LLC ("Parapyre"), which was subsequently amended and restated on September 29, 2023 and May 14, 2024. Pursuant to the Paragon Agreement, the Option provided for the right to acquire the intellectual property rights related to four research programs from Paragon in accordance with a license agreement to be entered into following each exercise of the Option. Under the Paragon Agreement, the terms of such license agreement would be consistent with the economics and other terms set out in the Paragon Agreement and, in the event of failure to reach an agreement on the definitive terms, the matter would be resolved via arbitration. In consideration for the Option granted under the Paragon Agreement, Pre-Merger Spyre was obligated to pay Paragon an upfront cash amount of $3.0 million in research initiation fees. In addition, Pre-Merger Spyre was obligated to compensate Paragon on a quarterly basis for its services performed under each research program based on the actual costs incurred with mark-up costs pursuant to the terms of the Paragon Agreement. As of the date of the Asset Acquisition, Pre-Merger Spyre had incurred total expenses of $19.0 million under the Paragon Agreement since inception, which included the $3.0 million research initiation fee and $16.0 million of historical reimbursable expenses owed to Paragon. As of June 22, 2023, $19.0 million was unpaid and was assumed by the Company through the Asset Acquisition. Furthermore, the Paragon Agreement provided for an annual equity grant of options to purchase 1% of the then outstanding shares of Spyre’s common stock, on a fully diluted basis, on the last business day of each calendar year, during the term of the Paragon Agreement, at the fair market value determined by the board of directors of Spyre (the "Parapyre Option Obligation").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result of the Asset Acquisition, the Company assumed the rights and obligations of Pre-Merger Spyre under the Paragon Agreement, including the Parapyre Option Obligation. Pursuant to the Paragon Agreement, on a research program-by-research program basis following the finalization of the research plan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050"/>
                <wp:effectExtent l="0" t="0" r="0" b="0"/>
                <wp:wrapNone/>
                <wp:docPr id="149" name="Frame1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each respective research program, the Company is required to pay Paragon a nonrefundable fee in cash of $0.8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September 2023, the Company amended the Paragon Agreement to amend and restate certain terms of the option grant pertaining to the Parapyre Option Obligation, including but not limited to (i) defining that the annual equity grant of warrants is based on the outstanding shares of the Company’s common stock on a fully-diluted basis, (ii) establishing the grant date as the last business day of 2023 and 2024, and (iii) defining the term of the warrants granted as ten years.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2024, the Company, Paragon and Parapyre entered into a second amended and restated antibody discovery and option agreement that amends and restates that certain amended and restated antibody discovery and option agreement, dated September 29, 2023, by and between Paragon, Parapyre and Spyre Therapeutics, LLC, in order to, among other things, (i) replace the Company’s subsidiary with the Company as a party to the agreement and (ii) amend certain terms related to the SPY003 research program, including without limitation, (a) establishing an SPY003 antibody selection process pursuant to which the Company and Paragon shall alternate in turn to select a project antibody to be included and excluded, respectively, from the Company’s rights under its option to license certain intellectual property rights related to SPY003 from Paragon until all project antibodies under the SPY003 research program have been selected; (b) reducing the development costs invoiced to the Company for the SPY003 research program incurred from and after April 1, 2024 through completion of the SPY003 antibody selection process by 50%; (c) requiring Paragon to reimburse the Company for 50% of the development costs for the SPY003 research program incurred prior to April 1, 2024; provided, that Paragon receives rights to at least one SPY003 project antibody following completion of the SPY003 antibody selection process; (d) obligating the Company to exercise its option to license the intellectual property rights to SPY003 project antibodies and technology following the completion of the SPY003 antibody selection process; and (e) establishing a license agreement term sheet for the SPY003 research program with substantially similar milestone payment terms and royalty payment terms as the SPY001 License Agreement. See Note 9 for disclosures related to the License Agreements entered into with Paragon.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Licensing Agreements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12, 2023, December 14, 2023, and June 5, 2024, the Company exercised the Option available under the Paragon Agreement with respect to the SPY001, SPY002, and SPY003 research programs,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May 14, 2024, the Company and Paragon entered into (i) a license agreement (the “SPY001 License Agreement”), pursuant to which Paragon granted the Company a royalty-bearing, world-wide, exclusive license to develop, manufacture, commercialize or otherwise exploit certain antibodies and products targeting α4ß7 integrin and (ii) a license agreement (the “SPY002 License Agreement”), pursuant to which Paragon granted the Company a royalty-bearing, world-wide, exclusive license to develop, manufacture, commercialize or otherwise exploit certain antibodies and products targeting TL1A, respectively.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October 11, 2024, the Company and Paragon entered into a license agreement (the "SPY003 License Agreement" and, together with the SPY001 License Agreement and the SPY002 License Agreement, the "License Agreements"), pursuant to which Paragon granted the Company a royalty-bearing, world-wide, exclusive license to develop, manufacture, commercialize or otherwise exploit certain antibodies and products targeting IL-23 in the field of IBD.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February 24, 2025, the SPY003 License Agreement was amended and restated to, among other things, clarify each party's rights and obligations with respect to license exclusivity and patent prosecution and correct certain clerical errors.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Under the terms of each License Agreement, the Company is obligated to pay Paragon up to $22.0 million based on specific development, regulatory and clinical milestones for the first product under each agreement, respectively, that achieves such specified milestones, including a milestone payment of $3.0 million upon the first dosing of a human patient in a Phase 2 trial. In addition, the following summarizes other key terms of each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050"/>
                <wp:effectExtent l="0" t="0" r="0" b="0"/>
                <wp:wrapNone/>
                <wp:docPr id="150" name="Frame1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Paragon will provide the Company with an exclusive license (such license, with respect to the SPY003 License Agreement only, being limited to the field of IBD) to its patents covering the related antibody, the method of use and its method of manufacture.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Paragon will not conduct any new campaigns that generate anti-α4ß7 or anti-TL1A monospecific antibodies in any field or anti-IL-23 monospecific antibodies in the field of IBD, in each case for at least 5 years.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Company will pay Paragon a low single-digit percentage royalty for single antibody products and a mid single-digit percentage royalty for products containing more than one antibody from Paragon.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There is a royalty step-down of 1/3rd if there is no Paragon patent in effect during the royalty term.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The royalty term ends on the later of (i) the last-to-expire licensed patent or Company patent directed to the manufacture, use or sale of a licensed antibody in the country at issue or (ii) 12 years from the date of first sale of a Company product.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Agreement may be terminated on 60 days’ notice by the Company; on material breach without cure; and to the extent permitted by law, on a party’s insolvency or bankruptcy.</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With respect to the SPY002 License Agreement only, on a product by product basis, the Company will pay sublicensing fees of up to approximately $20.0 million upon the achievement of mostly commercial milestones.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recognizes the expense associated with each milestone when the achievement of the milestone is deemed probable. During the years ended December 31, 2025 and 2024, the Company recognized expense of $8.5 million and $9.5 million, respectively, related to Paragon license milestone payments recorded within Research and development expenses in the accompanying condensed statement of operations. There was no such expense for the year ended December 31, 2023.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years ended December 31, 2025 and 2024, the Company made cash milestone payments to Paragon totaling $8.5 million and $9.5 million. There were no such payments for the year ended December 31, 2023. As of December 31, 2025 and 2024, there were no Paragon license milestone payments outstanding and payable to Paragon.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Additionally, the Company recognized $1.9 million and $0.7 million related to sublicensing fees and which was recorded as Research and development expenses in the accompanying statement of operations for the year ended December 31, 2025 and 2024, respectively. There was no such expense for the year ended December 31, 2023. For the year ended December 31, 2025 and 2024, the Company made sublicensing fees payments to Paragon totaling $2.4 million and $0.2 million. There were no such payments for the year ended December 31, 2023.</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and 2024, nil and $0.5 million in sublicensing fees were outstanding and payable to Paragon,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Related Party Transactions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Paragon and Parapyre each beneficially own less than 5% of a class of the Company's voting securities through their respective holdings of the Company's common stock. Fairmount Funds Management LLC ("Fairmount") beneficially owns more than 5% of a class of the Company's voting securities, has two seats on the Board (held by Peter Harwin and Tomas Kiselak) and beneficially owns more than 5% of Paragon. Fairmount appointed Paragon's board of directors and has the contractual right to approve the appointment of any executive officers of Paragon. Parapyre is an entity formed by Paragon as a vehicle to hold equity in Spyre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050"/>
                <wp:effectExtent l="0" t="0" r="0" b="0"/>
                <wp:wrapNone/>
                <wp:docPr id="151" name="Frame1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order to share profits with certain employees of Paragon and will not perform any substantive role under the Paragon Agreement other than to receive warrants granted to Parapyre under the Paragon Agreement.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the summary of expenses related to the Paragon Agreement and License Agreements, which are ultimately settled in cash (in millions) and recorded within Research and development in the consolidated statement of operations for the periods presented:</w:t>
      </w:r>
    </w:p>
    <w:tbl>
      <w:tblPr>
        <w:tblW w:w="8254" w:type="dxa"/>
        <w:jc w:val="left"/>
        <w:tblInd w:w="0" w:type="dxa"/>
        <w:tblLayout w:type="fixed"/>
        <w:tblCellMar>
          <w:top w:w="28" w:type="dxa"/>
          <w:left w:w="28" w:type="dxa"/>
          <w:bottom w:w="28" w:type="dxa"/>
          <w:right w:w="28" w:type="dxa"/>
        </w:tblCellMar>
      </w:tblPr>
      <w:tblGrid>
        <w:gridCol w:w="1722"/>
        <w:gridCol w:w="1514"/>
        <w:gridCol w:w="1518"/>
        <w:gridCol w:w="211"/>
        <w:gridCol w:w="541"/>
        <w:gridCol w:w="109"/>
        <w:gridCol w:w="109"/>
        <w:gridCol w:w="109"/>
        <w:gridCol w:w="109"/>
        <w:gridCol w:w="211"/>
        <w:gridCol w:w="541"/>
        <w:gridCol w:w="109"/>
        <w:gridCol w:w="109"/>
        <w:gridCol w:w="109"/>
        <w:gridCol w:w="109"/>
        <w:gridCol w:w="211"/>
        <w:gridCol w:w="541"/>
        <w:gridCol w:w="109"/>
        <w:gridCol w:w="109"/>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Reimbursable costs under the Paragon Agreement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License Agreements milestone and sublicensing fees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related party expense (excludes stock comp)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the summary of Related party accounts payable and other current liabilities (in millions):</w:t>
      </w:r>
    </w:p>
    <w:tbl>
      <w:tblPr>
        <w:tblW w:w="7613" w:type="dxa"/>
        <w:jc w:val="left"/>
        <w:tblInd w:w="0" w:type="dxa"/>
        <w:tblLayout w:type="fixed"/>
        <w:tblCellMar>
          <w:top w:w="28" w:type="dxa"/>
          <w:left w:w="28" w:type="dxa"/>
          <w:bottom w:w="28" w:type="dxa"/>
          <w:right w:w="28" w:type="dxa"/>
        </w:tblCellMar>
      </w:tblPr>
      <w:tblGrid>
        <w:gridCol w:w="2086"/>
        <w:gridCol w:w="1834"/>
        <w:gridCol w:w="1839"/>
        <w:gridCol w:w="211"/>
        <w:gridCol w:w="406"/>
        <w:gridCol w:w="109"/>
        <w:gridCol w:w="109"/>
        <w:gridCol w:w="109"/>
        <w:gridCol w:w="109"/>
        <w:gridCol w:w="211"/>
        <w:gridCol w:w="436"/>
        <w:gridCol w:w="154"/>
      </w:tblGrid>
      <w:tr>
        <w:trPr/>
        <w:tc>
          <w:tcPr>
            <w:tcW w:w="2086"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Reimbursable costs under the Paragon Agreement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License Agreements development milestone liability (see Note 9)</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related party accounts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the Asset Acquisition, the Company assumed the rights and obligations of Pre-Merger Spyre under the Paragon Agreement. Under the Paragon Agreement, Spyre is obligated to compensate Paragon for its services performed under each research program based on the actual costs incurred with mark-up costs pursuant to the terms of the Paragon Agreement. As of the date of the Asset Acquisition, Pre-Merger Spyre had incurred total expenses of $19.0 million under the Paragon Agreement since inception, which included the $3.0 million research initiation fee and $16.0 million of reimbursable expenses under the Paragon Agreement for historical costs owed to Paragon. As of the acquisition date, $19.0 million was unpaid and was assumed by the Company through the Asset Acquisition. The Paragon Agreement was amended and restated on September 29, 2023 and May 14, 2024. Please refer to Note 8 for additional information on the Paragon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12, 2023, December 14, 2023, and June 5, 2024, the Company exercised the Option available under the Paragon Agreement with respect to the SPY001, SPY002 and SPY003 research programs, respectively. The Option with respect to one additional program remains unexercised under the Paragon Agreement. Please refer to Note 9 for additional information on the License Agreements related to the exercised options.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May 14, 2024, the Company, Paragon and Parapyre entered into a second amended and restated antibody discovery and option agreement that amends and restates that certain amended and restated antibody discovery and option agreement, dated September 29, 2023, by and between Paragon, Parapyre and Spyre Therapeutics, LLC, in order to, among other things, (i) replace the Company’s subsidiary with the Company as a party to the agreement and (ii) amend certain terms related to the SPY003 research program, including without limitation, (a) establishing an SPY003 antibody selection process pursuant to which the Company and Paragon shall alternate in turn to select a project antibody to be included and excluded, respectively, from the Company’s rights under its option to license certain intellectual property rights related to SPY003 from Paragon until all project antibodies under the SPY003 research program have been selected; (b) reducing the development costs invoiced to the Company for the SPY003 research program incurred from and after April 1, 2024 through completion of the SPY003 antibody selection process by 50%; (c) requiring Paragon to reimburse the Company for 50% of the development costs for the SPY003 research program incurred prior to April 1, 2024; provided, that Paragon receives rights to at least one SPY003 project antibody following completion of the SPY003 antibody selection process; (d) obligating the Company to exercise its option to license the intellectual property rights to SPY003 project antibodies and technology following the completion of the SPY003 antibody selection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050"/>
                <wp:effectExtent l="0" t="0" r="0" b="0"/>
                <wp:wrapNone/>
                <wp:docPr id="152" name="Frame1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process; and (e) establishing a license agreement term sheet for the SPY003 research program with substantially similar milestone payment terms and royalty payment terms as the SPY001 License Agreement. Please refer to Note 9 for additional disclosures.</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For the years ended December 31, 2025, 2024 and 2023, the Company recognized expenses related to services provided by Paragon subsequent to the Asset Acquisition totaling $0.1 million and $29.8 million and $48.5 million, which included nil , $14.5 million and $11.4 million of stock-based compensation expense, respectively, and were recorded as Research and development expenses in the consolidated statements of operations. </w:t>
      </w:r>
      <w:r>
        <w:rPr>
          <w:rFonts w:ascii="Arial;sans-serif" w:hAnsi="Arial;sans-serif"/>
          <w:b w:val="false"/>
          <w:color w:val="000000"/>
          <w:sz w:val="24"/>
        </w:rPr>
        <w:t>I</w:t>
      </w:r>
      <w:r>
        <w:rPr>
          <w:rFonts w:ascii="Arial;sans-serif" w:hAnsi="Arial;sans-serif"/>
          <w:b w:val="false"/>
          <w:color w:val="000000"/>
          <w:sz w:val="20"/>
        </w:rPr>
        <w:t>ncluded within the expenses recognized for services provided by Paragon for the year ended December 31, 2024, is a $5.9 million reduction in Research and development expenses related to the reimbursement of 50% of the development costs for the SPY003 research program by Paragon.</w:t>
      </w:r>
    </w:p>
    <w:p>
      <w:pPr>
        <w:pStyle w:val="TextBody"/>
        <w:bidi w:val="0"/>
        <w:spacing w:lineRule="auto" w:line="288" w:before="240" w:after="283"/>
        <w:ind w:left="0" w:right="0" w:firstLine="720"/>
        <w:jc w:val="both"/>
        <w:rPr/>
      </w:pPr>
      <w:r>
        <w:rPr>
          <w:rFonts w:ascii="Arial;sans-serif" w:hAnsi="Arial;sans-serif"/>
          <w:b w:val="false"/>
          <w:color w:val="000000"/>
          <w:sz w:val="20"/>
        </w:rPr>
        <w:t>For the years ended December 31, 2025, 2024 and 2023, the Company made payments totaling $0.2 million and $31.8 million and $39.5 million, respectively, to Paragon</w:t>
      </w:r>
      <w:r>
        <w:rPr>
          <w:rFonts w:ascii="Arial;sans-serif" w:hAnsi="Arial;sans-serif"/>
          <w:b w:val="false"/>
          <w:color w:val="000000"/>
          <w:sz w:val="24"/>
        </w:rPr>
        <w:t xml:space="preserve">.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Parapyre Option Obligation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Paragon Agreement, the Company issued Parapyre an annual equity grant of warrants, on the last business day of each of the years ended December 31, 2023 and December 31, 2024, to purchase 1% of the then outstanding shares of the Company's common stock, on a fully diluted basis, during the term of the Paragon Agreement. See Note 15 for disclosures related to the Parapyre Option Obligation.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Paragon License Agreements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See Note 9 for disclosures related to the License Agreements entered into with Paragon.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December 2023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December 11, 2023, the Company completed December 2023 PIPE. The December 2023 PIPE Investors included Fairmount, a related party. Fairmount's participation in the December 2023 PIPE was approved by the Company's board of directors. Fairmount's investment accounted for $10.0 million of the $180.0 million gross proceeds raised in the December 2023 PIPE. See Note 1 for disclosures related to the December 2023 PIPE.</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Mark McKenna Option Grant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February 1, 2024, the Board appointed Mark McKenna as a Class I director. Mr. McKenna and the Company are parties to a consulting agreement, pursuant to which Mr. McKenna agreed to continue to provide consulting services as an independent contractor to the Company, with an effective date of August 1, 2023 (the “Vesting Commencement Date”). As compensation for Mr. McKenna’s consulting services, on November 22, 2023, he was granted non-qualified stock options to purchase 477,000 shares of the Company’s common stock under the Company's equity incentive plan with an exercise price of $10.39 per share, which vest as to 25% on the one year anniversary of the Vesting Commencement Date and thereafter vest and become exercisable in 48th equal monthly installments, subject to Mr. McKenna’s continued service to the Company through each applicable vesting date. For the years ended December 31, 2025, 2024 and 2023, the Company recognized $1.0 million, $1.1 million and $0.1 million, respectively, in stock-based compensation expense related to Mr. McKenna's consulting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11.  Leases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Prior to the Company's restructuring, as described in Note 17, the Company leased certain office space, laboratory facilities, and equipment. These leases required monthly lease payments that were subject to annual increases throughout the lease term. Certain of these leases also included renewal options at the election of the Company to renew or extend the lease for an additional three to five years. These optional periods were not considered in the determination of the right-of-use assets or lease liabilities associated with these leases as the Company did not consider it reasonably certain it would exercise the options. The Company performed evaluations of its contracts and determined it has both operating and finance leases. Variable lease expense for these leases primarily consisted of common area maintenance and other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050"/>
                <wp:effectExtent l="0" t="0" r="0" b="0"/>
                <wp:wrapNone/>
                <wp:docPr id="153" name="Frame1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139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2019, the Company entered into a lease agreement (the “Las Cimas Lease”) for its corporate headquarters and laboratory space located in Austin, Texas. The Las Cimas Lease included approximately 30,000 square feet and commenced on April 30, 2019, with an expiration on April 30, 2028. The Company posted a customary letter of credit in the amount of $1.5 million as security, which is subject to automatic reductions per the terms of the Las Cimas Lease. A tenant allowance of up to $1.0 million was provided by the lessor and fully reimbursed to the Company.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2023, the Company terminated the Las Cimas Lease. The negotiated termination agreement obligated the Company to pay the lessor a $2.0 million termination fee in exchange for releasing the Company of all further obligations under the lease including terminating the associated letter of credit.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lease costs pertaining to the Company’s operating leases (in thousands):</w:t>
      </w:r>
    </w:p>
    <w:tbl>
      <w:tblPr>
        <w:tblW w:w="4871" w:type="dxa"/>
        <w:jc w:val="center"/>
        <w:tblInd w:w="0" w:type="dxa"/>
        <w:tblLayout w:type="fixed"/>
        <w:tblCellMar>
          <w:top w:w="28" w:type="dxa"/>
          <w:left w:w="28" w:type="dxa"/>
          <w:bottom w:w="28" w:type="dxa"/>
          <w:right w:w="28" w:type="dxa"/>
        </w:tblCellMar>
      </w:tblPr>
      <w:tblGrid>
        <w:gridCol w:w="695"/>
        <w:gridCol w:w="611"/>
        <w:gridCol w:w="613"/>
        <w:gridCol w:w="211"/>
        <w:gridCol w:w="406"/>
        <w:gridCol w:w="109"/>
        <w:gridCol w:w="109"/>
        <w:gridCol w:w="109"/>
        <w:gridCol w:w="109"/>
        <w:gridCol w:w="211"/>
        <w:gridCol w:w="406"/>
        <w:gridCol w:w="109"/>
        <w:gridCol w:w="109"/>
        <w:gridCol w:w="109"/>
        <w:gridCol w:w="109"/>
        <w:gridCol w:w="211"/>
        <w:gridCol w:w="48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Variable lease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paid for amounts included in the measurement of operating lease liabilities during the years ended December 31, 2023 was $0.5 million, respectively, and was included within net cash used in operating activities in the cash flows. There were no such payments for the years ended December 31, 2025 and 2024.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and 2024, the Company had no operating or finance lease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12. Convertible Preferred Stock and Stockholders’ Equity</w:t>
      </w:r>
    </w:p>
    <w:p>
      <w:pPr>
        <w:pStyle w:val="TextBody"/>
        <w:bidi w:val="0"/>
        <w:spacing w:lineRule="auto" w:line="288" w:before="240" w:after="283"/>
        <w:ind w:left="0" w:right="0" w:firstLine="720"/>
        <w:jc w:val="both"/>
        <w:rPr/>
      </w:pPr>
      <w:r>
        <w:rPr>
          <w:rFonts w:ascii="Arial;sans-serif" w:hAnsi="Arial;sans-serif"/>
          <w:b w:val="false"/>
          <w:color w:val="000000"/>
          <w:sz w:val="20"/>
        </w:rPr>
        <w:t>The Company is authorized to issue 410,000,000 shares of capital stock of which 400,000,000 shares are designated as common stock and 10,000,000 shares are designated as preferred stock, all with a par value of $0.0001 per share.</w:t>
      </w:r>
      <w:r>
        <w:rPr>
          <w:color w:val="000000"/>
        </w:rPr>
        <w:t xml:space="preserve"> </w:t>
      </w:r>
      <w:r>
        <w:rPr>
          <w:rFonts w:ascii="Arial;sans-serif" w:hAnsi="Arial;sans-serif"/>
          <w:b w:val="false"/>
          <w:color w:val="000000"/>
          <w:sz w:val="20"/>
        </w:rPr>
        <w:t>Each holder of common stock is entitled to</w:t>
      </w:r>
      <w:r>
        <w:rPr>
          <w:color w:val="000000"/>
        </w:rPr>
        <w:t xml:space="preserve"> </w:t>
      </w:r>
      <w:r>
        <w:rPr>
          <w:rFonts w:ascii="Arial;sans-serif" w:hAnsi="Arial;sans-serif"/>
          <w:b w:val="false"/>
          <w:color w:val="000000"/>
          <w:sz w:val="20"/>
        </w:rPr>
        <w:t>one vote for each share of common stock held. The common stock is not entitled to preemptive rights, and is not subject to conversion, redemption or sinking fund provisions. Subject to preferences that may apply to any shares of preferred stock outstanding at the time, the holders of common stock are entitled to receive dividends out of funds legally available if the board of directors, in its discretion, determines to issue dividends and then only at the times and in the amounts that the board of directors may determine.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December 31, 2025 and 2024, no common stock dividends had been declared by the board of directors.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June 2023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2023, in connection with the Asset Acquisition, the Company issued and sold 721,452 shares of Series A Preferred Stock at $291.08 per share through a private placement to a group of accredited investors. The net proceeds from this offering were approximately $197.3 million, after deducting placement agent fees and offering costs of $12.7 million.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December 2023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December 2023, the Company issued and sold 6,000,000 shares of common stock at an offering price of $15.00 per share and 150,000 shares of Series B Preferred Stock at $600 per share through a private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050"/>
                <wp:effectExtent l="0" t="0" r="0" b="0"/>
                <wp:wrapNone/>
                <wp:docPr id="154" name="Frame1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placement to a group of accredited investors. The net proceeds from this offering were approximately $169.1 million, after deducting placement agent fees and offering costs of $10.9 million.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March 2024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18, 2024, in connection with the March 2024 PIPE, the Company filed a certificate of amendment to its Series B Certificate of Designation to increase the number of authorized shares of Series B Preferred Stock from 150,000 to 271,625.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March 20, 2024, as part of the March 2024 PIPE, the Company completed a private placement of 121,625 shares of Series B Preferred Stock at an offering price of $1,480 per share. The net proceeds from this offering were approximately $168.9 million, after deducting placement agent fees and offering costs of $11.2 million.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September 2024 ATM Facility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September 6, 2024, the Company filed a new shelf registration statement on Form S-3 that was declared effective by the SEC for the potential offering, issuance and sale by the Company of up to $500.0 million of the Company's common stock, preferred stock, debt securities, warrants and/or units consisting of all or some of these securities. Concurrent with the filing of the shelf-registration statement, the Company entered into the Sales Agreement, pursuant to which the Company may issue and sell shares of its common stock for an aggregate offering price of up to $200.0 million under an ATM offering program included in the shelf registration.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twelve months ended December 31, 2024, the Company sold an aggregate of 777,432 shares of common stock under the ATM offering program at an average price per share of $26.935 resulting in net proceeds of $20.5 million, after deducting sales agent commissions and other offering costs of $0.4 million.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three and twelve months ended December 31, 2025, the Company sold an aggregate of 445,668 shares of common stock under the ATM offering program at an average price per share of $33.772 resulting in net proceeds of $14.8 million, after deducting sales agent commissions and other offering costs of $0.3 million.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February 12, 2026, $154.1 million remained available for sale under the Sales Agreement.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November 2024 Underwritten Offering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November 18, 2024, the Company entered into the November 2024 Underwriting Agreement with the November 2024 Underwriters, pursuant to which the Company sold an aggregate of 8,366,250 shares of common stock, inclusive of 1,091,250 shares pursuant to the full exercise of the underwriters' over-allotment option, at a public offering price per share of $27.50, resulting in net proceeds of approximately $215.9 million after deducting approximately $14.2 million of underwriting discounts and other offering costs. The November 2024 Offering closed on November 20, 2024 and the over-allotment option was exercised in full on November 26, 2024 and closed on November 29, 2024.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October 2025 Underwritten Offering</w:t>
      </w:r>
    </w:p>
    <w:p>
      <w:pPr>
        <w:pStyle w:val="TextBody"/>
        <w:bidi w:val="0"/>
        <w:spacing w:lineRule="auto" w:line="288" w:before="240" w:after="283"/>
        <w:ind w:left="0" w:right="0" w:firstLine="720"/>
        <w:jc w:val="both"/>
        <w:rPr/>
      </w:pPr>
      <w:r>
        <w:rPr>
          <w:rFonts w:ascii="Arial;sans-serif" w:hAnsi="Arial;sans-serif"/>
          <w:b w:val="false"/>
          <w:color w:val="000000"/>
          <w:sz w:val="20"/>
        </w:rPr>
        <w:t>On October 13, 2025, the Company entered into the October 2025 Underwriting Agreement with the October 2025 Underwriters, pursuant to which the Company sold an aggregate of 17,094,594 shares of common stock, inclusive of 2,229,729 shares pursuant to the full exercise of the underwriters' over-allotment option, at a public offering price per share of $18.50, resulting in net proceeds of approximately $296.4 million</w:t>
      </w:r>
      <w:r>
        <w:rPr>
          <w:color w:val="000000"/>
        </w:rPr>
        <w:t xml:space="preserve"> </w:t>
      </w:r>
      <w:r>
        <w:rPr>
          <w:rFonts w:ascii="Arial;sans-serif" w:hAnsi="Arial;sans-serif"/>
          <w:b w:val="false"/>
          <w:color w:val="000000"/>
          <w:sz w:val="20"/>
        </w:rPr>
        <w:t>after deducting approximately $19.9 million of underwriting discounts and other offering costs. The over-allotment option was exercised in full on October 14, 2025 and the transaction closed on October 15, 2025.</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Parapyre Warrants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settled its 2024 and 2023 obligations under the Parapyre Option Obligation by issuing Parapyre 848,184 and 684,407 warrants, respectively, to purchase the Company's common stock, at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050"/>
                <wp:effectExtent l="0" t="0" r="0" b="0"/>
                <wp:wrapNone/>
                <wp:docPr id="155" name="Frame1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exercise price per share per warrant of $23.28 and $21.52, respectively. As of December 31, 2025, none of the warrants issued under the Parapyre Option Obligation have been exercised. See Note 15 for additional information on the Parapyre Option Obligation.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Pre-Funded Warrants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2022, the Company issued pre-funded warrants to purchase shares of its common stock in underwritten public offerings at the offering price of the common stock, less the $0.0025 per share exercise price of each warrant. The warrants were recorded as a component of stockholders’ equity within additional paid-in capital and have no expiration date. Per the terms of the warrant agreements, the outstanding warrants to purchase shares of the Company's common stock may not be exercised if the holder’s ownership of the Company's common stock would exceed 4.99% (“Maximum Ownership Percentage”) or 9.99% for certain holders. By written notice to the Company, each holder may increase or decrease the Maximum Ownership Percentage to any other percentage (not in excess of 19.90% for the majority of such warrants). The revised Maximum Ownership Percentage would be effective 61 days after the notice is received by the Company. As of December 31, 2025, all pre-funded warrants have been exercised and none remain outstanding.</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Series A Non-Voting Convertible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22, 2023, the Company filed a Certificate of Designation of Preferences, Rights and Limitations of the Series A Preferred Stock with the Secretary of State of the State of Delaware (the “Series A Certificate of Designation”) in connection with the Asset Acquisition and the June 2023 PIPE.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Pursuant to the Series A Certificate of Designation, holders of Series A Preferred Stock are entitled to receive dividends on shares of Series A Preferred Stock equal to, on an as-if-converted-to-common stock basis, and in the same form as, dividends actually paid on shares of the Company's common stock. Except as provided in the Series A Certificate of Designation or as otherwise required by law, the Series A Preferred Stock does not have voting rights. However, as long as any shares of Series A Preferred Stock are outstanding, the Company will not, without the affirmative vote of the holders of a majority of the then outstanding shares of the Series A Preferred Stock: (a) alter or change adversely the powers, preferences or rights given to the Series A Preferred Stock, or alter or amend the Series A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A Preferred Stock, regardless of whether any of the foregoing actions will be by means of amendment to the Certificate of Incorporation or by merger, consolidation, recapitalization, reclassification, conversion or otherwise, (b) issue further shares of Series A Preferred Stock or increase or decrease (other than by conversion) the number of authorized shares of Series A Preferred Stock, (c) prior to the stockholder approval of the conversion of the Series A Preferred Stock into shares of common stock in accordance with Nasdaq Stock Market Rules (the “Series A Conversion Proposal”) or at any time while at least 30% of the originally issued Series A Preferred Stock remains issued and outstanding, consummate (x) any Fundamental Transaction (as defined in the Series A Certificate of Designation) or (y) any merger or consolidation of the Company with or into another entity or any stock sale to, or other business combination in which our stockholders immediately before such transaction do not hold at least a majority of our capital stock immediately after such transaction or (d) enter into any agreement with respect to any of the foregoing. The Series A Preferred Stock does not have a preference upon any liquidation, dissolution or winding-up of the Company.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held a stockholders’ meeting to submit the following matters to its stockholders for their consideration: (i) the approval of the Series A Conversion Proposal, and (ii) if deemed necessary or appropriate by the Company or as otherwise required by law or contract, the approval of an amendment to the Certificate of Incorporation to authorize sufficient shares of common stock for the conversion of the Series A Preferred Stock issued pursuant to the Acquisition Agreement. In connection with these matters, the Company filed with the SEC a definitive proxy statement and other relevant materials.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June 26, 2023, the Company completed a private placement of 721,452 shares of June 2023 PIPE Securities at $291.08 per share in exchange for net proceeds of $197.3 million after deducting placement agent fees and offering costs of $12.7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050"/>
                <wp:effectExtent l="0" t="0" r="0" b="0"/>
                <wp:wrapNone/>
                <wp:docPr id="156" name="Frame1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July 7, 2023, the Company issued 364,887 shares of Series A Preferred Stock as part of its consideration transferred in connection with the Asset Acquisition that closed on June 22, 2023 which settled the related forward contract liability. For additional information, see Note 3.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November 21, 2023, the Company's stockholders approved the Series A Conversion Proposal, among other matters, at a special meeting of stockholders. As a result of the approval of the Series A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fourth quarter of 2023.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Following stockholder approval of the Series A Conversion Proposal, each share of Series A Preferred Stock automatically converted into 40 shares of the Company's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(established by the holder between 0.0% and 19.9%) of the total number of shares of common stock issued and outstanding immediately after giving effect to such conversion. 649,302 shares of Series A Preferred Stock automatically converted to 25,972,080 shares of common stock; 437,037 shares of Series A Preferred Stock did not automatically convert and remained outstanding following the conversion. This conversion was recorded as a reclassification between Series A Preferred Stock and common stock based on the historical per-share contributed capital amount of the Series A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23, 2024, in connection with the April 2024 Exchange, the Stockholder agreed to exchange an aggregate of 90,992 shares of Series A Preferred Stock for an aggregate of 3,639,680 shares of the Company's common stock. This exchange was recorded as a reclassification between Series A Preferred Stock and common stock based on the historical per-share contributed capital amount, inclusive of any forward-contract valuation adjustments, of the Series A Preferred Stock. The April 2024 Exchange closed on April 25, 2024, with 346,045 shares of Series A Preferred Stock remaining outstanding following closing.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Series B Non-Voting Convertible Preferred Stock</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December 8, 2023, the Company filed a Certificate of Designation of Preferences, Rights and Limitations of Series B Non-Voting Convertible Preferred Stock with the Secretary of State of the State of Delaware (the “Series B Certificate of Designation”) in connection with the December 2023 PIPE.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Pursuant to the Series B Certificate of Designation, holders of Series B Preferred Stock are entitled to receive dividends on shares of Series B Preferred Stock equal to, on an as-if-converted-to-common stock basis, and in the same form as, dividends actually paid on shares of Company common stock. Except as provided in the Series B Certificate of Designation or as otherwise required by law, the Series B Preferred Stock does not have voting rights. However, as long as any shares of Series B Preferred Stock are outstanding, the Company will not, without the affirmative vote of the holders of a majority of the then outstanding shares of the Series B Preferred Stock, alter or change adversely the powers, preferences or rights given to the Series B Preferred Stock, or alter or amend the Series B Certificate of Designation, amend or repeal any provision of, or add any provision to, the Company’s Certificate of Incorporation or its Bylaws,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B Preferred Stock, regardless of whether any of the foregoing actions will be by means of amendment to the Certificate of Incorporation or by merger, consolidation, recapitalization, reclassification, conversion or otherwise. The Series B Preferred Stock does not have a preference upon any liquidation, dissolution or winding-up of the Company.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December 11, 2023, as part of the December 2023 PIPE, the Company completed a private placement of 150,000 shares of Series B Preferred Stock at $600 per share in exchange for net proceeds of $84.6 million after deducting placement and offering costs of $5.4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050"/>
                <wp:effectExtent l="0" t="0" r="0" b="0"/>
                <wp:wrapNone/>
                <wp:docPr id="157" name="Frame1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18, 2024, in connection with the March 2024 PIPE, the Company filed a certificate of amendment to its Series B Certificate of Designation to increase the number of authorized shares of Series B Preferred Stock from 150,000 to 271,625.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20, 2024, as part of the March 2024 PIPE, the Company completed a private placement of 121,625 shares of Series B Preferred Stock at $1,480 per share in exchange for net proceeds of approximately $168.9 million, after deducting placement agent fees and offering costs of $11.2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May 14, 2024, the Company's stockholders approved the issuance of Company common stock upon the conversion of all issued and outstanding Series B Preferred Stock into shares of common stock in accordance with the Nasdaq Stock Market Rules (the "Series B Conversion Proposal"), among other matters, at its 2024 annual meeting of stockholders. As a result of the approval of the Series B Conversion Proposal, all conditions that could have required cash redemption of the Series B Preferred Stock were satisfied. Since the Series B Preferred Stock were no longer redeemable, the associated balances of the Series B Preferred Stock were reclassified from mezzanine equity to permanent equity during the second quarter of 2024. A total of 254,958 shares of Series B Preferred Stock automatically converted to 10,198,320 shares of common stock; 16,667 shares of Series B Preferred Stock did not automatically convert and remained outstanding as of December 31,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Following stockholder approval of the Series B Conversion Proposal, each share of Series B Preferred Stock will automatically convert into 40 shares of the Company's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 254,958 shares of Series B Preferred Stock automatically converted to 10,198,320 shares of common stock; 16,667 shares of Series B Preferred Stock did not automatically convert and remain outstanding as of December 31, 2025 due to beneficial ownership limitations. This conversion was recorded as a reclassification between Series B Preferred Stock and common stock based on the historical per-share contributed capital amount of the Series B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13.  Strategic License Agreements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Immedica Pharma AB License and Development Agreement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March 21, 2021, the Company entered into an exclusive license and supply agreement with Immedica Pharma AB (“Immedica”). By entering into this agreement, the Company agreed to provide Immedica the following goods and services:</w:t>
      </w:r>
    </w:p>
    <w:p>
      <w:pPr>
        <w:pStyle w:val="TextBody"/>
        <w:bidi w:val="0"/>
        <w:spacing w:lineRule="auto" w:line="288" w:before="120" w:after="283"/>
        <w:ind w:left="0" w:right="0" w:hanging="1260"/>
        <w:jc w:val="both"/>
        <w:rPr>
          <w:rFonts w:ascii="Arial;sans-serif" w:hAnsi="Arial;sans-serif"/>
          <w:b w:val="false"/>
          <w:color w:val="000000"/>
          <w:sz w:val="20"/>
        </w:rPr>
      </w:pPr>
      <w:r>
        <w:rPr>
          <w:rFonts w:ascii="Arial;sans-serif" w:hAnsi="Arial;sans-serif"/>
          <w:b w:val="false"/>
          <w:color w:val="000000"/>
          <w:sz w:val="20"/>
        </w:rPr>
        <w:t>i.Deliver an exclusive, sublicensable, license and know-how (the “License”) to develop and commercialize pegzilarginase (the “Product”) in the territory comprising the member states of the European Economic Area, United Kingdom, Switzerland, Andorra, Monaco, San Marino, Vatican City, Turkey, Saudi Arabia, United Arab Emirates, Qatar, Kuwait, Bahrain, and Oman (the “Territory”);</w:t>
      </w:r>
    </w:p>
    <w:p>
      <w:pPr>
        <w:pStyle w:val="TextBody"/>
        <w:bidi w:val="0"/>
        <w:spacing w:lineRule="auto" w:line="288" w:before="120" w:after="283"/>
        <w:ind w:left="0" w:right="0" w:hanging="1260"/>
        <w:jc w:val="both"/>
        <w:rPr>
          <w:rFonts w:ascii="Arial;sans-serif" w:hAnsi="Arial;sans-serif"/>
          <w:b w:val="false"/>
          <w:color w:val="000000"/>
          <w:sz w:val="20"/>
        </w:rPr>
      </w:pPr>
      <w:r>
        <w:rPr>
          <w:rFonts w:ascii="Arial;sans-serif" w:hAnsi="Arial;sans-serif"/>
          <w:b w:val="false"/>
          <w:color w:val="000000"/>
          <w:sz w:val="20"/>
        </w:rPr>
        <w:t>ii.Complete the global pivotal PEACE (Pegzilarginase Effect on Arginase 1 Deficiency Clinical Endpoints) Phase 3 trial (“PEACE Trial”) and related Biologics License Application (“BLA”) package to file with the United States Food and Drug Administration (“FDA”), which will be leveraged by Immedica in obtaining the necessary regulatory approvals in the Territory; and</w:t>
      </w:r>
    </w:p>
    <w:p>
      <w:pPr>
        <w:pStyle w:val="TextBody"/>
        <w:bidi w:val="0"/>
        <w:spacing w:lineRule="auto" w:line="288" w:before="120" w:after="283"/>
        <w:ind w:left="0" w:right="0" w:hanging="1260"/>
        <w:jc w:val="both"/>
        <w:rPr>
          <w:rFonts w:ascii="Arial;sans-serif" w:hAnsi="Arial;sans-serif"/>
          <w:b w:val="false"/>
          <w:color w:val="000000"/>
          <w:sz w:val="20"/>
        </w:rPr>
      </w:pPr>
      <w:r>
        <w:rPr>
          <w:rFonts w:ascii="Arial;sans-serif" w:hAnsi="Arial;sans-serif"/>
          <w:b w:val="false"/>
          <w:color w:val="000000"/>
          <w:sz w:val="20"/>
        </w:rPr>
        <w:t>iii.Perform a Pediatric Investigation Plan trial (“PIP Trial”) in order for Immedica to be able to receive certain regulatory approvals within the Territory.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addition, the Company and Immedica formed a Joint Steering Committee (“JSC”) to provide oversight to the activities performed under the agreement; however, the substance of the Company’s participation in the JSC does not represent an additional promised service, but rather, a right of the Company to protect its own interests in the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050"/>
                <wp:effectExtent l="0" t="0" r="0" b="0"/>
                <wp:wrapNone/>
                <wp:docPr id="158" name="Frame1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Further, the Company agreed to supply to Immedica, and Immedica agreed to purchase from the Company, substantially all commercial requirements of the Product. The terms of the agreement do not provide for either (i) an option to Immedica to purchase the Product from the Company at a discount from the standalone selling price or (ii) minimum purchase quantities. Finally, Immedica will bear (i) all costs and expenses for any development or commercialization of the Product in the Territory subject to the License exclusive of the Company’s promised goods and services summarized above and (ii) all costs and fees associated with applying for regulatory approval of the Product in the Territory. In July 2021, the Company modified the agreement with Immedica to provide certain additional services in relation to the PEACE Phase 3 Trial and BLA package performance obligation in exchange for the reimbursement of up to $3.0 million of the actual costs incurred in relation to such incremental services.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the year ended December 31, 2023, the Company recognized revenue of $0.9 million related to the PEACE Trial and BLA package performance obligation using a cost to cost model.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27, 2023, the Company announced that it had entered into an agreement to sell the global rights to pegzilarginase to Immedica for $15.0 million in upfront cash proceeds and up to $100.0 million in contingent milestone payments. The sale of pegzilarginase to Immedica superseded and terminated the previous license agreement between the Company and Immedica. On July 27, 2023, the carrying value of the asset was zero as it was internally developed. Accordingly, the Company recognized a $16.4 million gain within Gain on Sale of in-process research and development, which is comprised of $15.0 million in upfront cash proceeds and the reimbursement of $1.8 million in pre-paid manufacturing costs that was contingent upon a favorable opinion being received by the CHMP, net of transaction costs and the derecognition of pegzilarginase related nonfinancial assets and liabilities totaling $0.4 million.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milestone payments are contingent on formal reimbursement decisions by national authorities in key European markets and pegzilarginase approval by the FDA, among other events. The upfront payment and contingent milestone payments if paid, net of expenses and adjustments, will reduce the CVR liability and will be distributed to CVR holders pursuant to the CVR Agreement resulting from the Asset Acquisition.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twelve months ended December 31, 2025, the Company recognized a gain of $10.0 million within Gain on Sale of in-process research and development, for achieving certain reimbursement decision milestones during the period. As of December 31, 2025, $3.0 million remains outstanding and reflected in Prepaid expenses and other current assets. There was no similar gain during the twelve months ended or similar receivable as of December 31, 2024.</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Contract Balances from Customer Contract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timing of revenue recognition, billings and cash collections results in contract assets and contract liabilities on the balance sheets. The Company recognizes license and development receivables based on billed services, which are derecognized upon reimbursement.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goods or services is transferred to the customer and all revenue recognition criteria have been met.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had no contract assets or liabilities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0"/>
        </w:rPr>
        <w:t>14.  </w:t>
      </w:r>
      <w:r>
        <w:rPr>
          <w:color w:val="000000"/>
          <w:shd w:fill="FFFFFF" w:val="clear"/>
        </w:rPr>
        <w:t xml:space="preserve"> </w:t>
      </w:r>
      <w:r>
        <w:rPr>
          <w:rFonts w:ascii="Arial;sans-serif" w:hAnsi="Arial;sans-serif"/>
          <w:b/>
          <w:color w:val="000000"/>
          <w:sz w:val="20"/>
          <w:shd w:fill="FFFFFF" w:val="clear"/>
        </w:rPr>
        <w:t>Novation of Manufacturing Agreements</w:t>
      </w:r>
    </w:p>
    <w:p>
      <w:pPr>
        <w:pStyle w:val="TextBody"/>
        <w:bidi w:val="0"/>
        <w:spacing w:lineRule="auto" w:line="288" w:before="24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a Novation Agreement dated September 19, 2023 (the “Novation Agreement”), by and between the Company, Paragon and WuXi Biologics (Hong Kong) Limited (“WuXi Biologics”), the Company novated (i) a Biologics Master Services Agreement (the “WuXi Biologics MSA”) and (ii) a Cell Line License Agreement (the “Cell Line License Agreement”).</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Biologics Master Services Agreement</w:t>
      </w:r>
    </w:p>
    <w:p>
      <w:pPr>
        <w:pStyle w:val="TextBody"/>
        <w:bidi w:val="0"/>
        <w:spacing w:lineRule="auto" w:line="288" w:before="24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April 2023, Paragon and WuXi Biologics entered into the WuXi Biologics MSA, which was subsequently novated to the Company by Paragon on September 19, 2023 pursuant to the Novation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050"/>
                <wp:effectExtent l="0" t="0" r="0" b="0"/>
                <wp:wrapNone/>
                <wp:docPr id="159" name="Frame1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pPr>
      <w:r>
        <w:rPr>
          <w:rFonts w:ascii="Arial;sans-serif" w:hAnsi="Arial;sans-serif"/>
          <w:b w:val="false"/>
          <w:color w:val="000000"/>
          <w:sz w:val="20"/>
          <w:shd w:fill="FFFFFF" w:val="clear"/>
        </w:rPr>
        <w:t xml:space="preserve">Agreement. </w:t>
      </w:r>
      <w:r>
        <w:rPr>
          <w:rFonts w:ascii="Arial;sans-serif" w:hAnsi="Arial;sans-serif"/>
          <w:b w:val="false"/>
          <w:color w:val="000000"/>
          <w:sz w:val="20"/>
        </w:rPr>
        <w:t xml:space="preserve">The WuXi Biologics MSA was subsequently amended and restated in October 2024. </w:t>
      </w:r>
      <w:r>
        <w:rPr>
          <w:rFonts w:ascii="Arial;sans-serif" w:hAnsi="Arial;sans-serif"/>
          <w:b w:val="false"/>
          <w:color w:val="000000"/>
          <w:sz w:val="20"/>
          <w:shd w:fill="FFFFFF" w:val="clear"/>
        </w:rPr>
        <w:t>The WuXi Biologics MSA governs certain development activities and GMP manufacturing and testing for the SPY001</w:t>
      </w:r>
      <w:r>
        <w:rPr>
          <w:rFonts w:ascii="Arial;sans-serif" w:hAnsi="Arial;sans-serif"/>
          <w:b w:val="false"/>
          <w:color w:val="000000"/>
          <w:sz w:val="20"/>
        </w:rPr>
        <w:t>, SPY002, and SPY003</w:t>
      </w:r>
      <w:r>
        <w:rPr>
          <w:color w:val="000000"/>
          <w:shd w:fill="FFFFFF" w:val="clear"/>
        </w:rPr>
        <w:t xml:space="preserve"> </w:t>
      </w:r>
      <w:r>
        <w:rPr>
          <w:rFonts w:ascii="Arial;sans-serif" w:hAnsi="Arial;sans-serif"/>
          <w:b w:val="false"/>
          <w:color w:val="000000"/>
          <w:sz w:val="20"/>
          <w:shd w:fill="FFFFFF" w:val="clear"/>
        </w:rPr>
        <w:t>programs, as well as potential future programs, on a work order basis. Under the WuXi Biologics MSA, the Company is obligated to pay WuXi Biologics a service fee and all non-cancellable obligations in the amount specified in each work order associated with the agreement for the provision of services.</w:t>
      </w:r>
    </w:p>
    <w:p>
      <w:pPr>
        <w:pStyle w:val="TextBody"/>
        <w:bidi w:val="0"/>
        <w:spacing w:lineRule="auto" w:line="288" w:before="240" w:after="283"/>
        <w:ind w:left="0" w:right="0" w:firstLine="720"/>
        <w:jc w:val="both"/>
        <w:rPr/>
      </w:pPr>
      <w:r>
        <w:rPr>
          <w:rFonts w:ascii="Arial;sans-serif" w:hAnsi="Arial;sans-serif"/>
          <w:b w:val="false"/>
          <w:color w:val="000000"/>
          <w:sz w:val="20"/>
          <w:shd w:fill="FFFFFF" w:val="clear"/>
        </w:rPr>
        <w:t xml:space="preserve">The WuXi Biologics MSA terminates on the later of (i) October 14, 2029 or (ii) the completion of services under all work orders executed by the parties prior to October 14, 2029, unless terminated earlier. The term of each work order terminates upon completion of the services under such work order, unless terminated earlier. The Company can terminate the WuXi Biologics MSA or any work order at any time upon 30 days' prior written notice and immediately upon written notice if WuXi Biologics fails to obtain or maintain required material governmental licenses or approvals. </w:t>
      </w:r>
      <w:r>
        <w:rPr>
          <w:rFonts w:ascii="Arial;sans-serif" w:hAnsi="Arial;sans-serif"/>
          <w:b w:val="false"/>
          <w:color w:val="000000"/>
          <w:sz w:val="20"/>
        </w:rPr>
        <w:t xml:space="preserve">The Company can also terminate the WuXi Biologics MSA, or any work order, in the event that any law is enacted that has, or could be reasonably expected to have, a material adverse effect on the Company or any of its products that is the subject of the WuXi Biologics MSA, in each case, as a result of WuXi Biologics providing services under the WuXi Biologics MSA or the Company being a party to the WuXi Biologics MSA. </w:t>
      </w:r>
      <w:r>
        <w:rPr>
          <w:rFonts w:ascii="Arial;sans-serif" w:hAnsi="Arial;sans-serif"/>
          <w:b w:val="false"/>
          <w:color w:val="000000"/>
          <w:sz w:val="20"/>
          <w:shd w:fill="FFFFFF" w:val="clear"/>
        </w:rPr>
        <w:t>Either party may terminate a work order (i) at any time upon six months prior notice with reasonable cause, provided however that if WuXi Biologics terminates a work order in such manner, no termination or cancellation fees shall be paid by the Company and (ii) immediately for cause upon (a) the other party’s material breach that remains uncured for 30 days after notice of such breach, (b) the other party’s bankruptcy or (c) a force majeure event that prevents performance for a period of at least 90 days.</w:t>
      </w:r>
    </w:p>
    <w:p>
      <w:pPr>
        <w:pStyle w:val="TextBody"/>
        <w:bidi w:val="0"/>
        <w:spacing w:lineRule="auto" w:line="288" w:before="240" w:after="283"/>
        <w:jc w:val="left"/>
        <w:rPr>
          <w:rFonts w:ascii="Arial;sans-serif" w:hAnsi="Arial;sans-serif"/>
          <w:b/>
          <w:i/>
          <w:color w:val="000000"/>
          <w:sz w:val="20"/>
          <w:shd w:fill="FFFFFF" w:val="clear"/>
        </w:rPr>
      </w:pPr>
      <w:r>
        <w:rPr>
          <w:rFonts w:ascii="Arial;sans-serif" w:hAnsi="Arial;sans-serif"/>
          <w:b/>
          <w:i/>
          <w:color w:val="000000"/>
          <w:sz w:val="20"/>
          <w:shd w:fill="FFFFFF" w:val="clear"/>
        </w:rPr>
        <w:t>Cell Line License Agreement</w:t>
      </w:r>
    </w:p>
    <w:p>
      <w:pPr>
        <w:pStyle w:val="TextBody"/>
        <w:bidi w:val="0"/>
        <w:spacing w:lineRule="auto" w:line="288" w:before="240" w:after="283"/>
        <w:ind w:left="0" w:right="0" w:firstLine="720"/>
        <w:jc w:val="both"/>
        <w:rPr/>
      </w:pPr>
      <w:r>
        <w:rPr>
          <w:rFonts w:ascii="Arial;sans-serif" w:hAnsi="Arial;sans-serif"/>
          <w:b w:val="false"/>
          <w:color w:val="000000"/>
          <w:sz w:val="20"/>
          <w:shd w:fill="FFFFFF" w:val="clear"/>
        </w:rPr>
        <w:t xml:space="preserve">In April 2023, Paragon and WuXi Biologics entered into the Cell Line License Agreement, which was subsequently novated to the Company by Paragon pursuant to the Novation Agreement. </w:t>
      </w:r>
      <w:r>
        <w:rPr>
          <w:rFonts w:ascii="Arial;sans-serif" w:hAnsi="Arial;sans-serif"/>
          <w:b w:val="false"/>
          <w:color w:val="000000"/>
          <w:sz w:val="20"/>
        </w:rPr>
        <w:t xml:space="preserve">The Cell Line License Agreement was subsequently amended and restated in October 2024. </w:t>
      </w:r>
      <w:r>
        <w:rPr>
          <w:rFonts w:ascii="Arial;sans-serif" w:hAnsi="Arial;sans-serif"/>
          <w:b w:val="false"/>
          <w:color w:val="000000"/>
          <w:sz w:val="20"/>
          <w:shd w:fill="FFFFFF" w:val="clear"/>
        </w:rPr>
        <w:t>Under the Cell Line License Agreement, the Company received a non-exclusive, worldwide, sublicensable license to certain of WuXi Biologics’s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SPY001</w:t>
      </w:r>
      <w:r>
        <w:rPr>
          <w:rFonts w:ascii="Arial;sans-serif" w:hAnsi="Arial;sans-serif"/>
          <w:b w:val="false"/>
          <w:color w:val="000000"/>
          <w:sz w:val="20"/>
        </w:rPr>
        <w:t>, SPY002, and SPY003</w:t>
      </w:r>
      <w:r>
        <w:rPr>
          <w:color w:val="000000"/>
          <w:shd w:fill="FFFFFF" w:val="clear"/>
        </w:rPr>
        <w:t xml:space="preserve"> </w:t>
      </w:r>
      <w:r>
        <w:rPr>
          <w:rFonts w:ascii="Arial;sans-serif" w:hAnsi="Arial;sans-serif"/>
          <w:b w:val="false"/>
          <w:color w:val="000000"/>
          <w:sz w:val="20"/>
          <w:shd w:fill="FFFFFF" w:val="clear"/>
        </w:rPr>
        <w:t>programs.</w:t>
      </w:r>
    </w:p>
    <w:p>
      <w:pPr>
        <w:pStyle w:val="TextBody"/>
        <w:bidi w:val="0"/>
        <w:spacing w:lineRule="auto" w:line="288" w:before="240" w:after="283"/>
        <w:ind w:left="0" w:right="0" w:firstLine="720"/>
        <w:jc w:val="both"/>
        <w:rPr/>
      </w:pPr>
      <w:r>
        <w:rPr>
          <w:rFonts w:ascii="Arial;sans-serif" w:hAnsi="Arial;sans-serif"/>
          <w:b w:val="false"/>
          <w:color w:val="000000"/>
          <w:sz w:val="20"/>
          <w:shd w:fill="FFFFFF" w:val="clear"/>
        </w:rPr>
        <w:t xml:space="preserve">In consideration for the license, the Company agreed to pay WuXi Biologics a non-refundable license fee of </w:t>
      </w:r>
      <w:r>
        <w:rPr>
          <w:rFonts w:ascii="Arial;sans-serif" w:hAnsi="Arial;sans-serif"/>
          <w:b w:val="false"/>
          <w:color w:val="000000"/>
          <w:sz w:val="20"/>
        </w:rPr>
        <w:t>$0.2 million</w:t>
      </w:r>
      <w:r>
        <w:rPr>
          <w:rFonts w:ascii="Arial;sans-serif" w:hAnsi="Arial;sans-serif"/>
          <w:b w:val="false"/>
          <w:color w:val="000000"/>
          <w:sz w:val="20"/>
          <w:shd w:fill="FFFFFF" w:val="clear"/>
        </w:rPr>
        <w:t xml:space="preserve">. Additionally, if the Company manufactures all of its commercial supplies of bulk drug product with a manufacturer other than WuXi Biologics or its affiliates, the Company is required to make royalty payments to WuXi Biologics of less than one percent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w:t>
      </w:r>
      <w:r>
        <w:rPr>
          <w:rFonts w:ascii="Arial;sans-serif" w:hAnsi="Arial;sans-serif"/>
          <w:b w:val="false"/>
          <w:color w:val="000000"/>
          <w:sz w:val="20"/>
        </w:rPr>
        <w:t>Subject to the terms of the Cell Line License Agreement, royalties owed under the Cell Line License Agreement may be bought out on a product-by-product basis for a lump-sum payment.</w:t>
      </w:r>
    </w:p>
    <w:p>
      <w:pPr>
        <w:pStyle w:val="TextBody"/>
        <w:bidi w:val="0"/>
        <w:spacing w:lineRule="auto" w:line="288" w:before="240" w:after="283"/>
        <w:ind w:left="0" w:right="0" w:firstLine="7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Cell Line License Agreement will continue indefinitely unless terminated (i) by the Company upon six months prior written notice and our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15.  Stock-Based Compensation</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2016 Equity Incentive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2016 Plan became effective in April 2016 and serves as the successor to the 2015 Equity Incentive Plan ("2015 Plan"). Under the 2016 Plan, the Company may grant stock options, stock appreciation rights, restricted stock awards, restricted stock units, performance awards, and stock bonuses. The 2016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050"/>
                <wp:effectExtent l="0" t="0" r="0" b="0"/>
                <wp:wrapNone/>
                <wp:docPr id="160" name="Frame1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provides for an initial reserve of 44,000 shares of common stock, plus 20,395 shares of common stock remaining under the 2015 Plan, and any share awards that subsequently are forfeited or lapse unexercised under the 2015 Plan. The shares reserved exclude shares of common stock reserved for issuance under the 2015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October 2018, the 2016 Plan was amended to increase the number of shares of common stock reserved for issuance thereunder by 70,384 shares, extend the term of the 2016 Plan through August 7, 2028, and provide for an automatic increase in the number of shares reserved for issuance thereunder on January 1 of each year for the remaining term of the plan equal to (a) 4.0% of the number of issued and outstanding shares of common stock on December 31 of the immediately preceding year, or (b) a lesser amount as approved by the board each year (the "Evergreen Provision").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November 2023, the 2016 Plan was amended to (i) increase the number of shares of common stock reserved for issuance thereunder by 4,481,152 shares, (ii) revise the annual limit on non-employee director compensation from 4,000 shares to (a) $750,000 in total value or (b) $1,000,000 in the year of the director’s initial service as a non-employee director or in any year a director serves as chairman of the Board of Directors, in either case, applicable to fees paid in both cash and equity, (iii) remove the fixed termination date of the 2016 Plan and, (iv) revise the Evergreen Provision from 4% to 5% of issued and outstanding shares of Company common stock on December 31 of the preceding calendar year and to include shares issuable upon the exercise of pre-funded warrants and the conversion of outstanding shares of non-voting convertible preferred stock in the calculation.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a result of the Evergreen Provision, on January 1, 2025, 2024, and 2023, an additional 3,814,905, 3,023,650, and 104,561 shares, respectively, became available for issuance under the 2016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the total number of shares reserved for issuance under the 2016 Plan was 10,810,714, of which 4,827,082 shares were subject to outstanding option awards and restricted unit awards.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2018 Equity Inducement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board of directors approved and adopted the 2018 Equity Inducement Plan (as amended, the “2018 Plan”), which became effective on the same date. The board of directors approved an initial reserve of 44,000 shares of common stock to be used exclusively for individuals who were not previously employees or directors, or following a bona fide period of non-employment, as an inducement material to the individual entering into employment with the Company. Nonqualified stock options or restricted stock units may be granted under the 2018 Plan at the discretion of the Compensation Committee or the board of directors. The Company did not seek stockholder approval of the 2018 Plan pursuant to Nasdaq Rule 5635(c)(4).</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2018 Plan was amended to increase the number of shares of common stock reserved for issuance by 750,000 and 1,000,000 during the years ended December 31, 2025 and 2024, respectively.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the total number of shares reserved for issuance under the 2018 Plan was 7,460,440, of which 6,620,097 shares were subject to outstanding awards.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2016 Plan and 2018 Plan, the Company may grant stock-based awards with service conditions (“service-based” awards), performance conditions (“performance-based” awards), and market conditions (“market-based” awards). Service-based awards granted under the 2018 Plan, 2016 Plan, and 2015 Plan generally vest over four years and expire after ten years, although awards have been granted with vesting terms less than four years.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Spyre 2023 Equity Incentive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June 22, 2023, in connection with the Asset Acquisition, the Company assumed the Amended and Restated Spyre 2023 Equity Incentive Plan (the "Spyre Equity Plan") and its outstanding and unexercised stock options, which were converted to options to purchase 2,734 shares of the Company's common stock. The acquisition-date fair value of these grants will be recognized as an expense on a pro-rata basis over the vesting period. As of December 31, 2025, none of the stock options under the 2023 Plan remained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050"/>
                <wp:effectExtent l="0" t="0" r="0" b="0"/>
                <wp:wrapNone/>
                <wp:docPr id="161" name="Frame1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Parapyre Option Obligation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22, 2023, in connection with the Asset Acquisition, the Company assumed the Parapyre Option Obligation which provided for an annual equity grant of warrants for Parapyre to purchase 1% of the then outstanding shares of Pre-Merger Spyre's common stock, on a fully diluted basis, on the last business day of each calendar year during the term of the Paragon Agreement, at the fair market value determined by the board of directors of Pre-Merger Spyre.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September 29, 2023, the Company amended the Paragon Agreement to amend and restate certain terms of the option grant pertaining to the Parapyre Option Obligation, including but not limited to (i) defining that the annual equity grant of warrants is based on the outstanding shares of the Company’s common stock, on a fully-diluted basis, (ii) establishing the grant date as the last business day of 2023 and 2024, and (iii) defining the term of the warrants granted as ten years. The Company determined that the 2023 and 2024 grants are two separate grants, as there would be no obligation for the 2024 grant had the Company exercised or terminated all of the options under the Paragon Agreement prior to December 31, 2023. The service inception period for the grant precedes the grant date, with the full award being vested as of the grant date with no post-grant date service requirement. Accordingly, a liability related to the Parapyre Option Obligation was recorded pursuant to the amended Paragon Agreement during the 2023 and 2024 interim periods. The Company settled its 2024 and 2023 obligations under the Parapyre Option Obligation by issuing Parapyre 848,184 and 684,407 warrants, respectively, to purchase the Company's common stock at an exercise price per share per warrant of $23.28 and $21.52, respectively. There was no similar expense for the year ended December 31, 2025.</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stock option activity for the year ended December 31, 2025:</w:t>
      </w:r>
    </w:p>
    <w:tbl>
      <w:tblPr>
        <w:tblW w:w="10205" w:type="dxa"/>
        <w:jc w:val="center"/>
        <w:tblInd w:w="0" w:type="dxa"/>
        <w:tblLayout w:type="fixed"/>
        <w:tblCellMar>
          <w:top w:w="28" w:type="dxa"/>
          <w:left w:w="28" w:type="dxa"/>
          <w:bottom w:w="28" w:type="dxa"/>
          <w:right w:w="28" w:type="dxa"/>
        </w:tblCellMar>
      </w:tblPr>
      <w:tblGrid>
        <w:gridCol w:w="1756"/>
        <w:gridCol w:w="1540"/>
        <w:gridCol w:w="1548"/>
        <w:gridCol w:w="353"/>
        <w:gridCol w:w="353"/>
        <w:gridCol w:w="360"/>
        <w:gridCol w:w="109"/>
        <w:gridCol w:w="109"/>
        <w:gridCol w:w="109"/>
        <w:gridCol w:w="211"/>
        <w:gridCol w:w="646"/>
        <w:gridCol w:w="109"/>
        <w:gridCol w:w="109"/>
        <w:gridCol w:w="109"/>
        <w:gridCol w:w="109"/>
        <w:gridCol w:w="345"/>
        <w:gridCol w:w="345"/>
        <w:gridCol w:w="346"/>
        <w:gridCol w:w="109"/>
        <w:gridCol w:w="109"/>
        <w:gridCol w:w="109"/>
        <w:gridCol w:w="226"/>
        <w:gridCol w:w="919"/>
        <w:gridCol w:w="167"/>
      </w:tblGrid>
      <w:tr>
        <w:trPr/>
        <w:tc>
          <w:tcPr>
            <w:tcW w:w="175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br/>
              <w:t>Issuable</w:t>
              <w:br/>
              <w:t>Under</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Remaining</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Contractual</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Intrinsic</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Value</w:t>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(in</w:t>
            </w:r>
            <w:r>
              <w:rPr>
                <w:color w:val="000000"/>
              </w:rPr>
              <w:t xml:space="preserve"> </w:t>
            </w:r>
            <w:r>
              <w:rPr>
                <w:rFonts w:ascii="Arial;sans-serif" w:hAnsi="Arial;sans-serif"/>
                <w:b/>
                <w:color w:val="000000"/>
                <w:sz w:val="16"/>
              </w:rPr>
              <w:t>thousands)</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Outstanding as of December 31, 2024</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9,253,158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90,016 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2,623,217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(307,673)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Outstanding as of December 31, 2025</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11,370,247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191,198 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rPr>
            </w:pPr>
            <w:r>
              <w:rPr>
                <w:rFonts w:ascii="Arial;sans-serif" w:hAnsi="Arial;sans-serif"/>
                <w:b/>
                <w:color w:val="000000"/>
                <w:sz w:val="20"/>
              </w:rPr>
              <w:t>Options vested and expected to vest as of December 31, 2025</w:t>
            </w:r>
          </w:p>
        </w:tc>
        <w:tc>
          <w:tcPr>
            <w:tcW w:w="106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11,370,247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Options exercisable as of December 31, 2025</w:t>
            </w:r>
          </w:p>
        </w:tc>
        <w:tc>
          <w:tcPr>
            <w:tcW w:w="106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5,164,959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95,153 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aggregate intrinsic value of options outstanding, exercisable, vested and expected to vest were calculated as the difference between the exercise price of the options and the fair value of the Company’s common stock as of the reporting date.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For the years ended December 31, 2025, 2024, and 2023, the weighted-average grant date fair value of options granted was $19.98, $28.39, and $9.67, per share, respectively. The total intrinsic value of options exercised during the years ended December 31, 2025, 2024 and 2023 was $4.0 million, $22.7 million and $0.4 million, respectively. </w:t>
      </w:r>
    </w:p>
    <w:p>
      <w:pPr>
        <w:pStyle w:val="TextBody"/>
        <w:bidi w:val="0"/>
        <w:spacing w:lineRule="auto" w:line="288" w:before="240" w:after="283"/>
        <w:ind w:left="0" w:right="0" w:firstLine="720"/>
        <w:jc w:val="both"/>
        <w:rPr/>
      </w:pPr>
      <w:r>
        <w:rPr>
          <w:rFonts w:ascii="Arial;sans-serif" w:hAnsi="Arial;sans-serif"/>
          <w:b w:val="false"/>
          <w:color w:val="000000"/>
          <w:sz w:val="20"/>
        </w:rPr>
        <w:t>There were 10,000 and 477,000 stock options issued to non-employees during the years ended December 31, 2024 and 2023, respectively. There were no stock options issued to non-employees during the year ended December 31, 2025. For the year ended December 31, 2025 and 2024, 119,250 and 139,187 non-employee stock options vested in the period, respectively. There were no</w:t>
      </w:r>
      <w:r>
        <w:rPr>
          <w:color w:val="000000"/>
        </w:rPr>
        <w:t xml:space="preserve"> </w:t>
      </w:r>
      <w:r>
        <w:rPr>
          <w:rFonts w:ascii="Arial;sans-serif" w:hAnsi="Arial;sans-serif"/>
          <w:b w:val="false"/>
          <w:color w:val="000000"/>
          <w:sz w:val="20"/>
        </w:rPr>
        <w:t>non-employee stock options vested during the years ended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050"/>
                <wp:effectExtent l="0" t="0" r="0" b="0"/>
                <wp:wrapNone/>
                <wp:docPr id="162" name="Frame1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2016 Employee Stock Purchase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2016 Employee Stock Purchase Plan (“2016 ESPP”) became effective in April 2016. A total of 6,600 shares of common stock were reserved for issuance under the 2016 ESPP. Eligible employees may purchase shares of common stock under the 2016 ESPP at 85% of the lower of the fair market value of the common stock as of the first or the last day of each offering period. Employees are limited to contributing 15% of the employee’s eligible compensation and may not purchase more than $25,000 of stock during any calendar year. The 2016 ESPP will terminate ten years from the first purchase date under the plan, unless terminated earlier by the board of directors.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2018, the 2016 ESPP was amended to provide for an automatic annual increase in the number of shares reserved for issuance thereunder (the "Evergreen Provision") on January 1 of each year for the remaining term of the year equal to (a) 1.0% of the number of issued and outstanding shares of common stock on December 31 of the immediately preceding year, or (b) a lesser amount as approved by the board of directors each year. As a result of the operation of this provision, on January 1, 2025, 2024 and 2023, an additional 602,570, 360,571, and 26,140 shares, respectively, became available for issuance under the 2016 ESPP. As of December 31, 2025, the reserve remaining and available for future issuance under the 2016 ESPP was 972,775 shares.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2023, the 2016 ESPP was amended to increase the maximum shares purchased during any one period (the "ESPP Limit") from 80 shares to 400 shares or a lesser amount determined by the board of directors and in January 2024, the 2016 ESPP was further amended to increase the ESPP Limit to 2,000 shares or a lesser amount determined by the Compensation Committee.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Effective January 1, 2026, the 2016 ESPP was amended and restated (as amended and restated, the "AR 2016 ESPP") to remove the Evergreen Provision, extend the term of the 2016 ESPP indefinitely and re-establish the offering periods, among other changes. The Company plans to submit the AR 2016 ESPP for stockholder approval at its 2026 Annual Meeting of Stockholders.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years ended December 31, 2025 and 2024, stock-based compensation expense related to the 2016 ESPP plan was $0.3 million and $0.1 million for the year ended December 31, 2023.</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following table summarizes employee restricted stock unit activity for the year ended December 31, 2025: </w:t>
      </w:r>
    </w:p>
    <w:tbl>
      <w:tblPr>
        <w:tblW w:w="7765" w:type="dxa"/>
        <w:jc w:val="center"/>
        <w:tblInd w:w="0" w:type="dxa"/>
        <w:tblLayout w:type="fixed"/>
        <w:tblCellMar>
          <w:top w:w="28" w:type="dxa"/>
          <w:left w:w="28" w:type="dxa"/>
          <w:bottom w:w="28" w:type="dxa"/>
          <w:right w:w="28" w:type="dxa"/>
        </w:tblCellMar>
      </w:tblPr>
      <w:tblGrid>
        <w:gridCol w:w="1919"/>
        <w:gridCol w:w="1683"/>
        <w:gridCol w:w="1693"/>
        <w:gridCol w:w="268"/>
        <w:gridCol w:w="268"/>
        <w:gridCol w:w="273"/>
        <w:gridCol w:w="109"/>
        <w:gridCol w:w="109"/>
        <w:gridCol w:w="109"/>
        <w:gridCol w:w="278"/>
        <w:gridCol w:w="853"/>
        <w:gridCol w:w="203"/>
      </w:tblGrid>
      <w:tr>
        <w:trPr/>
        <w:tc>
          <w:tcPr>
            <w:tcW w:w="191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Average Grant</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Date Fair Value</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Unvested restricted stock units as of December 31, 2024</w:t>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115,398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Unvested restricted stock units as of December 31, 2025</w:t>
            </w:r>
          </w:p>
        </w:tc>
        <w:tc>
          <w:tcPr>
            <w:tcW w:w="8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restricted stock units granted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050"/>
                <wp:effectExtent l="0" t="0" r="0" b="0"/>
                <wp:wrapNone/>
                <wp:docPr id="163" name="Frame1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149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recognized from the Parapyre Option Obligation, the Company’s equity incentive plans, 2018 Plan, and the 2016 ESPP for the years ended December 31, 2025, 2024, and 2023 was as follows (in thousands):</w:t>
      </w:r>
    </w:p>
    <w:tbl>
      <w:tblPr>
        <w:tblW w:w="10205" w:type="dxa"/>
        <w:jc w:val="left"/>
        <w:tblInd w:w="0" w:type="dxa"/>
        <w:tblLayout w:type="fixed"/>
        <w:tblCellMar>
          <w:top w:w="28" w:type="dxa"/>
          <w:left w:w="28" w:type="dxa"/>
          <w:bottom w:w="28" w:type="dxa"/>
          <w:right w:w="28" w:type="dxa"/>
        </w:tblCellMar>
      </w:tblPr>
      <w:tblGrid>
        <w:gridCol w:w="840"/>
        <w:gridCol w:w="675"/>
        <w:gridCol w:w="677"/>
        <w:gridCol w:w="211"/>
        <w:gridCol w:w="751"/>
        <w:gridCol w:w="109"/>
        <w:gridCol w:w="109"/>
        <w:gridCol w:w="109"/>
        <w:gridCol w:w="109"/>
        <w:gridCol w:w="213"/>
        <w:gridCol w:w="652"/>
        <w:gridCol w:w="111"/>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84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Non-</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Non-</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Employees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Employees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Non-</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Employees</w:t>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Research and development </w:t>
            </w:r>
            <w:r>
              <w:rPr>
                <w:rFonts w:ascii="Arial;sans-serif" w:hAnsi="Arial;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70"/>
              <w:jc w:val="left"/>
              <w:rPr/>
            </w:pPr>
            <w:r>
              <w:rPr>
                <w:rFonts w:ascii="Arial;sans-serif" w:hAnsi="Arial;sans-serif"/>
                <w:b w:val="false"/>
                <w:color w:val="000000"/>
                <w:sz w:val="20"/>
              </w:rPr>
              <w:t xml:space="preserve">Total stock-based compensation expense </w:t>
            </w:r>
            <w:r>
              <w:rPr>
                <w:rFonts w:ascii="Arial;sans-serif" w:hAnsi="Arial;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Arial;sans-serif" w:hAnsi="Arial;sans-serif"/>
          <w:b w:val="false"/>
          <w:color w:val="000000"/>
          <w:sz w:val="13"/>
        </w:rPr>
        <w:t>(1)</w:t>
      </w:r>
      <w:r>
        <w:rPr>
          <w:rFonts w:ascii="Arial;sans-serif" w:hAnsi="Arial;sans-serif"/>
          <w:b w:val="false"/>
          <w:color w:val="000000"/>
          <w:sz w:val="20"/>
        </w:rPr>
        <w:t>For the years ended December 31, 2024 and 2023, $14.5 million and $11.4 million, respectively, was recognized as stock compensation expense related to the Parapyre Option Obligation. There was no such expense for the year ended December 31, 2025.</w:t>
      </w:r>
    </w:p>
    <w:p>
      <w:pPr>
        <w:pStyle w:val="TextBody"/>
        <w:bidi w:val="0"/>
        <w:spacing w:lineRule="auto" w:line="288" w:before="120" w:after="283"/>
        <w:ind w:left="0" w:right="0" w:firstLine="360"/>
        <w:jc w:val="both"/>
        <w:rPr/>
      </w:pPr>
      <w:r>
        <w:rPr>
          <w:rFonts w:ascii="Arial;sans-serif" w:hAnsi="Arial;sans-serif"/>
          <w:b w:val="false"/>
          <w:color w:val="000000"/>
          <w:sz w:val="13"/>
        </w:rPr>
        <w:t>(2)</w:t>
      </w:r>
      <w:r>
        <w:rPr>
          <w:rFonts w:ascii="Arial;sans-serif" w:hAnsi="Arial;sans-serif"/>
          <w:b w:val="false"/>
          <w:color w:val="000000"/>
          <w:sz w:val="20"/>
        </w:rPr>
        <w:t>Of the total $36.6 million, $28.9 million and $14.2 million of employee related stock-based compensation expense for the years ended December 31, 2025, 2024 and 2023, respectively, nil, $3.6 million and $8.3 million is related to legacy Aeglea employees and directors who no longer served the Company as of the end of the respective period.</w:t>
      </w:r>
      <w:r>
        <w:rPr>
          <w:color w:val="000000"/>
        </w:rPr>
        <w:t xml:space="preserv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No related tax benefits were recognized for the years ended December 31, 2025, 2024, and 2023 (see Note 18).</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All outstanding awards as of December 31, 2025, under the 2016 Plan and 2018 Plan, have service-based vesting conditions only.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of December 31, 2025, the Company had an aggregate of $81.3 million of unrecognized stock-based compensation expense for options outstanding, which is expected to be recognized over a weighted average period of 2.3 years.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determining the fair value of the stock-based awards, the Company uses the Black-Scholes option-pricing model and assumptions discussed below. Each of these inputs is subjective and generally requires significant judgment to determine.</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Expected Term</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expected term represents the period that the Company’s stock-based awards are expected to be outstanding and is determined using the simplified method (based on the midpoint between the vesting date and the end of the contractual term). The Company utilizes this method due to lack of historical exercise data and the plain-vanilla nature of the Company’s stock-based awards.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Expected Volatility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limited relevant company-specific historical data to support its expected volatility since the Company's 2023 strategy and pipeline reset . As such, the Company has used an average of expected volatilities based on the volatilities of a representative group of publicly traded biopharmaceutical companies over a period equal to the expected term of the stock option grants. For purposes of identifying comparable companies,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intends to consistently apply this process using the same or similar comparable entities until a sufficient amount of historical information regarding the volatility of the Company’s own share price post transition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050"/>
                <wp:effectExtent l="0" t="0" r="0" b="0"/>
                <wp:wrapNone/>
                <wp:docPr id="164" name="Frame1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Risk-Free Interest Rate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risk-free interest rate is based on the U.S. Treasury zero coupon issues in effect at the time of grant for periods corresponding with the expected term of option.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Expected Dividend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never paid dividends on its common stock and has no plans to pay dividends on its common stock. Therefore, the Company used an expected dividend yield of zero.</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Valuation of Stock Options and 2016 ESPP</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fair value of the stock options granted under the Company's equity incentive plans, as well as the shares available for purchase under the 2016 ESPP were determined using the Black-Scholes option-pricing model. The following table summarizes the weighted-average assumptions used in calculating the fair value of the awards:</w:t>
      </w:r>
    </w:p>
    <w:tbl>
      <w:tblPr>
        <w:tblW w:w="5265" w:type="dxa"/>
        <w:jc w:val="center"/>
        <w:tblInd w:w="0" w:type="dxa"/>
        <w:tblLayout w:type="fixed"/>
        <w:tblCellMar>
          <w:top w:w="28" w:type="dxa"/>
          <w:left w:w="28" w:type="dxa"/>
          <w:bottom w:w="28" w:type="dxa"/>
          <w:right w:w="28" w:type="dxa"/>
        </w:tblCellMar>
      </w:tblPr>
      <w:tblGrid>
        <w:gridCol w:w="820"/>
        <w:gridCol w:w="720"/>
        <w:gridCol w:w="725"/>
        <w:gridCol w:w="240"/>
        <w:gridCol w:w="241"/>
        <w:gridCol w:w="286"/>
        <w:gridCol w:w="109"/>
        <w:gridCol w:w="109"/>
        <w:gridCol w:w="109"/>
        <w:gridCol w:w="239"/>
        <w:gridCol w:w="242"/>
        <w:gridCol w:w="286"/>
        <w:gridCol w:w="109"/>
        <w:gridCol w:w="109"/>
        <w:gridCol w:w="109"/>
        <w:gridCol w:w="239"/>
        <w:gridCol w:w="242"/>
        <w:gridCol w:w="33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Stock Options Granted</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5.88</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4.33</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2016 ESPP</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0.49</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4.22</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4.99</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16.  Defined Contribution Plan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sponsors a 401(k) retirement plan in which substantially all of its full-time employees are eligible to participate. Participants may contribute a percentage of their annual compensation to this plan, subject to statutory limitations. During the years ended December 31, 2025, 2024, 2023, the Company provided $0.8 million, $0.5 million, and $0.2 million, respectively, in contributions to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17.  Restructuring Charges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Severance and Stock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April 12, 2023, based on the review of the inconclusive interim results from the Company's Phase 1/2 clinical trial of pegtarviliase for the treatment of classical homocystinuria and other business considerations, the Company announced that it had initiated a process to explore strategic alternatives to maximize stockholder value and engaged an independent exclusive financial advisor to support this process.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a result, the Company implemented a restructuring plan resulting in an approximate 83% reduction of the Company’s existing headcount by June 30, 2023. The Company recognized restructuring expenses consisting of cash severance payments and other employee-related costs of $6.4 million during the year ended December 31, 2023. Cash payments for employee related restructuring charges of $5.3 million were paid as of December 31, 2023. In addition, the Company recognized $1.0 million in non-cash stock-based compensation expense related to the accelerated vesting of stock-based awards for certain employees. The Company recorded these restructuring charges based on each employee’s role to the respective research and development and general and administrative operating expense categories on its consolidated statements of operations and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050"/>
                <wp:effectExtent l="0" t="0" r="0" b="0"/>
                <wp:wrapNone/>
                <wp:docPr id="165" name="Frame1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Sale of Assets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second quarter of 2023, the Company sold various lab equipment, consumables, and furniture and fixtures for total consideration of $0.5 million. After recording the disposal of all the Company's property and equipment net of proceeds, the Company recorded a $0.7 million and $0.2 million loss on disposal of long-lived assets which is included in Research and development and General and administrative expenses, respectively.</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Lease Right-of-use Asset and Leasehold Improvement Impairment</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Effective June 30, 2023, the Company abandoned its leased office space in Austin, Texas. As a result, the Company recognized an impairment loss of $0.9 million related to the operating lease right-of-use asset and $1.7 million related to leasehold improvements. On August 7, 2023, the Company terminated its building lease in Austin, Texas. The negotiated termination agreement obligated the Company to pay the lessor a $2.0 million termination fee in exchange for releasing the Company of all further obligations under the lease.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All charges related to the restructuring activities were recognized during the second quarter of 2023. No further restructuring charges will be incurred under the restructuring plan. A summary of the charges related to the restructuring activities is as follows (in thousands):</w:t>
      </w:r>
    </w:p>
    <w:tbl>
      <w:tblPr>
        <w:tblW w:w="10205" w:type="dxa"/>
        <w:jc w:val="left"/>
        <w:tblInd w:w="0" w:type="dxa"/>
        <w:tblLayout w:type="fixed"/>
        <w:tblCellMar>
          <w:top w:w="28" w:type="dxa"/>
          <w:left w:w="28" w:type="dxa"/>
          <w:bottom w:w="28" w:type="dxa"/>
          <w:right w:w="28" w:type="dxa"/>
        </w:tblCellMar>
      </w:tblPr>
      <w:tblGrid>
        <w:gridCol w:w="640"/>
        <w:gridCol w:w="494"/>
        <w:gridCol w:w="495"/>
        <w:gridCol w:w="288"/>
        <w:gridCol w:w="884"/>
        <w:gridCol w:w="149"/>
        <w:gridCol w:w="109"/>
        <w:gridCol w:w="109"/>
        <w:gridCol w:w="109"/>
        <w:gridCol w:w="423"/>
        <w:gridCol w:w="965"/>
        <w:gridCol w:w="219"/>
        <w:gridCol w:w="109"/>
        <w:gridCol w:w="109"/>
        <w:gridCol w:w="109"/>
        <w:gridCol w:w="416"/>
        <w:gridCol w:w="951"/>
        <w:gridCol w:w="217"/>
        <w:gridCol w:w="109"/>
        <w:gridCol w:w="109"/>
        <w:gridCol w:w="109"/>
        <w:gridCol w:w="274"/>
        <w:gridCol w:w="842"/>
        <w:gridCol w:w="144"/>
        <w:gridCol w:w="109"/>
        <w:gridCol w:w="109"/>
        <w:gridCol w:w="109"/>
        <w:gridCol w:w="281"/>
        <w:gridCol w:w="1002"/>
        <w:gridCol w:w="213"/>
      </w:tblGrid>
      <w:tr>
        <w:trPr/>
        <w:tc>
          <w:tcPr>
            <w:tcW w:w="64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Severance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Stock Compensation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Loss on Disposal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Lease 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Total Restructuring Costs</w:t>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3,182 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1,405 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5,459 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5,493 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6,448 </w:t>
            </w:r>
          </w:p>
        </w:tc>
        <w:tc>
          <w:tcPr>
            <w:tcW w:w="1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931 </w:t>
            </w:r>
          </w:p>
        </w:tc>
        <w:tc>
          <w:tcPr>
            <w:tcW w:w="2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1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10,952 </w:t>
            </w:r>
          </w:p>
        </w:tc>
        <w:tc>
          <w:tcPr>
            <w:tcW w:w="2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 xml:space="preserve">18.  Income Taxes </w:t>
      </w:r>
    </w:p>
    <w:p>
      <w:pPr>
        <w:pStyle w:val="TextBody"/>
        <w:bidi w:val="0"/>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the (loss) income before income tax expense by jurisdiction for the periods indicated (in thousands):</w:t>
      </w:r>
    </w:p>
    <w:tbl>
      <w:tblPr>
        <w:tblW w:w="7361" w:type="dxa"/>
        <w:jc w:val="center"/>
        <w:tblInd w:w="0" w:type="dxa"/>
        <w:tblLayout w:type="fixed"/>
        <w:tblCellMar>
          <w:top w:w="28" w:type="dxa"/>
          <w:left w:w="28" w:type="dxa"/>
          <w:bottom w:w="28" w:type="dxa"/>
          <w:right w:w="28" w:type="dxa"/>
        </w:tblCellMar>
      </w:tblPr>
      <w:tblGrid>
        <w:gridCol w:w="1068"/>
        <w:gridCol w:w="940"/>
        <w:gridCol w:w="946"/>
        <w:gridCol w:w="211"/>
        <w:gridCol w:w="916"/>
        <w:gridCol w:w="109"/>
        <w:gridCol w:w="109"/>
        <w:gridCol w:w="109"/>
        <w:gridCol w:w="109"/>
        <w:gridCol w:w="211"/>
        <w:gridCol w:w="916"/>
        <w:gridCol w:w="109"/>
        <w:gridCol w:w="109"/>
        <w:gridCol w:w="109"/>
        <w:gridCol w:w="109"/>
        <w:gridCol w:w="211"/>
        <w:gridCol w:w="91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(338,942)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(207,967)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(338,816)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difference between the Company's provision for income taxes and the amounts computed by applying the statutory federal income tax rate to income before income taxes for the year ended December 31, 2025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050"/>
                <wp:effectExtent l="0" t="0" r="0" b="0"/>
                <wp:wrapNone/>
                <wp:docPr id="166" name="Frame1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7789" w:type="dxa"/>
        <w:jc w:val="center"/>
        <w:tblInd w:w="0" w:type="dxa"/>
        <w:tblLayout w:type="fixed"/>
        <w:tblCellMar>
          <w:top w:w="28" w:type="dxa"/>
          <w:left w:w="28" w:type="dxa"/>
          <w:bottom w:w="28" w:type="dxa"/>
          <w:right w:w="28" w:type="dxa"/>
        </w:tblCellMar>
      </w:tblPr>
      <w:tblGrid>
        <w:gridCol w:w="1739"/>
        <w:gridCol w:w="1527"/>
        <w:gridCol w:w="1533"/>
        <w:gridCol w:w="269"/>
        <w:gridCol w:w="1036"/>
        <w:gridCol w:w="139"/>
        <w:gridCol w:w="139"/>
        <w:gridCol w:w="139"/>
        <w:gridCol w:w="139"/>
        <w:gridCol w:w="353"/>
        <w:gridCol w:w="353"/>
        <w:gridCol w:w="423"/>
      </w:tblGrid>
      <w:tr>
        <w:trPr/>
        <w:tc>
          <w:tcPr>
            <w:tcW w:w="173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Year Ended December 31, 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Amount</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ind w:left="0" w:right="0" w:hanging="180"/>
              <w:jc w:val="center"/>
              <w:rPr>
                <w:rFonts w:ascii="Arial;sans-serif" w:hAnsi="Arial;sans-serif"/>
                <w:b/>
                <w:color w:val="000000"/>
                <w:sz w:val="16"/>
              </w:rPr>
            </w:pPr>
            <w:r>
              <w:rPr>
                <w:rFonts w:ascii="Arial;sans-serif" w:hAnsi="Arial;sans-serif"/>
                <w:b/>
                <w:color w:val="000000"/>
                <w:sz w:val="16"/>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Income taxes (benefit) at statutory federal rate</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(32,596)</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21.00 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State and local taxes, net of federal income tax effect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foreign</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valuation allowance</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37,622 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(24.24)</w:t>
            </w:r>
          </w:p>
        </w:tc>
        <w:tc>
          <w:tcPr>
            <w:tcW w:w="4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 compensation</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4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fair market value of contingent value right</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Limitation on officers' compensation</w:t>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2,860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4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Permanent and other items</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(0.07)</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Stock based compensation - deferred only</w:t>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4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 (benefit) for income taxes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disclosed for the years ended December 31, 2024 and 2023, prior to the adoption of ASU 2023-09, the difference between the Company's provision for income taxes and the amounts computed by applying the statutory federal income tax rate to income before income taxes is as follows (in thousands):</w:t>
      </w:r>
    </w:p>
    <w:tbl>
      <w:tblPr>
        <w:tblW w:w="10205" w:type="dxa"/>
        <w:jc w:val="center"/>
        <w:tblInd w:w="0" w:type="dxa"/>
        <w:tblLayout w:type="fixed"/>
        <w:tblCellMar>
          <w:top w:w="28" w:type="dxa"/>
          <w:left w:w="28" w:type="dxa"/>
          <w:bottom w:w="28" w:type="dxa"/>
          <w:right w:w="28" w:type="dxa"/>
        </w:tblCellMar>
      </w:tblPr>
      <w:tblGrid>
        <w:gridCol w:w="2685"/>
        <w:gridCol w:w="2328"/>
        <w:gridCol w:w="2349"/>
        <w:gridCol w:w="109"/>
        <w:gridCol w:w="109"/>
        <w:gridCol w:w="211"/>
        <w:gridCol w:w="805"/>
        <w:gridCol w:w="109"/>
        <w:gridCol w:w="109"/>
        <w:gridCol w:w="109"/>
        <w:gridCol w:w="109"/>
        <w:gridCol w:w="211"/>
        <w:gridCol w:w="805"/>
        <w:gridCol w:w="157"/>
      </w:tblGrid>
      <w:tr>
        <w:trPr/>
        <w:tc>
          <w:tcPr>
            <w:tcW w:w="268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7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180"/>
              <w:jc w:val="left"/>
              <w:rPr>
                <w:rFonts w:ascii="Arial;sans-serif" w:hAnsi="Arial;sans-serif"/>
                <w:b w:val="false"/>
                <w:color w:val="000000"/>
                <w:sz w:val="20"/>
              </w:rPr>
            </w:pPr>
            <w:r>
              <w:rPr>
                <w:rFonts w:ascii="Arial;sans-serif" w:hAnsi="Arial;sans-serif"/>
                <w:b w:val="false"/>
                <w:color w:val="000000"/>
                <w:sz w:val="20"/>
              </w:rPr>
              <w:t>Tax provision derived by applying the federal statutory rate to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(71,151)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forward contract 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17,541 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Acquired IPR&amp;D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27,340 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CVR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Federal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tax rate on foreign jurisdiction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 in the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amounts of cash income taxes paid by the company are as follows:</w:t>
      </w:r>
    </w:p>
    <w:tbl>
      <w:tblPr>
        <w:tblW w:w="3691" w:type="dxa"/>
        <w:jc w:val="center"/>
        <w:tblInd w:w="0" w:type="dxa"/>
        <w:tblLayout w:type="fixed"/>
        <w:tblCellMar>
          <w:top w:w="28" w:type="dxa"/>
          <w:left w:w="28" w:type="dxa"/>
          <w:bottom w:w="28" w:type="dxa"/>
          <w:right w:w="28" w:type="dxa"/>
        </w:tblCellMar>
      </w:tblPr>
      <w:tblGrid>
        <w:gridCol w:w="277"/>
        <w:gridCol w:w="244"/>
        <w:gridCol w:w="245"/>
        <w:gridCol w:w="799"/>
        <w:gridCol w:w="1539"/>
        <w:gridCol w:w="58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Year Ended December 31, 2025</w:t>
            </w:r>
          </w:p>
        </w:tc>
      </w:tr>
      <w:tr>
        <w:trPr/>
        <w:tc>
          <w:tcPr>
            <w:tcW w:w="7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799"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2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2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050"/>
                <wp:effectExtent l="0" t="0" r="0" b="0"/>
                <wp:wrapNone/>
                <wp:docPr id="167" name="Frame1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components of the deferred tax assets and liabilities consist of the following (in thousands):</w:t>
      </w:r>
    </w:p>
    <w:tbl>
      <w:tblPr>
        <w:tblW w:w="6837" w:type="dxa"/>
        <w:jc w:val="center"/>
        <w:tblInd w:w="0" w:type="dxa"/>
        <w:tblLayout w:type="fixed"/>
        <w:tblCellMar>
          <w:top w:w="28" w:type="dxa"/>
          <w:left w:w="28" w:type="dxa"/>
          <w:bottom w:w="28" w:type="dxa"/>
          <w:right w:w="28" w:type="dxa"/>
        </w:tblCellMar>
      </w:tblPr>
      <w:tblGrid>
        <w:gridCol w:w="1022"/>
        <w:gridCol w:w="895"/>
        <w:gridCol w:w="903"/>
        <w:gridCol w:w="211"/>
        <w:gridCol w:w="856"/>
        <w:gridCol w:w="109"/>
        <w:gridCol w:w="109"/>
        <w:gridCol w:w="109"/>
        <w:gridCol w:w="109"/>
        <w:gridCol w:w="211"/>
        <w:gridCol w:w="751"/>
        <w:gridCol w:w="109"/>
        <w:gridCol w:w="109"/>
        <w:gridCol w:w="109"/>
        <w:gridCol w:w="109"/>
        <w:gridCol w:w="211"/>
        <w:gridCol w:w="751"/>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operating loss carryforward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Capitalized 174 R&amp;D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Federal tax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State tax 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163,021 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Unrealized gain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deferred tax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(162,929)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has established a full federal and state valuation allowance equal to the net deferred tax assets due to uncertainties regarding the realization of the deferred tax asset based on the Company’s lack of earnings history. The valuation allowance increased by $38.4 million, $37.4 million, and $17.8 million during the years ended December 31, 2025, 2024, and 2023, respectively, primarily due to continuing loss from operations.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of December 31, 2025 and 2024, the Company had U.S. net operating loss carryforwards (“NOL”) of $560.1 million and $415.8 million, respectively.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year ended December 31, 2025, the Company had U.S. tax credit carryforwards and state tax credit carryforwards of $18.2 million and $2.1 million, respectively. Of the net operating loss and tax credit carryforwards $58.4 million and $20.3 million will begin to expire in 2033 and 2034, respectively.</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year ended December 31, 2024, the Company had U.S. tax credit carryforwards and state tax credit carryforwards of $18.2 million and $2.1 million, respectively. Of the net operating loss and tax credit carryforwards $58.4 million and $20.3 million will begin to expire in 2033 and 2034, respectively, if not utilized. Any remaining net operating loss will carry forward indefinitely and can be utilized to offset up to 80% of the taxable income in any tax year. The net operating loss and credit carryforwards are subject to Internal Revenue Service adjustments until the statute closes on the year the net operating loss or tax credits are utilized.</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NOL or research and development credit carryforwards would be subject to an annual limitation under Section 382 or 383 of the Internal Revenue Code, which is determined by first multiplying the value of the Company’s stock at the time of the ownership change by the applicable long-term, tax-exempt rate, and then could be subject to additional adjustments, as required. Additionally, the separate return limitation year (“SRLY”) rules may apply to losses of the Company’s eight wholly owned U.S. subsidiary corporations that have now been merged with the parent company. The SRLY rules limit the consolidated group’s use of a subsidiary corporation’s net operating losses to the amount of income generated by the subsidiary corporation after it becomes a member of the group. Any limitation may result in expiration of a portion of the NOL or research and development credit carryforwards before utilization. Further, until a study is completed and any limitation known, no amounts are being considered as an uncertain tax position or disclosed as an unrecognized tax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050"/>
                <wp:effectExtent l="0" t="0" r="0" b="0"/>
                <wp:wrapNone/>
                <wp:docPr id="168" name="Frame1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Additionally, the Company does not expect any unrecognized tax benefits to change significantly over the next twelve months.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subject to examination by taxing authorities in its significant jurisdictions for the year ended 2021 and subsequent years. However, due to NOL and tax attribute carryovers, the taxing authorities have the ability to adjust the NOLs and other tax attributes related to closed years. As of December 31, 2025 and 2024, there were no amounts recorded for uncertain tax positions. As of December 31, 2025, undistributed earnings of the Company’s incorporated foreign subsidiaries are immaterial. Under the Global Intangible Low-Taxed Income (“GILTI”) provisions of the 2017 Tax Cuts and Jobs Act, U.S. income taxes have been incurred on the undistributed earnings of the foreign subsidiaries and therefore, the tax impact upon distribution is limited to state income and withholding taxes and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19.  Segment Reporting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operates under a single operating and reportable segment, which is the development of biopharmaceutical products for the treatment of patients with IBD and other immune-mediated diseases. The Company's Chief Operating Decision Maker ("CODM") is the Company's Chief Executive Officer. The Company's CODM uses consolidated Net loss as the measure of segment profit or loss and uses consolidated Total Assets as reported on the balance sheet as the measure of segment assets. The Company's CODM compares Net loss against budgeted and/or forecasted amounts to track the Company's financial performance against expectations and to inform, along with development timelines and scientific and commercial considerations, their decisions regarding resource allocations to fund the Company's development of its pipeline.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sets forth the significant expenses provided to the CODM on a regular basis (in thousands):</w:t>
      </w:r>
    </w:p>
    <w:tbl>
      <w:tblPr>
        <w:tblW w:w="10205" w:type="dxa"/>
        <w:jc w:val="center"/>
        <w:tblInd w:w="0" w:type="dxa"/>
        <w:tblLayout w:type="fixed"/>
        <w:tblCellMar>
          <w:top w:w="28" w:type="dxa"/>
          <w:left w:w="28" w:type="dxa"/>
          <w:bottom w:w="28" w:type="dxa"/>
          <w:right w:w="28" w:type="dxa"/>
        </w:tblCellMar>
      </w:tblPr>
      <w:tblGrid>
        <w:gridCol w:w="2123"/>
        <w:gridCol w:w="1863"/>
        <w:gridCol w:w="1881"/>
        <w:gridCol w:w="211"/>
        <w:gridCol w:w="856"/>
        <w:gridCol w:w="109"/>
        <w:gridCol w:w="109"/>
        <w:gridCol w:w="109"/>
        <w:gridCol w:w="109"/>
        <w:gridCol w:w="211"/>
        <w:gridCol w:w="856"/>
        <w:gridCol w:w="109"/>
        <w:gridCol w:w="109"/>
        <w:gridCol w:w="109"/>
        <w:gridCol w:w="109"/>
        <w:gridCol w:w="211"/>
        <w:gridCol w:w="856"/>
        <w:gridCol w:w="109"/>
        <w:gridCol w:w="156"/>
      </w:tblGrid>
      <w:tr>
        <w:trPr/>
        <w:tc>
          <w:tcPr>
            <w:tcW w:w="212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Year Ended December 31,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Stock-based compensation</w:t>
            </w:r>
            <w:r>
              <w:rPr>
                <w:color w:val="000000"/>
              </w:rPr>
              <w:t xml:space="preserve"> </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Research and development, excluding compensation and stock-based compensation </w:t>
            </w:r>
            <w:r>
              <w:rPr>
                <w:rFonts w:ascii="Arial;sans-serif" w:hAnsi="Arial;sans-serif"/>
                <w:b w:val="false"/>
                <w:color w:val="000000"/>
                <w:sz w:val="13"/>
              </w:rPr>
              <w:t>(2)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Arial;sans-serif" w:hAnsi="Arial;sans-serif"/>
                <w:b w:val="false"/>
                <w:color w:val="000000"/>
                <w:sz w:val="20"/>
              </w:rPr>
              <w:t xml:space="preserve">Other segment items </w:t>
            </w:r>
            <w:r>
              <w:rPr>
                <w:rFonts w:ascii="Arial;sans-serif" w:hAnsi="Arial;sans-serif"/>
                <w:b w:val="false"/>
                <w:color w:val="000000"/>
                <w:sz w:val="13"/>
              </w:rPr>
              <w:t>(4) (5)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(49,695)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Segment 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Reconciliation of net loss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Adjustments and reconciling items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338,790 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pPr>
      <w:r>
        <w:rPr>
          <w:rFonts w:ascii="Arial;sans-serif" w:hAnsi="Arial;sans-serif"/>
          <w:b w:val="false"/>
          <w:color w:val="000000"/>
          <w:sz w:val="13"/>
        </w:rPr>
        <w:t>(1)</w:t>
      </w:r>
      <w:r>
        <w:rPr>
          <w:rFonts w:ascii="Arial;sans-serif" w:hAnsi="Arial;sans-serif"/>
          <w:b w:val="false"/>
          <w:color w:val="000000"/>
          <w:sz w:val="20"/>
        </w:rPr>
        <w:t>Includes $1.0 million, $15.6 million and $11.5 million in related party expenses for the years ended December 31, 2025, 2024 and 2023, respectively.</w:t>
      </w:r>
    </w:p>
    <w:p>
      <w:pPr>
        <w:pStyle w:val="TextBody"/>
        <w:bidi w:val="0"/>
        <w:spacing w:lineRule="auto" w:line="288" w:before="120" w:after="283"/>
        <w:ind w:left="0" w:right="0" w:firstLine="360"/>
        <w:jc w:val="both"/>
        <w:rPr/>
      </w:pPr>
      <w:r>
        <w:rPr>
          <w:rFonts w:ascii="Arial;sans-serif" w:hAnsi="Arial;sans-serif"/>
          <w:b w:val="false"/>
          <w:color w:val="000000"/>
          <w:sz w:val="13"/>
        </w:rPr>
        <w:t>(2)</w:t>
      </w:r>
      <w:r>
        <w:rPr>
          <w:rFonts w:ascii="Arial;sans-serif" w:hAnsi="Arial;sans-serif"/>
          <w:b w:val="false"/>
          <w:color w:val="000000"/>
          <w:sz w:val="20"/>
        </w:rPr>
        <w:t>Includes non-clinical study expenses, clinical trial expenses and manufacturing costs.</w:t>
      </w:r>
    </w:p>
    <w:p>
      <w:pPr>
        <w:pStyle w:val="TextBody"/>
        <w:bidi w:val="0"/>
        <w:spacing w:lineRule="auto" w:line="288" w:before="120" w:after="283"/>
        <w:ind w:left="0" w:right="0" w:firstLine="360"/>
        <w:jc w:val="both"/>
        <w:rPr/>
      </w:pPr>
      <w:r>
        <w:rPr>
          <w:rFonts w:ascii="Arial;sans-serif" w:hAnsi="Arial;sans-serif"/>
          <w:b w:val="false"/>
          <w:color w:val="000000"/>
          <w:sz w:val="13"/>
        </w:rPr>
        <w:t>(3)</w:t>
      </w:r>
      <w:r>
        <w:rPr>
          <w:rFonts w:ascii="Arial;sans-serif" w:hAnsi="Arial;sans-serif"/>
          <w:b w:val="false"/>
          <w:color w:val="000000"/>
          <w:sz w:val="20"/>
        </w:rPr>
        <w:t>Includes $10.5 million, $25.5 million and $37.1 million in related party expenses for the years ended December 31, 2025, 2024 and 2023, respectively.</w:t>
      </w:r>
    </w:p>
    <w:p>
      <w:pPr>
        <w:pStyle w:val="TextBody"/>
        <w:bidi w:val="0"/>
        <w:spacing w:lineRule="auto" w:line="288" w:before="120" w:after="283"/>
        <w:ind w:left="0" w:right="0" w:firstLine="360"/>
        <w:jc w:val="both"/>
        <w:rPr/>
      </w:pPr>
      <w:r>
        <w:rPr>
          <w:rFonts w:ascii="Arial;sans-serif" w:hAnsi="Arial;sans-serif"/>
          <w:b w:val="false"/>
          <w:color w:val="000000"/>
          <w:sz w:val="13"/>
        </w:rPr>
        <w:t>(4)</w:t>
      </w:r>
      <w:r>
        <w:rPr>
          <w:rFonts w:ascii="Arial;sans-serif" w:hAnsi="Arial;sans-serif"/>
          <w:b w:val="false"/>
          <w:color w:val="000000"/>
          <w:sz w:val="20"/>
        </w:rPr>
        <w:t xml:space="preserve">Includes general and administrative expenses such as audit, legal, and other professional fees, interest income, and Other expense, net. For the year ended December 31, 2025, includes a gain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050"/>
                <wp:effectExtent l="0" t="0" r="0" b="0"/>
                <wp:wrapNone/>
                <wp:docPr id="169" name="Frame1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connection with the sale of pegzilarginase to Immedica. For the year ended December 31, 2023, includes acquired IPR&amp;D expense related to the Asset Acquisition, a gain on sale related to sale of Pegzilarginase to Immedica, and changes in the forward-contract liability related to the Asset Acquisition.</w:t>
      </w:r>
    </w:p>
    <w:p>
      <w:pPr>
        <w:pStyle w:val="TextBody"/>
        <w:bidi w:val="0"/>
        <w:spacing w:lineRule="auto" w:line="288" w:before="120" w:after="283"/>
        <w:ind w:left="0" w:right="0" w:firstLine="360"/>
        <w:jc w:val="both"/>
        <w:rPr/>
      </w:pPr>
      <w:r>
        <w:rPr>
          <w:rFonts w:ascii="Arial;sans-serif" w:hAnsi="Arial;sans-serif"/>
          <w:b w:val="false"/>
          <w:color w:val="000000"/>
          <w:sz w:val="13"/>
        </w:rPr>
        <w:t>(5)</w:t>
      </w:r>
      <w:r>
        <w:rPr>
          <w:rFonts w:ascii="Arial;sans-serif" w:hAnsi="Arial;sans-serif"/>
          <w:b w:val="false"/>
          <w:color w:val="000000"/>
          <w:sz w:val="20"/>
        </w:rPr>
        <w:t>Includes a $29.8 million decrease, a $20.4 million increase and a $18.9 million increase in fair value of CVR liability for the years ended December 31, 2025, 2024 and 2023, respectively.</w:t>
      </w:r>
    </w:p>
    <w:p>
      <w:pPr>
        <w:pStyle w:val="TextBody"/>
        <w:bidi w:val="0"/>
        <w:spacing w:before="12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20.  Net Loss Per Share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computes net loss per share of common stock, Series A Preferred Stock, and Series B Preferred Stock using the two-class method required for multiple classes of common stock and other participating securities.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two-class method is an earnings (loss) allocation method under which earnings (loss) per share is calculated for each class of common stock. The Company has determined that the Series A Preferred Stock and Series B Preferred Stock do not have preferential rights when compared to the Company's common stock and therefore it must allocate losses to these other classes of common stock, as illustrated in the table below.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Basic and diluted net loss per share is computed by dividing the net loss by the weighted-average number of shares and pre-funded warrants outstanding during the period, without consideration of potential dilutive securities. The pre-funded warrants are included in the computation of basic net loss per share as the exercise price is negligible and they are fully vested and exercisable. For periods in which the Company generated a net loss, the Company does not include potential shares of common stock in diluted net loss per share when the impact of these items is anti-dilutive. The Company has generated a net loss for all periods presented, therefore diluted net loss per share is the same as basic net loss per share since the inclusion of potential shares of common stock would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050"/>
                <wp:effectExtent l="0" t="0" r="0" b="0"/>
                <wp:wrapNone/>
                <wp:docPr id="170" name="Frame1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loss per share of common stock, Series A Preferred Stock, and Series B Preferred Stock (in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622"/>
        <w:gridCol w:w="1409"/>
        <w:gridCol w:w="1414"/>
        <w:gridCol w:w="384"/>
        <w:gridCol w:w="1670"/>
        <w:gridCol w:w="198"/>
        <w:gridCol w:w="109"/>
        <w:gridCol w:w="109"/>
        <w:gridCol w:w="109"/>
        <w:gridCol w:w="272"/>
        <w:gridCol w:w="1047"/>
        <w:gridCol w:w="140"/>
        <w:gridCol w:w="109"/>
        <w:gridCol w:w="109"/>
        <w:gridCol w:w="109"/>
        <w:gridCol w:w="211"/>
        <w:gridCol w:w="915"/>
        <w:gridCol w:w="109"/>
        <w:gridCol w:w="160"/>
      </w:tblGrid>
      <w:tr>
        <w:trPr/>
        <w:tc>
          <w:tcPr>
            <w:tcW w:w="162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Year Ended December 31,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A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B</w:t>
              <w:br/>
              <w:t>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Common</w:t>
              <w:br/>
              <w:t>Stock</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Allocation of losses</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(27,344)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(1,317)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(126,541)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w:t>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346,045 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16,667 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64,056,442 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(79.02)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(79.02)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15"/>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Year Ended December 31, 2024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A 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B</w:t>
              <w:br/>
              <w:t>Preferred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Common</w:t>
              <w:br/>
              <w:t>Stock</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Allocation of losses</w:t>
            </w:r>
          </w:p>
        </w:tc>
        <w:tc>
          <w:tcPr>
            <w:tcW w:w="38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(47,624)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(10,839)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w:t>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374,387 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85,208 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46,940,206</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pre-funded warrants outstanding</w:t>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87,432</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Number of shares used in per share computation</w:t>
            </w:r>
          </w:p>
        </w:tc>
        <w:tc>
          <w:tcPr>
            <w:tcW w:w="2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374,387 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85,208 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47,027,638</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(127.21)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(127.21)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0" w:type="dxa"/>
            <w:gridSpan w:val="15"/>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Year Ended December 31, 2023</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A 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Series B</w:t>
              <w:br/>
              <w:t>Preferred Stock</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Common</w:t>
              <w:br/>
              <w:t>Stock</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Allocation of losses</w:t>
            </w:r>
          </w:p>
        </w:tc>
        <w:tc>
          <w:tcPr>
            <w:tcW w:w="3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(239,158)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(4,749)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shares outstanding</w:t>
            </w:r>
          </w:p>
        </w:tc>
        <w:tc>
          <w:tcPr>
            <w:tcW w:w="2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434,612 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6,201,954</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pre-funded warrants outstanding</w:t>
            </w:r>
          </w:p>
        </w:tc>
        <w:tc>
          <w:tcPr>
            <w:tcW w:w="2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695,111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Number of shares used in per share computation</w:t>
            </w:r>
          </w:p>
        </w:tc>
        <w:tc>
          <w:tcPr>
            <w:tcW w:w="2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434,612 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8,630 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6,897,065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(550.28)</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(550.29)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050"/>
                <wp:effectExtent l="0" t="0" r="0" b="0"/>
                <wp:wrapNone/>
                <wp:docPr id="171" name="Frame1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157</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weighted-average equity instruments were excluded from the calculation of diluted net loss per share because their effect would have been anti-dilutive for the periods presented:</w:t>
      </w:r>
    </w:p>
    <w:tbl>
      <w:tblPr>
        <w:tblW w:w="7540" w:type="dxa"/>
        <w:jc w:val="center"/>
        <w:tblInd w:w="0" w:type="dxa"/>
        <w:tblLayout w:type="fixed"/>
        <w:tblCellMar>
          <w:top w:w="28" w:type="dxa"/>
          <w:left w:w="28" w:type="dxa"/>
          <w:bottom w:w="28" w:type="dxa"/>
          <w:right w:w="28" w:type="dxa"/>
        </w:tblCellMar>
      </w:tblPr>
      <w:tblGrid>
        <w:gridCol w:w="1169"/>
        <w:gridCol w:w="1024"/>
        <w:gridCol w:w="1031"/>
        <w:gridCol w:w="319"/>
        <w:gridCol w:w="319"/>
        <w:gridCol w:w="323"/>
        <w:gridCol w:w="140"/>
        <w:gridCol w:w="140"/>
        <w:gridCol w:w="140"/>
        <w:gridCol w:w="428"/>
        <w:gridCol w:w="428"/>
        <w:gridCol w:w="323"/>
        <w:gridCol w:w="140"/>
        <w:gridCol w:w="140"/>
        <w:gridCol w:w="140"/>
        <w:gridCol w:w="458"/>
        <w:gridCol w:w="458"/>
        <w:gridCol w:w="420"/>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6"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2023</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1,785,568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3,212,734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2,583,226</w:t>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Unvested restricted stock units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27,806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68,027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4,240</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Outstanding Parapyre Warrants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1,532,591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686,724 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5,625.00 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050"/>
                <wp:effectExtent l="0" t="0" r="0" b="0"/>
                <wp:wrapNone/>
                <wp:docPr id="172" name="Frame1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158</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our principal financial officer, evaluated, as of the end of the period covered by this Annual Report on Form 10-K, the effectiveness of our disclosure controls and procedures.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Management’s Annual Report on Internal Control Over Financial Reporting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standards. Our internal control over financial reporting includes those policies and procedures that:</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pertain to the maintenance of records that, in reasonable detail, accurately and fairly reflect our transactions and dispositions of our assets;</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pStyle w:val="TextBody"/>
        <w:bidi w:val="0"/>
        <w:spacing w:lineRule="auto" w:line="288" w:before="240" w:after="283"/>
        <w:ind w:left="0" w:right="0" w:hanging="360"/>
        <w:jc w:val="both"/>
        <w:rPr/>
      </w:pPr>
      <w:r>
        <w:rPr>
          <w:color w:val="000000"/>
        </w:rPr>
        <w:t>•</w:t>
      </w:r>
      <w:r>
        <w:rPr>
          <w:rFonts w:ascii="Arial;sans-serif" w:hAnsi="Arial;sans-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assessed the effectiveness of our internal control over financial reporting as of December 31, 2025. In making this assessment, management used the criteria set forth by the Committee of Sponsoring Organizations of the Treadway Commission (COSO) in its 2013 Internal Control – Integrated Framework. Based on our assessment, our management has concluded that, as of December 31, 2025, our internal control over financial reporting was effective based on those criteria.</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050"/>
                <wp:effectExtent l="0" t="0" r="0" b="0"/>
                <wp:wrapNone/>
                <wp:docPr id="173" name="Frame1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159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that occurred during the quarter ended December 31, 2025 that have materially affected, or are reasonably likely to materially affect, our internal control over financial reporting.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240" w:after="283"/>
        <w:jc w:val="both"/>
        <w:rPr>
          <w:rFonts w:ascii="Arial;sans-serif" w:hAnsi="Arial;sans-serif"/>
          <w:b w:val="false"/>
          <w:i/>
          <w:color w:val="000000"/>
          <w:sz w:val="20"/>
        </w:rPr>
      </w:pPr>
      <w:r>
        <w:rPr>
          <w:rFonts w:ascii="Arial;sans-serif" w:hAnsi="Arial;sans-serif"/>
          <w:b w:val="false"/>
          <w:i/>
          <w:color w:val="000000"/>
          <w:sz w:val="20"/>
        </w:rPr>
        <w:t>Trading Plans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fiscal quarter ended December 31, 2025, no director or Section 16 officer adopted or terminated any Rule 10b5-1 trading arrangement or non-Rule 10b5-1 trading arrangement (in each case, as defined in Item 408(a) of Regulation S-K), except as described below.</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On November 10, 2025, Scott Burrows, our Chief Financial Officer, terminated a trading plan dated April 15, 2024 intended to satisfy Rule 10b5-1(c) to sell up to 180,000 shares of our common stock over a period ending November 19, 2026, subject to certain conditions, and adopted a trading plan intended to satisfy Rule 10b5-1(c) to sell up to 180,000 shares of our common stock over a period ending February 3, 2028, subject to certain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050"/>
                <wp:effectExtent l="0" t="0" r="0" b="0"/>
                <wp:wrapNone/>
                <wp:docPr id="174" name="Frame1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160</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ITEM 10.  DIRECTORS, EXECUTIVE OFFICERS AND CORPORATE GOVERNANCE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from the applicable information set forth in the Proxy Statement with respect to our 2026 Annual Meeting of Stockholders to be filed with the SEC within 120 days of the end of the fiscal year covered by this Annual Report on Form 10-K (the “2026 Proxy Statement”), including the sections titled “Information Regarding Director Nominees and Continuing Directors,” “Executive Officers,” “Corporate Governance,” and, if applicable, “Delinquent Section 16(a) Reports.”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from the applicable information set forth in our 2026 Proxy Statement, including the sections titled “Executive Compensation”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ITEM 12.  SECURITY OWNERSHIP OF CERTAIN BENEFICIAL OWNERS AND MANAGEMENT AND RELATED STOCKHOLDER MATTERS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from the applicable information set forth in our 2026 Proxy Statement, including the sections titled “Security Ownership of Certain Beneficial Owners and Management and Related Stockholder Matters” and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from the applicable information set forth in our 2026 Proxy Statement, including the sections titled “Certain Relationships and Related Party Transactions" and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herein by reference from the applicable information set forth in our 2026 Proxy Statement, including the section titled “Ratification of Independent Auditor Appointment."</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050"/>
                <wp:effectExtent l="0" t="0" r="0" b="0"/>
                <wp:wrapNone/>
                <wp:docPr id="175" name="Frame1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161</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documents are filed as part of this report:</w:t>
      </w:r>
    </w:p>
    <w:p>
      <w:pPr>
        <w:pStyle w:val="TextBody"/>
        <w:bidi w:val="0"/>
        <w:spacing w:lineRule="auto" w:line="288" w:before="360" w:after="283"/>
        <w:ind w:left="0" w:right="0" w:hanging="1170"/>
        <w:jc w:val="left"/>
        <w:rPr>
          <w:rFonts w:ascii="Arial;sans-serif" w:hAnsi="Arial;sans-serif"/>
          <w:b/>
          <w:color w:val="000000"/>
          <w:sz w:val="20"/>
        </w:rPr>
      </w:pPr>
      <w:r>
        <w:rPr>
          <w:rFonts w:ascii="Arial;sans-serif" w:hAnsi="Arial;sans-serif"/>
          <w:b/>
          <w:color w:val="000000"/>
          <w:sz w:val="20"/>
        </w:rPr>
        <w:t>1.Financial Statements</w:t>
      </w:r>
    </w:p>
    <w:p>
      <w:pPr>
        <w:pStyle w:val="TextBody"/>
        <w:bidi w:val="0"/>
        <w:spacing w:lineRule="auto" w:line="288" w:before="120" w:after="283"/>
        <w:ind w:left="0" w:right="0" w:firstLine="1260"/>
        <w:jc w:val="left"/>
        <w:rPr>
          <w:rFonts w:ascii="Arial;sans-serif" w:hAnsi="Arial;sans-serif"/>
          <w:b w:val="false"/>
          <w:color w:val="000000"/>
          <w:sz w:val="20"/>
        </w:rPr>
      </w:pPr>
      <w:r>
        <w:rPr>
          <w:rFonts w:ascii="Arial;sans-serif" w:hAnsi="Arial;sans-serif"/>
          <w:b w:val="false"/>
          <w:color w:val="000000"/>
          <w:sz w:val="20"/>
        </w:rPr>
        <w:t>See Index to Financial Statements at Item 8 herein.</w:t>
      </w:r>
    </w:p>
    <w:p>
      <w:pPr>
        <w:pStyle w:val="TextBody"/>
        <w:bidi w:val="0"/>
        <w:spacing w:lineRule="auto" w:line="288" w:before="360" w:after="283"/>
        <w:ind w:left="0" w:right="0" w:hanging="1170"/>
        <w:jc w:val="left"/>
        <w:rPr>
          <w:rFonts w:ascii="Arial;sans-serif" w:hAnsi="Arial;sans-serif"/>
          <w:b/>
          <w:color w:val="000000"/>
          <w:sz w:val="20"/>
        </w:rPr>
      </w:pPr>
      <w:r>
        <w:rPr>
          <w:rFonts w:ascii="Arial;sans-serif" w:hAnsi="Arial;sans-serif"/>
          <w:b/>
          <w:color w:val="000000"/>
          <w:sz w:val="20"/>
        </w:rPr>
        <w:t>2.Financial Statement Schedules</w:t>
      </w:r>
    </w:p>
    <w:p>
      <w:pPr>
        <w:pStyle w:val="TextBody"/>
        <w:bidi w:val="0"/>
        <w:spacing w:lineRule="auto" w:line="288" w:before="120" w:after="283"/>
        <w:ind w:left="0" w:right="0" w:firstLine="1260"/>
        <w:jc w:val="left"/>
        <w:rPr>
          <w:rFonts w:ascii="Arial;sans-serif" w:hAnsi="Arial;sans-serif"/>
          <w:b w:val="false"/>
          <w:color w:val="000000"/>
          <w:sz w:val="20"/>
        </w:rPr>
      </w:pPr>
      <w:r>
        <w:rPr>
          <w:rFonts w:ascii="Arial;sans-serif" w:hAnsi="Arial;sans-serif"/>
          <w:b w:val="false"/>
          <w:color w:val="000000"/>
          <w:sz w:val="20"/>
        </w:rPr>
        <w:t>All schedules are omitted because they are not applicable or the required information is shown in the financial statements or notes thereto.</w:t>
      </w:r>
    </w:p>
    <w:p>
      <w:pPr>
        <w:pStyle w:val="TextBody"/>
        <w:bidi w:val="0"/>
        <w:spacing w:lineRule="auto" w:line="288" w:before="360" w:after="283"/>
        <w:ind w:left="0" w:right="0" w:hanging="1170"/>
        <w:jc w:val="left"/>
        <w:rPr>
          <w:rFonts w:ascii="Arial;sans-serif" w:hAnsi="Arial;sans-serif"/>
          <w:b/>
          <w:color w:val="000000"/>
          <w:sz w:val="20"/>
        </w:rPr>
      </w:pPr>
      <w:r>
        <w:rPr>
          <w:rFonts w:ascii="Arial;sans-serif" w:hAnsi="Arial;sans-serif"/>
          <w:b/>
          <w:color w:val="000000"/>
          <w:sz w:val="20"/>
        </w:rPr>
        <w:t>3.Exhibits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541"/>
        <w:gridCol w:w="1214"/>
        <w:gridCol w:w="1217"/>
        <w:gridCol w:w="109"/>
        <w:gridCol w:w="109"/>
        <w:gridCol w:w="109"/>
        <w:gridCol w:w="179"/>
        <w:gridCol w:w="179"/>
        <w:gridCol w:w="180"/>
        <w:gridCol w:w="109"/>
        <w:gridCol w:w="109"/>
        <w:gridCol w:w="109"/>
        <w:gridCol w:w="267"/>
        <w:gridCol w:w="267"/>
        <w:gridCol w:w="272"/>
        <w:gridCol w:w="109"/>
        <w:gridCol w:w="109"/>
        <w:gridCol w:w="109"/>
        <w:gridCol w:w="217"/>
        <w:gridCol w:w="217"/>
        <w:gridCol w:w="218"/>
        <w:gridCol w:w="109"/>
        <w:gridCol w:w="109"/>
        <w:gridCol w:w="109"/>
        <w:gridCol w:w="220"/>
        <w:gridCol w:w="220"/>
        <w:gridCol w:w="221"/>
        <w:gridCol w:w="109"/>
        <w:gridCol w:w="109"/>
        <w:gridCol w:w="109"/>
        <w:gridCol w:w="250"/>
        <w:gridCol w:w="250"/>
        <w:gridCol w:w="36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w:t>
              <w:br/>
              <w:t>Herewith</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Agreement and Plan of Merger, dated June 22, 2023, by and among the Company, Aspen Merger Sub I, Inc., Sequoia Merger Sub II, LLC and Spyre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Second Amended and Restated Certificate of Incorporation of the Company, effective as of May 14,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5/15/2024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Certificate of Designations of Series A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Certificate of Designations of Series B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Certificate of Amendment to Certificate of Designation of Series B Non-Voting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3/18/2024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Form of Registration Rights Agreement, by and among the Company and certain purchasers (December 2023 PIPE)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Form of Registration Rights Agreement, by and among the Company and certain purchasers (June 2023 PIPE)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Description of the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2/27/2025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Form of Warrant to Purchase Common Stock (Parapyre Warrant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Form of Warrant to Purchase Common Stock (Parapyre Warrant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050"/>
                <wp:effectExtent l="0" t="0" r="0" b="0"/>
                <wp:wrapNone/>
                <wp:docPr id="176" name="Frame1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162</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477"/>
        <w:gridCol w:w="1254"/>
        <w:gridCol w:w="1258"/>
        <w:gridCol w:w="109"/>
        <w:gridCol w:w="109"/>
        <w:gridCol w:w="109"/>
        <w:gridCol w:w="179"/>
        <w:gridCol w:w="179"/>
        <w:gridCol w:w="180"/>
        <w:gridCol w:w="109"/>
        <w:gridCol w:w="109"/>
        <w:gridCol w:w="109"/>
        <w:gridCol w:w="265"/>
        <w:gridCol w:w="265"/>
        <w:gridCol w:w="269"/>
        <w:gridCol w:w="109"/>
        <w:gridCol w:w="109"/>
        <w:gridCol w:w="109"/>
        <w:gridCol w:w="214"/>
        <w:gridCol w:w="214"/>
        <w:gridCol w:w="215"/>
        <w:gridCol w:w="109"/>
        <w:gridCol w:w="109"/>
        <w:gridCol w:w="109"/>
        <w:gridCol w:w="220"/>
        <w:gridCol w:w="220"/>
        <w:gridCol w:w="221"/>
        <w:gridCol w:w="109"/>
        <w:gridCol w:w="109"/>
        <w:gridCol w:w="109"/>
        <w:gridCol w:w="250"/>
        <w:gridCol w:w="250"/>
        <w:gridCol w:w="36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w:t>
              <w:br/>
              <w:t>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2015 Equity Incentive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Spyre Therapeutics, Inc. 2016 Equity Incentive Plan, As Amended and Restated Effective November 21,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Form of Stock Option Agreement under the Amended and Restated Spyre Therapeutics, Inc.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5formofrsuawardagreeme.htm">
              <w:r>
                <w:rPr>
                  <w:rStyle w:val="InternetLink"/>
                  <w:rFonts w:ascii="Arial;sans-serif" w:hAnsi="Arial;sans-serif"/>
                  <w:b w:val="false"/>
                  <w:color w:val="000080"/>
                  <w:sz w:val="20"/>
                  <w:u w:val="single"/>
                </w:rPr>
                <w:t>F</w:t>
              </w:r>
            </w:hyperlink>
            <w:hyperlink w:anchor="ex105formofrsuawardagreeme.htm">
              <w:r>
                <w:rPr>
                  <w:rStyle w:val="InternetLink"/>
                  <w:rFonts w:ascii="Arial;sans-serif" w:hAnsi="Arial;sans-serif"/>
                  <w:b w:val="false"/>
                  <w:color w:val="000080"/>
                  <w:sz w:val="20"/>
                  <w:u w:val="single"/>
                </w:rPr>
                <w:t xml:space="preserve">orm of Restricted Stock </w:t>
              </w:r>
            </w:hyperlink>
            <w:hyperlink w:anchor="ex105formofrsuawardagreeme.htm">
              <w:r>
                <w:rPr>
                  <w:rStyle w:val="InternetLink"/>
                  <w:rFonts w:ascii="Arial;sans-serif" w:hAnsi="Arial;sans-serif"/>
                  <w:b w:val="false"/>
                  <w:color w:val="000080"/>
                  <w:sz w:val="20"/>
                  <w:u w:val="single"/>
                </w:rPr>
                <w:t xml:space="preserve">Unit Award </w:t>
              </w:r>
            </w:hyperlink>
            <w:hyperlink w:anchor="ex105formofrsuawardagreeme.htm">
              <w:r>
                <w:rPr>
                  <w:rStyle w:val="InternetLink"/>
                  <w:rFonts w:ascii="Arial;sans-serif" w:hAnsi="Arial;sans-serif"/>
                  <w:b w:val="false"/>
                  <w:color w:val="000080"/>
                  <w:sz w:val="20"/>
                  <w:u w:val="single"/>
                </w:rPr>
                <w:t>Agreement</w:t>
              </w:r>
            </w:hyperlink>
            <w:hyperlink w:anchor="ex105formofrsuawardagreeme.htm">
              <w:r>
                <w:rPr>
                  <w:rStyle w:val="InternetLink"/>
                  <w:rFonts w:ascii="Arial;sans-serif" w:hAnsi="Arial;sans-serif"/>
                  <w:b w:val="false"/>
                  <w:color w:val="000080"/>
                  <w:sz w:val="20"/>
                  <w:u w:val="single"/>
                </w:rPr>
                <w:t xml:space="preserve"> under the Amended and Restated Spyre Therapeutics, Inc. 2016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Spyre Therapeutics, Inc. 2016 Employee Stock Purchase Plan, as amended by the First Amendment on January 31,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80"/>
                  <w:sz w:val="20"/>
                  <w:u w:val="single"/>
                </w:rPr>
                <w:t>Spyre Therapeutics, Inc. 2018 Equity Inducement Plan and the First Amendment, Second Amendment, Third Amendment</w:t>
              </w:r>
            </w:hyperlink>
            <w:hyperlink r:id="rId30">
              <w:r>
                <w:rPr>
                  <w:rStyle w:val="InternetLink"/>
                  <w:rFonts w:ascii="Arial;sans-serif" w:hAnsi="Arial;sans-serif"/>
                  <w:b w:val="false"/>
                  <w:color w:val="000080"/>
                  <w:sz w:val="20"/>
                  <w:u w:val="single"/>
                </w:rPr>
                <w:t>,</w:t>
              </w:r>
            </w:hyperlink>
            <w:hyperlink r:id="rId31">
              <w:r>
                <w:rPr>
                  <w:rStyle w:val="InternetLink"/>
                  <w:rFonts w:ascii="Arial;sans-serif" w:hAnsi="Arial;sans-serif"/>
                  <w:b w:val="false"/>
                  <w:color w:val="000080"/>
                  <w:sz w:val="20"/>
                  <w:u w:val="single"/>
                </w:rPr>
                <w:t xml:space="preserve"> Fourth Amendment</w:t>
              </w:r>
            </w:hyperlink>
            <w:hyperlink r:id="rId32">
              <w:r>
                <w:rPr>
                  <w:rStyle w:val="InternetLink"/>
                  <w:rFonts w:ascii="Arial;sans-serif" w:hAnsi="Arial;sans-serif"/>
                  <w:b w:val="false"/>
                  <w:color w:val="000080"/>
                  <w:sz w:val="20"/>
                  <w:u w:val="single"/>
                </w:rPr>
                <w:t xml:space="preserve">, </w:t>
              </w:r>
            </w:hyperlink>
            <w:hyperlink r:id="rId33">
              <w:r>
                <w:rPr>
                  <w:rStyle w:val="InternetLink"/>
                  <w:rFonts w:ascii="Arial;sans-serif" w:hAnsi="Arial;sans-serif"/>
                  <w:b w:val="false"/>
                  <w:color w:val="000080"/>
                  <w:sz w:val="20"/>
                  <w:u w:val="single"/>
                </w:rPr>
                <w:t>Fifth Amendment and Sixth Amendment</w:t>
              </w:r>
            </w:hyperlink>
            <w:hyperlink r:id="rId34">
              <w:r>
                <w:rPr>
                  <w:rStyle w:val="InternetLink"/>
                  <w:rFonts w:ascii="Arial;sans-serif" w:hAnsi="Arial;sans-serif"/>
                  <w:b w:val="false"/>
                  <w:color w:val="000080"/>
                  <w:sz w:val="20"/>
                  <w:u w:val="single"/>
                </w:rPr>
                <w:t xml:space="preserve">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Form of Stock Option Agreement under the Amended and Restated 2018 Equity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Form of Restricted Stock Unit Award Agreement under the Amended Spyre Therapeutics, Inc. 2018 Equity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Spyre Therapeutics, Inc. 2023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Form of Stock Restriction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20"/>
                  <w:u w:val="single"/>
                </w:rPr>
                <w:t>Form of Severance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20"/>
                  <w:u w:val="single"/>
                </w:rPr>
                <w:t>Amended and Restated Offer Letter, dated November 22, 2023 and as amended on February 1, 2024, by and between the Company and Cameron Turtle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20"/>
                  <w:u w:val="single"/>
                </w:rPr>
                <w:t>Offer Letter, dated August 10, 2023, by and between the Company and Scott Burrows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20"/>
                  <w:u w:val="single"/>
                </w:rPr>
                <w:t>Offer Letter, dated August 18, 2023, by and between the Company and Heidy King-Jones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20"/>
                  <w:u w:val="single"/>
                </w:rPr>
                <w:t>Offer Letter, dated September 20, 2024, by and between the Company and Sheldon Sloan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20"/>
                  <w:u w:val="single"/>
                </w:rPr>
                <w:t>Consulting Agreement by and between the Company and Mark McKenna, effective August 1,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050"/>
                <wp:effectExtent l="0" t="0" r="0" b="0"/>
                <wp:wrapNone/>
                <wp:docPr id="177" name="Frame1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163</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068"/>
        <w:gridCol w:w="985"/>
        <w:gridCol w:w="988"/>
        <w:gridCol w:w="109"/>
        <w:gridCol w:w="109"/>
        <w:gridCol w:w="109"/>
        <w:gridCol w:w="175"/>
        <w:gridCol w:w="175"/>
        <w:gridCol w:w="176"/>
        <w:gridCol w:w="109"/>
        <w:gridCol w:w="109"/>
        <w:gridCol w:w="109"/>
        <w:gridCol w:w="338"/>
        <w:gridCol w:w="255"/>
        <w:gridCol w:w="190"/>
        <w:gridCol w:w="109"/>
        <w:gridCol w:w="109"/>
        <w:gridCol w:w="109"/>
        <w:gridCol w:w="206"/>
        <w:gridCol w:w="206"/>
        <w:gridCol w:w="208"/>
        <w:gridCol w:w="109"/>
        <w:gridCol w:w="109"/>
        <w:gridCol w:w="109"/>
        <w:gridCol w:w="220"/>
        <w:gridCol w:w="220"/>
        <w:gridCol w:w="221"/>
        <w:gridCol w:w="109"/>
        <w:gridCol w:w="109"/>
        <w:gridCol w:w="109"/>
        <w:gridCol w:w="250"/>
        <w:gridCol w:w="250"/>
        <w:gridCol w:w="36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w:t>
              <w:br/>
              <w:t>Herewith</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20"/>
                  <w:u w:val="single"/>
                </w:rPr>
                <w:t>Amended and Restated Biologics Master Services Agreement, dated October 14, 2024, by and between the Company and WuXi Biologics (Hong Kong)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10/15/2024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20"/>
                  <w:u w:val="single"/>
                </w:rPr>
                <w:t>Amended and Restated Cell Line License Agreement, dated October 14, 2024, by and between the Company and WuXi Biologics (Hong Kong)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10/15/2024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20"/>
                  <w:u w:val="single"/>
                </w:rPr>
                <w:t>Novation Agreement, dated September 19, 2023, by and between Paragon Therapeutics, Inc., the Company and WuXi Biologics (Hong Kong)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333-276251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20"/>
                  <w:u w:val="single"/>
                </w:rPr>
                <w:t>Amendment No. 1 to Novation Agreement, dated April 25, 2024, by and between Paragon Therapeutics, Inc., the Company and WuXi Biologics (Hong Kong)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20"/>
                  <w:u w:val="single"/>
                </w:rPr>
                <w:t>Second Amended and Restated Antibody Discovery and Option agreement, dated May 14, 2024, by and between the Company, Paragon Therapeutics, Inc. and Parapyre Holding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20"/>
                  <w:u w:val="single"/>
                </w:rPr>
                <w:t>α4ß7 (SPY001) License Agreement, dated May 14, 2024, by and between the Company and Paragon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80"/>
                  <w:sz w:val="20"/>
                  <w:u w:val="single"/>
                </w:rPr>
                <w:t>TL1A (SPY002) License Agreement, dated May 14</w:t>
              </w:r>
            </w:hyperlink>
            <w:hyperlink r:id="rId52">
              <w:r>
                <w:rPr>
                  <w:rStyle w:val="InternetLink"/>
                  <w:rFonts w:ascii="Arial;sans-serif" w:hAnsi="Arial;sans-serif"/>
                  <w:b w:val="false"/>
                  <w:color w:val="000080"/>
                  <w:sz w:val="20"/>
                  <w:u w:val="single"/>
                </w:rPr>
                <w:t>,</w:t>
              </w:r>
            </w:hyperlink>
            <w:hyperlink r:id="rId53">
              <w:r>
                <w:rPr>
                  <w:rStyle w:val="InternetLink"/>
                  <w:rFonts w:ascii="Arial;sans-serif" w:hAnsi="Arial;sans-serif"/>
                  <w:b w:val="false"/>
                  <w:color w:val="000080"/>
                  <w:sz w:val="20"/>
                  <w:u w:val="single"/>
                </w:rPr>
                <w:t xml:space="preserve"> 2024, by and between the Company and Paragon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8/7/2024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sans-serif" w:hAnsi="Arial;sans-serif"/>
                  <w:b w:val="false"/>
                  <w:color w:val="0000FF"/>
                  <w:sz w:val="20"/>
                  <w:u w:val="single"/>
                </w:rPr>
                <w:t>Amended and Restated IL-23 (SPY003) License Agreement, dated February 24, 2025, by and between the Company and Paragon Therapeutics,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2/27/2025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20"/>
                  <w:u w:val="single"/>
                </w:rPr>
                <w:t>Sales Agreement, dated September 6, 2024, between Spyre Therapeutics, Inc. and TD Securities (USA)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333-285341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2/27/2025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FF"/>
                  <w:sz w:val="20"/>
                  <w:u w:val="single"/>
                </w:rPr>
                <w:t>Letter from PricewaterhouseCoopers LLP, dated March 6,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3/6/2025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20"/>
                  <w:u w:val="single"/>
                </w:rPr>
                <w:t>Spyre Therapeutics, Inc. 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2/27/2025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subsidiariesofspyret.htm">
              <w:r>
                <w:rPr>
                  <w:rStyle w:val="InternetLink"/>
                  <w:rFonts w:ascii="Arial;sans-serif" w:hAnsi="Arial;sans-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kpmgconsentfye2025.htm">
              <w:r>
                <w:rPr>
                  <w:rStyle w:val="InternetLink"/>
                  <w:rFonts w:ascii="Arial;sans-serif" w:hAnsi="Arial;sans-serif"/>
                  <w:b w:val="false"/>
                  <w:color w:val="000080"/>
                  <w:sz w:val="20"/>
                  <w:u w:val="single"/>
                </w:rPr>
                <w:t>C</w:t>
              </w:r>
            </w:hyperlink>
            <w:hyperlink w:anchor="ex231kpmgconsentfye2025.htm">
              <w:r>
                <w:rPr>
                  <w:rStyle w:val="InternetLink"/>
                  <w:rFonts w:ascii="Arial;sans-serif" w:hAnsi="Arial;sans-serif"/>
                  <w:b w:val="false"/>
                  <w:color w:val="000080"/>
                  <w:sz w:val="20"/>
                  <w:u w:val="single"/>
                </w:rPr>
                <w:t>onsent of KPMG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2pwcconsent10k.htm">
              <w:r>
                <w:rPr>
                  <w:rStyle w:val="InternetLink"/>
                  <w:rFonts w:ascii="Arial;sans-serif" w:hAnsi="Arial;sans-serif"/>
                  <w:b w:val="false"/>
                  <w:color w:val="0000FF"/>
                  <w:sz w:val="20"/>
                  <w:u w:val="single"/>
                </w:rPr>
                <w:t>Consent of PricewaterhouseCoopers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239289f41804bf78920a5c992d63e00_241">
              <w:r>
                <w:rPr>
                  <w:rStyle w:val="InternetLink"/>
                  <w:rFonts w:ascii="Arial;sans-serif" w:hAnsi="Arial;sans-serif"/>
                  <w:b w:val="false"/>
                  <w:color w:val="0000FF"/>
                  <w:sz w:val="20"/>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20251231xex311.htm">
              <w:r>
                <w:rPr>
                  <w:rStyle w:val="InternetLink"/>
                  <w:rFonts w:ascii="Arial;sans-serif" w:hAnsi="Arial;sans-serif"/>
                  <w:b w:val="false"/>
                  <w:color w:val="0000FF"/>
                  <w:sz w:val="20"/>
                  <w:u w:val="single"/>
                </w:rPr>
                <w:t>Certification of the Principal Executive Officer pursuant to Rule 13a-14(a) or 15d-14(a)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050"/>
                <wp:effectExtent l="0" t="0" r="0" b="0"/>
                <wp:wrapNone/>
                <wp:docPr id="178" name="Frame1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164</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628"/>
        <w:gridCol w:w="1233"/>
        <w:gridCol w:w="1236"/>
        <w:gridCol w:w="109"/>
        <w:gridCol w:w="109"/>
        <w:gridCol w:w="109"/>
        <w:gridCol w:w="175"/>
        <w:gridCol w:w="175"/>
        <w:gridCol w:w="176"/>
        <w:gridCol w:w="109"/>
        <w:gridCol w:w="109"/>
        <w:gridCol w:w="109"/>
        <w:gridCol w:w="251"/>
        <w:gridCol w:w="251"/>
        <w:gridCol w:w="193"/>
        <w:gridCol w:w="109"/>
        <w:gridCol w:w="109"/>
        <w:gridCol w:w="109"/>
        <w:gridCol w:w="208"/>
        <w:gridCol w:w="208"/>
        <w:gridCol w:w="210"/>
        <w:gridCol w:w="109"/>
        <w:gridCol w:w="109"/>
        <w:gridCol w:w="109"/>
        <w:gridCol w:w="220"/>
        <w:gridCol w:w="220"/>
        <w:gridCol w:w="221"/>
        <w:gridCol w:w="109"/>
        <w:gridCol w:w="109"/>
        <w:gridCol w:w="109"/>
        <w:gridCol w:w="250"/>
        <w:gridCol w:w="250"/>
        <w:gridCol w:w="362"/>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w:t>
              <w:br/>
              <w:t>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w:t>
              <w:br/>
              <w:t>Herewith</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20251231xex312.htm">
              <w:r>
                <w:rPr>
                  <w:rStyle w:val="InternetLink"/>
                  <w:rFonts w:ascii="Arial;sans-serif" w:hAnsi="Arial;sans-serif"/>
                  <w:b w:val="false"/>
                  <w:color w:val="0000FF"/>
                  <w:sz w:val="20"/>
                  <w:u w:val="single"/>
                </w:rPr>
                <w:t>Certification of the Principal Financial Officer pursuant to Rule 13a-14(a) or 15d-14(a)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bookmarkStart w:id="11" w:name="if19e9a7602864474b081ee662f6dd79b_91-0-4"/>
            <w:bookmarkEnd w:id="11"/>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pyre-20251231xex321.htm">
              <w:r>
                <w:rPr>
                  <w:rStyle w:val="InternetLink"/>
                  <w:rFonts w:ascii="Arial;sans-serif" w:hAnsi="Arial;sans-serif"/>
                  <w:b w:val="false"/>
                  <w:color w:val="0000FF"/>
                  <w:sz w:val="20"/>
                  <w:u w:val="single"/>
                </w:rPr>
                <w:t>Certification of the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20"/>
                  <w:u w:val="single"/>
                </w:rPr>
                <w:t>Spyre Therapeutics, Inc. Compensation Recoupment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001-37722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2/29/2024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The cover page of this Annual Report on Form 10-K for the year ended December 31, 2024,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68" w:before="0" w:after="0"/>
        <w:ind w:left="0" w:right="0" w:hanging="180"/>
        <w:jc w:val="left"/>
        <w:rPr/>
      </w:pPr>
      <w:r>
        <w:rPr>
          <w:color w:val="000000"/>
        </w:rPr>
        <w:t>†</w:t>
      </w:r>
      <w:r>
        <w:rPr>
          <w:rFonts w:ascii="Arial;sans-serif" w:hAnsi="Arial;sans-serif"/>
          <w:b w:val="false"/>
          <w:color w:val="000000"/>
          <w:sz w:val="20"/>
        </w:rPr>
        <w:t xml:space="preserve">Portions of this exhibit have been omitted pursuant to Item 601(b)(10)(iv) of Regulation S-K. </w:t>
      </w:r>
    </w:p>
    <w:p>
      <w:pPr>
        <w:pStyle w:val="TextBody"/>
        <w:bidi w:val="0"/>
        <w:spacing w:lineRule="auto" w:line="288" w:before="120" w:after="283"/>
        <w:ind w:left="0" w:right="0" w:hanging="180"/>
        <w:jc w:val="both"/>
        <w:rPr/>
      </w:pPr>
      <w:r>
        <w:rPr>
          <w:color w:val="000000"/>
        </w:rPr>
        <w:t>‡</w:t>
      </w:r>
      <w:r>
        <w:rPr>
          <w:rFonts w:ascii="Arial;sans-serif" w:hAnsi="Arial;sans-serif"/>
          <w:b w:val="false"/>
          <w:color w:val="000000"/>
          <w:sz w:val="20"/>
        </w:rPr>
        <w:t>Indicates management contract or compensatory plan.</w:t>
      </w:r>
    </w:p>
    <w:p>
      <w:pPr>
        <w:pStyle w:val="TextBody"/>
        <w:bidi w:val="0"/>
        <w:spacing w:lineRule="auto" w:line="288" w:before="400" w:after="283"/>
        <w:ind w:left="0" w:right="0" w:hanging="990"/>
        <w:jc w:val="both"/>
        <w:rPr/>
      </w:pPr>
      <w:r>
        <w:rPr>
          <w:rFonts w:ascii="Arial;sans-serif" w:hAnsi="Arial;sans-serif"/>
          <w:b w:val="false"/>
          <w:color w:val="000000"/>
          <w:sz w:val="13"/>
        </w:rPr>
        <w:t>(1)</w:t>
      </w:r>
      <w:r>
        <w:rPr>
          <w:rFonts w:ascii="Arial;sans-serif" w:hAnsi="Arial;sans-serif"/>
          <w:b w:val="false"/>
          <w:color w:val="000000"/>
          <w:sz w:val="20"/>
        </w:rPr>
        <w:t xml:space="preserve">The certifications on Exhibit 32 hereto are deemed not “filed” for purposes of Section 18 of the Exchange Act or otherwise subject to the liability of that Section. Such certifications will not be deemed incorporated by reference into any filing under the Securities Act or the Exchange Act, regardless of any general incorporation language contained in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ind w:left="0" w:right="0" w:firstLine="12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050"/>
                <wp:effectExtent l="0" t="0" r="0" b="0"/>
                <wp:wrapNone/>
                <wp:docPr id="179" name="Frame1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165</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1260"/>
        <w:jc w:val="both"/>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February 19, 2026</w:t>
      </w:r>
    </w:p>
    <w:tbl>
      <w:tblPr>
        <w:tblW w:w="7071" w:type="dxa"/>
        <w:jc w:val="left"/>
        <w:tblInd w:w="0" w:type="dxa"/>
        <w:tblLayout w:type="fixed"/>
        <w:tblCellMar>
          <w:top w:w="28" w:type="dxa"/>
          <w:left w:w="28" w:type="dxa"/>
          <w:bottom w:w="28" w:type="dxa"/>
          <w:right w:w="28" w:type="dxa"/>
        </w:tblCellMar>
      </w:tblPr>
      <w:tblGrid>
        <w:gridCol w:w="124"/>
        <w:gridCol w:w="109"/>
        <w:gridCol w:w="109"/>
        <w:gridCol w:w="453"/>
        <w:gridCol w:w="453"/>
        <w:gridCol w:w="453"/>
        <w:gridCol w:w="1572"/>
        <w:gridCol w:w="1572"/>
        <w:gridCol w:w="2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9" w:type="dxa"/>
            <w:gridSpan w:val="6"/>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SPYRE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050"/>
                <wp:effectExtent l="0" t="0" r="0" b="0"/>
                <wp:wrapNone/>
                <wp:docPr id="180" name="Frame1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FF"/>
          <w:sz w:val="20"/>
          <w:u w:val="single"/>
        </w:rPr>
      </w:pPr>
      <w:r>
        <w:rPr>
          <w:rFonts w:ascii="Arial;sans-serif" w:hAnsi="Arial;sans-serif"/>
          <w:b w:val="false"/>
          <w:color w:val="0000FF"/>
          <w:sz w:val="20"/>
          <w:u w:val="single"/>
        </w:rPr>
        <w:t>Table of Contents</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240" w:after="283"/>
        <w:ind w:left="0" w:right="0" w:firstLine="1260"/>
        <w:jc w:val="both"/>
        <w:rPr>
          <w:rFonts w:ascii="Arial;sans-serif" w:hAnsi="Arial;sans-serif"/>
          <w:b w:val="false"/>
          <w:color w:val="000000"/>
          <w:sz w:val="20"/>
        </w:rPr>
      </w:pPr>
      <w:r>
        <w:rPr>
          <w:rFonts w:ascii="Arial;sans-serif" w:hAnsi="Arial;sans-serif"/>
          <w:b w:val="false"/>
          <w:color w:val="000000"/>
          <w:sz w:val="20"/>
        </w:rPr>
        <w:t>KNOW ALL PERSONS BY THESE PRESENTS, that each person whose signature appears below constitutes and appoints Dr. Cameron Turtle and Mr. Scott Burrows, jointly and severally, his or her attorneys-in-fact, each with the power of substitution, for him or her in any and all capacities, to sign any amendments to this Report on Form 10-K and to file same, with exhibits thereto and other documents in connection therewith, with the Securities and Exchange Commission, hereby ratifying and confirming all that each of said attorneys-in-fact, or his substitutes, may do or cause to be done by virtue hereof.</w:t>
      </w:r>
    </w:p>
    <w:p>
      <w:pPr>
        <w:pStyle w:val="TextBody"/>
        <w:bidi w:val="0"/>
        <w:spacing w:lineRule="auto" w:line="288" w:before="240" w:after="283"/>
        <w:ind w:left="0" w:right="0" w:firstLine="126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488" w:type="dxa"/>
        <w:jc w:val="left"/>
        <w:tblInd w:w="0" w:type="dxa"/>
        <w:tblLayout w:type="fixed"/>
        <w:tblCellMar>
          <w:top w:w="28" w:type="dxa"/>
          <w:left w:w="28" w:type="dxa"/>
          <w:bottom w:w="28" w:type="dxa"/>
          <w:right w:w="28" w:type="dxa"/>
        </w:tblCellMar>
      </w:tblPr>
      <w:tblGrid>
        <w:gridCol w:w="946"/>
        <w:gridCol w:w="831"/>
        <w:gridCol w:w="833"/>
        <w:gridCol w:w="109"/>
        <w:gridCol w:w="109"/>
        <w:gridCol w:w="109"/>
        <w:gridCol w:w="1494"/>
        <w:gridCol w:w="1494"/>
        <w:gridCol w:w="1512"/>
        <w:gridCol w:w="109"/>
        <w:gridCol w:w="109"/>
        <w:gridCol w:w="109"/>
        <w:gridCol w:w="502"/>
        <w:gridCol w:w="502"/>
        <w:gridCol w:w="720"/>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Date</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Cameron Turtle, D.Phil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President and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Cameron Turtle, D.Phil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Scott Burrows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Scott Burrows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 xml:space="preserve">(Principal Financial Officer and </w:t>
            </w:r>
          </w:p>
          <w:p>
            <w:pPr>
              <w:pStyle w:val="TableContents"/>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Jeffrey W. Albers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Jeffrey W. Albers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Peter Harwin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Peter Harwin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Michael Henderson,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Michael Henderson,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Tomas Kiselak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Tomas Kiselak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Mark McKenna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Mark McKenna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Sandra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Sandra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/s/ Laurie Stelzer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73" w:before="240" w:after="283"/>
              <w:jc w:val="center"/>
              <w:rPr>
                <w:rFonts w:ascii="Arial;sans-serif" w:hAnsi="Arial;sans-serif"/>
                <w:b w:val="false"/>
                <w:color w:val="000000"/>
                <w:sz w:val="20"/>
              </w:rPr>
            </w:pPr>
            <w:r>
              <w:rPr>
                <w:rFonts w:ascii="Arial;sans-serif" w:hAnsi="Arial;sans-serif"/>
                <w:b w:val="false"/>
                <w:color w:val="000000"/>
                <w:sz w:val="20"/>
              </w:rPr>
              <w:t>February 19, 2026</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Arial;sans-serif" w:hAnsi="Arial;sans-serif"/>
                <w:b w:val="false"/>
                <w:color w:val="000000"/>
                <w:sz w:val="20"/>
              </w:rPr>
            </w:pPr>
            <w:r>
              <w:rPr>
                <w:rFonts w:ascii="Arial;sans-serif" w:hAnsi="Arial;sans-serif"/>
                <w:b w:val="false"/>
                <w:color w:val="000000"/>
                <w:sz w:val="20"/>
              </w:rPr>
              <w:t>Laurie Stelzer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050"/>
                <wp:effectExtent l="0" t="0" r="0" b="0"/>
                <wp:wrapNone/>
                <wp:docPr id="181" name="Frame1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167</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NOTICE OF RESTRICTED STOCK UNIT AWARD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SPYRE THERAPEUTICS, INC.</w:t>
        <w:br/>
        <w:t>2016 EQUITY INCENTIVE PLAN</w:t>
      </w:r>
    </w:p>
    <w:p>
      <w:pPr>
        <w:pStyle w:val="TextBody"/>
        <w:bidi w:val="0"/>
        <w:spacing w:lineRule="auto" w:line="288" w:before="0" w:after="240"/>
        <w:jc w:val="both"/>
        <w:rPr/>
      </w:pPr>
      <w:r>
        <w:rPr>
          <w:rFonts w:ascii="Times New Roman;serif" w:hAnsi="Times New Roman;serif"/>
          <w:b w:val="false"/>
          <w:color w:val="000000"/>
          <w:sz w:val="20"/>
        </w:rPr>
        <w:t>Unless otherwise defined herein, the terms defined in the Spyre Therapeutics,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2016 Equity Incentive Plan (as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shall have the same meanings in this Notice of Restricted Stock Unit Award (the “</w:t>
      </w:r>
      <w:r>
        <w:rPr>
          <w:rFonts w:ascii="Times New Roman;serif" w:hAnsi="Times New Roman;serif"/>
          <w:b/>
          <w:i/>
          <w:color w:val="000000"/>
          <w:sz w:val="20"/>
        </w:rPr>
        <w:t>Notice</w:t>
      </w:r>
      <w:r>
        <w:rPr>
          <w:color w:val="000000"/>
        </w:rPr>
        <w:t>”</w:t>
      </w:r>
      <w:r>
        <w:rPr>
          <w:rFonts w:ascii="Times New Roman;serif" w:hAnsi="Times New Roman;serif"/>
          <w:b w:val="false"/>
          <w:color w:val="000000"/>
          <w:sz w:val="20"/>
        </w:rPr>
        <w:t>) and the attached Restricted Stock Unit Agreement (the “</w:t>
      </w:r>
      <w:r>
        <w:rPr>
          <w:rFonts w:ascii="Times New Roman;serif" w:hAnsi="Times New Roman;serif"/>
          <w:b/>
          <w:i/>
          <w:color w:val="000000"/>
          <w:sz w:val="20"/>
        </w:rPr>
        <w:t>RSU Agreement</w:t>
      </w:r>
      <w:r>
        <w:rPr>
          <w:color w:val="000000"/>
        </w:rPr>
        <w:t>”</w:t>
      </w:r>
      <w:r>
        <w:rPr>
          <w:rFonts w:ascii="Times New Roman;serif" w:hAnsi="Times New Roman;serif"/>
          <w:b w:val="false"/>
          <w:color w:val="000000"/>
          <w:sz w:val="20"/>
        </w:rPr>
        <w:t>). You have been granted an award of Restricted Stock Units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under the Plan subject to the terms and conditions of the Plan, this Notice and the attached RSU Agreement. Capitalized terms used but not defined herein shall have the meanings set forth in the Plan.</w:t>
      </w:r>
    </w:p>
    <w:tbl>
      <w:tblPr>
        <w:tblW w:w="10205" w:type="dxa"/>
        <w:jc w:val="left"/>
        <w:tblInd w:w="0" w:type="dxa"/>
        <w:tblLayout w:type="fixed"/>
        <w:tblCellMar>
          <w:top w:w="28" w:type="dxa"/>
          <w:left w:w="28" w:type="dxa"/>
          <w:bottom w:w="28" w:type="dxa"/>
          <w:right w:w="28" w:type="dxa"/>
        </w:tblCellMar>
      </w:tblPr>
      <w:tblGrid>
        <w:gridCol w:w="706"/>
        <w:gridCol w:w="623"/>
        <w:gridCol w:w="568"/>
        <w:gridCol w:w="2433"/>
        <w:gridCol w:w="2433"/>
        <w:gridCol w:w="3442"/>
      </w:tblGrid>
      <w:tr>
        <w:trPr/>
        <w:tc>
          <w:tcPr>
            <w:tcW w:w="70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3442" w:type="dxa"/>
            <w:tcBorders/>
            <w:vAlign w:val="center"/>
          </w:tcPr>
          <w:p>
            <w:pPr>
              <w:pStyle w:val="TableContents"/>
              <w:bidi w:val="0"/>
              <w:spacing w:before="0" w:after="283"/>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8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Date of Grant:</w:t>
            </w:r>
          </w:p>
        </w:tc>
        <w:tc>
          <w:tcPr>
            <w:tcW w:w="8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Number of RSUs:</w:t>
            </w:r>
          </w:p>
        </w:tc>
        <w:tc>
          <w:tcPr>
            <w:tcW w:w="8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Vesting Commencement Date:</w:t>
            </w:r>
          </w:p>
        </w:tc>
        <w:tc>
          <w:tcPr>
            <w:tcW w:w="8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97"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Vesting Schedule:</w:t>
            </w:r>
          </w:p>
        </w:tc>
        <w:tc>
          <w:tcPr>
            <w:tcW w:w="8308"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Subject to the RSU Agreement, the RSUs shall vest [as to 25% of the RSUs on each anniversary of the Vesting Commencement Date], so long as you remain continuously providing Services to the Company from the Date of Grant through each vesting date.</w:t>
            </w:r>
          </w:p>
        </w:tc>
      </w:tr>
    </w:tbl>
    <w:p>
      <w:pPr>
        <w:pStyle w:val="TextBody"/>
        <w:bidi w:val="0"/>
        <w:spacing w:lineRule="auto" w:line="288" w:before="240" w:after="1800"/>
        <w:jc w:val="both"/>
        <w:rPr>
          <w:rFonts w:ascii="Times New Roman;serif" w:hAnsi="Times New Roman;serif"/>
          <w:b w:val="false"/>
          <w:color w:val="000000"/>
          <w:sz w:val="20"/>
        </w:rPr>
      </w:pPr>
      <w:r>
        <w:rPr>
          <w:rFonts w:ascii="Times New Roman;serif" w:hAnsi="Times New Roman;serif"/>
          <w:b w:val="false"/>
          <w:color w:val="000000"/>
          <w:sz w:val="20"/>
        </w:rPr>
        <w:t>You acknowledge that the vesting of the RSUs pursuant to this Notice is earned by continuing Service through the applicable vesting dates. By accepting this award, you and the Company agree that this award is granted under and governed by the terms and conditions of the Plan, this Notice and the RSU Agreement. By accepting this award of RSUs, you consent to the electronic delivery and acceptance as further set forth in the RSU Agreement.</w:t>
      </w:r>
    </w:p>
    <w:tbl>
      <w:tblPr>
        <w:tblW w:w="4623" w:type="dxa"/>
        <w:jc w:val="left"/>
        <w:tblInd w:w="0" w:type="dxa"/>
        <w:tblLayout w:type="fixed"/>
        <w:tblCellMar>
          <w:top w:w="28" w:type="dxa"/>
          <w:left w:w="28" w:type="dxa"/>
          <w:bottom w:w="28" w:type="dxa"/>
          <w:right w:w="28" w:type="dxa"/>
        </w:tblCellMar>
      </w:tblPr>
      <w:tblGrid>
        <w:gridCol w:w="390"/>
        <w:gridCol w:w="344"/>
        <w:gridCol w:w="345"/>
        <w:gridCol w:w="237"/>
        <w:gridCol w:w="237"/>
        <w:gridCol w:w="239"/>
        <w:gridCol w:w="441"/>
        <w:gridCol w:w="441"/>
        <w:gridCol w:w="441"/>
        <w:gridCol w:w="441"/>
        <w:gridCol w:w="441"/>
        <w:gridCol w:w="626"/>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79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PARTICIPANT</w:t>
            </w:r>
          </w:p>
        </w:tc>
        <w:tc>
          <w:tcPr>
            <w:tcW w:w="283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SPYRE THERAPEUTICS, INC.</w:t>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Signature:</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1508"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r>
        <w:trPr/>
        <w:tc>
          <w:tcPr>
            <w:tcW w:w="1079"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Print Name:</w:t>
            </w:r>
          </w:p>
        </w:tc>
        <w:tc>
          <w:tcPr>
            <w:tcW w:w="713"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1508"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r>
        <w:trPr/>
        <w:tc>
          <w:tcPr>
            <w:tcW w:w="1079"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713" w:type="dxa"/>
            <w:gridSpan w:val="3"/>
            <w:tcBorders/>
            <w:tcMar>
              <w:top w:w="0" w:type="dxa"/>
              <w:left w:w="0" w:type="dxa"/>
              <w:bottom w:w="0" w:type="dxa"/>
              <w:right w:w="0" w:type="dxa"/>
            </w:tcMar>
            <w:vAlign w:val="center"/>
          </w:tcPr>
          <w:p>
            <w:pPr>
              <w:pStyle w:val="TableContents"/>
              <w:bidi w:val="0"/>
              <w:spacing w:before="0" w:after="120"/>
              <w:jc w:val="both"/>
              <w:rPr/>
            </w:pPr>
            <w:r>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Its:</w:t>
            </w:r>
          </w:p>
        </w:tc>
        <w:tc>
          <w:tcPr>
            <w:tcW w:w="1508" w:type="dxa"/>
            <w:gridSpan w:val="3"/>
            <w:tcBorders/>
            <w:tcMar>
              <w:top w:w="0" w:type="dxa"/>
              <w:left w:w="0" w:type="dxa"/>
              <w:bottom w:w="0" w:type="dxa"/>
              <w:right w:w="0" w:type="dxa"/>
            </w:tcMar>
            <w:vAlign w:val="center"/>
          </w:tcPr>
          <w:p>
            <w:pPr>
              <w:pStyle w:val="TableContents"/>
              <w:bidi w:val="0"/>
              <w:spacing w:lineRule="auto" w:line="288" w:before="0" w:after="120"/>
              <w:jc w:val="both"/>
              <w:rPr>
                <w:color w:val="000000"/>
                <w:u w:val="single"/>
              </w:rPr>
            </w:pPr>
            <w:r>
              <w:rPr>
                <w:color w:val="000000"/>
                <w:u w:val="single"/>
              </w:rPr>
              <w:t>    </w:t>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SPYRE THERAPEUTICS, INC.</w:t>
        <w:br/>
        <w:t>2016 EQUITY INCENTIVE PLAN</w:t>
      </w:r>
    </w:p>
    <w:p>
      <w:pPr>
        <w:pStyle w:val="TextBody"/>
        <w:bidi w:val="0"/>
        <w:spacing w:lineRule="auto" w:line="288" w:before="0" w:after="240"/>
        <w:jc w:val="both"/>
        <w:rPr/>
      </w:pPr>
      <w:r>
        <w:rPr>
          <w:rFonts w:ascii="Times New Roman;serif" w:hAnsi="Times New Roman;serif"/>
          <w:b w:val="false"/>
          <w:color w:val="000000"/>
          <w:sz w:val="20"/>
        </w:rPr>
        <w:t>You have been granted Restricted Stock Units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by Spyre Therapeutics,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subject to the terms, restrictions and conditions of the Spyre Therapeutics, Inc. 2016 Equity Incentive Plan (as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the Notice of Restricted Stock Unit Award (the “</w:t>
      </w:r>
      <w:r>
        <w:rPr>
          <w:rFonts w:ascii="Times New Roman;serif" w:hAnsi="Times New Roman;serif"/>
          <w:b/>
          <w:i/>
          <w:color w:val="000000"/>
          <w:sz w:val="20"/>
        </w:rPr>
        <w:t>Notice</w:t>
      </w:r>
      <w:r>
        <w:rPr>
          <w:color w:val="000000"/>
        </w:rPr>
        <w:t>”</w:t>
      </w:r>
      <w:r>
        <w:rPr>
          <w:rFonts w:ascii="Times New Roman;serif" w:hAnsi="Times New Roman;serif"/>
          <w:b w:val="false"/>
          <w:color w:val="000000"/>
          <w:sz w:val="20"/>
        </w:rPr>
        <w:t>) and this Restricted Stock Unit Agreement (this “</w:t>
      </w:r>
      <w:r>
        <w:rPr>
          <w:rFonts w:ascii="Times New Roman;serif" w:hAnsi="Times New Roman;serif"/>
          <w:b/>
          <w:i/>
          <w:color w:val="000000"/>
          <w:sz w:val="20"/>
        </w:rPr>
        <w:t>RSU Agreement</w:t>
      </w:r>
      <w:r>
        <w:rPr>
          <w:color w:val="000000"/>
        </w:rPr>
        <w:t>”</w:t>
      </w:r>
      <w:r>
        <w:rPr>
          <w:rFonts w:ascii="Times New Roman;serif" w:hAnsi="Times New Roman;serif"/>
          <w:b w:val="false"/>
          <w:color w:val="000000"/>
          <w:sz w:val="20"/>
        </w:rPr>
        <w:t>). Capitalized terms used but not defined herein shall have the meanings set forth in the Plan.</w:t>
      </w:r>
    </w:p>
    <w:p>
      <w:pPr>
        <w:pStyle w:val="TextBody"/>
        <w:bidi w:val="0"/>
        <w:spacing w:lineRule="auto" w:line="288" w:before="0" w:after="240"/>
        <w:jc w:val="both"/>
        <w:rPr/>
      </w:pPr>
      <w:r>
        <w:rPr>
          <w:rFonts w:ascii="Times New Roman;serif" w:hAnsi="Times New Roman;serif"/>
          <w:b/>
          <w:color w:val="000000"/>
          <w:sz w:val="20"/>
        </w:rPr>
        <w:t>1.    </w:t>
      </w:r>
      <w:r>
        <w:rPr>
          <w:rFonts w:ascii="Times New Roman;serif" w:hAnsi="Times New Roman;serif"/>
          <w:b/>
          <w:color w:val="000000"/>
          <w:sz w:val="20"/>
          <w:u w:val="single"/>
        </w:rPr>
        <w:t>Grant of RSUs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You have been granted the number of RSUs set forth in the Notice. Each RSU represents the right to receive one Share. In the event of a conflict between the terms and conditions of the Plan and the terms and conditions of this RSU Agreement, the terms and conditions of the Plan shall prevail.</w:t>
      </w:r>
    </w:p>
    <w:p>
      <w:pPr>
        <w:pStyle w:val="TextBody"/>
        <w:bidi w:val="0"/>
        <w:spacing w:lineRule="auto" w:line="288" w:before="0" w:after="240"/>
        <w:jc w:val="both"/>
        <w:rPr/>
      </w:pPr>
      <w:r>
        <w:rPr>
          <w:rFonts w:ascii="Times New Roman;serif" w:hAnsi="Times New Roman;serif"/>
          <w:b/>
          <w:color w:val="000000"/>
          <w:sz w:val="20"/>
        </w:rPr>
        <w:t>2.    </w:t>
      </w:r>
      <w:r>
        <w:rPr>
          <w:rFonts w:ascii="Times New Roman;serif" w:hAnsi="Times New Roman;serif"/>
          <w:b/>
          <w:color w:val="000000"/>
          <w:sz w:val="20"/>
          <w:u w:val="single"/>
        </w:rPr>
        <w:t>Vesting and Settlement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RSUs shall not be vested as of the Date of Grant set forth in the Notice and shall be forfeitable unless and until otherwise vested pursuant to the terms of the Notice and this RSU Agreement. After the Date of Grant, subject to termination or acceleration as provided in this RSU Agreement and the Plan, the RSUs shall become vested as described in the Notice. As soon as administratively practicable following the vesting of the RSUs pursuant to the Notice, but in no event later than 60 days after each vesting date, the Company shall deliver to you a number of Shares equal to the number of RSUs that vested on such date.</w:t>
      </w:r>
    </w:p>
    <w:p>
      <w:pPr>
        <w:pStyle w:val="TextBody"/>
        <w:bidi w:val="0"/>
        <w:spacing w:lineRule="auto" w:line="288" w:before="0" w:after="240"/>
        <w:jc w:val="both"/>
        <w:rPr/>
      </w:pPr>
      <w:r>
        <w:rPr>
          <w:rFonts w:ascii="Times New Roman;serif" w:hAnsi="Times New Roman;serif"/>
          <w:b/>
          <w:color w:val="000000"/>
          <w:sz w:val="20"/>
        </w:rPr>
        <w:t>3.    </w:t>
      </w:r>
      <w:r>
        <w:rPr>
          <w:rFonts w:ascii="Times New Roman;serif" w:hAnsi="Times New Roman;serif"/>
          <w:b/>
          <w:color w:val="000000"/>
          <w:sz w:val="20"/>
          <w:u w:val="single"/>
        </w:rPr>
        <w:t>No Stockholder Rights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Except as provided in </w:t>
      </w:r>
      <w:r>
        <w:rPr>
          <w:rFonts w:ascii="Times New Roman;serif" w:hAnsi="Times New Roman;serif"/>
          <w:b w:val="false"/>
          <w:color w:val="000000"/>
          <w:sz w:val="20"/>
          <w:u w:val="single"/>
        </w:rPr>
        <w:t>Section 4</w:t>
      </w:r>
      <w:r>
        <w:rPr>
          <w:rFonts w:ascii="Times New Roman;serif" w:hAnsi="Times New Roman;serif"/>
          <w:b w:val="false"/>
          <w:color w:val="000000"/>
          <w:sz w:val="20"/>
        </w:rPr>
        <w:t>, unless and until such time as Shares are issued in settlement of vested RSUs, you shall have no ownership of the Shares allocated to the RSUs and shall have no right to dividends or to vote such Shares.</w:t>
      </w:r>
    </w:p>
    <w:p>
      <w:pPr>
        <w:pStyle w:val="TextBody"/>
        <w:bidi w:val="0"/>
        <w:spacing w:lineRule="auto" w:line="288" w:before="0" w:after="240"/>
        <w:jc w:val="both"/>
        <w:rPr/>
      </w:pPr>
      <w:r>
        <w:rPr>
          <w:rFonts w:ascii="Times New Roman;serif" w:hAnsi="Times New Roman;serif"/>
          <w:b/>
          <w:color w:val="000000"/>
          <w:sz w:val="20"/>
        </w:rPr>
        <w:t>4.    </w:t>
      </w:r>
      <w:r>
        <w:rPr>
          <w:rFonts w:ascii="Times New Roman;serif" w:hAnsi="Times New Roman;serif"/>
          <w:b/>
          <w:color w:val="000000"/>
          <w:sz w:val="20"/>
          <w:u w:val="single"/>
        </w:rPr>
        <w:t>Dividend Equivalents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From and after the Date of Grant and until the earlier of (a) your receipt of Common Stock upon settlement of RSUs and (b) the forfeiture of the RSUs, on the date that the Company pays a cash dividend (if any) to holders of Common Stock generally, you will be entitled, as a Dividend Equivalent Right, to a number of additional whole RSUs determined by dividing (i) the product of (A) the dollar amount of the cash dividend paid per Share on such date and (B) the total number of RSUs (including Dividend Equivalent Rights paid thereon) previously credited to you as of such date, by (ii) the Fair Market Value per Share on such date. Such Dividend Equivalent Rights (if any) shall be subject to the same terms and conditions and shall be settled or forfeited in the same manner and at the same time as the RSUs to which the Dividend Equivalent Rights were credited.</w:t>
      </w:r>
    </w:p>
    <w:p>
      <w:pPr>
        <w:pStyle w:val="TextBody"/>
        <w:bidi w:val="0"/>
        <w:spacing w:lineRule="auto" w:line="288" w:before="0" w:after="240"/>
        <w:jc w:val="both"/>
        <w:rPr/>
      </w:pPr>
      <w:r>
        <w:rPr>
          <w:rFonts w:ascii="Times New Roman;serif" w:hAnsi="Times New Roman;serif"/>
          <w:b/>
          <w:color w:val="000000"/>
          <w:sz w:val="20"/>
        </w:rPr>
        <w:t>5.    </w:t>
      </w:r>
      <w:r>
        <w:rPr>
          <w:rFonts w:ascii="Times New Roman;serif" w:hAnsi="Times New Roman;serif"/>
          <w:b/>
          <w:color w:val="000000"/>
          <w:sz w:val="20"/>
          <w:u w:val="single"/>
        </w:rPr>
        <w:t>No Transfer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RSUs may not be sold, assigned, transferred, pledged, hypothecated, or otherwise disposed of in any manner other than by will or by the laws of descent or distribution or court order or unless otherwise permitted by the Committee on a case-by-case basis.</w:t>
      </w:r>
    </w:p>
    <w:p>
      <w:pPr>
        <w:pStyle w:val="TextBody"/>
        <w:bidi w:val="0"/>
        <w:spacing w:lineRule="auto" w:line="288" w:before="0" w:after="240"/>
        <w:jc w:val="both"/>
        <w:rPr/>
      </w:pPr>
      <w:r>
        <w:rPr>
          <w:rFonts w:ascii="Times New Roman;serif" w:hAnsi="Times New Roman;serif"/>
          <w:b/>
          <w:color w:val="000000"/>
          <w:sz w:val="20"/>
        </w:rPr>
        <w:t>6.    </w:t>
      </w:r>
      <w:r>
        <w:rPr>
          <w:rFonts w:ascii="Times New Roman;serif" w:hAnsi="Times New Roman;serif"/>
          <w:b/>
          <w:color w:val="000000"/>
          <w:sz w:val="20"/>
          <w:u w:val="single"/>
        </w:rPr>
        <w:t>Termination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Except as specifically provided in your offer letter or employment agreement with the Company, if your Service terminates for any reason, all unvested RSUs shall be immediately forfeited to the Company, and all rights you have to such RSUs shall immediately terminate, without payment of any consideration to you. In case of any dispute as to whether your termination of Service has occurred, the Committee shall have sole discretion to determine whether such termination has occurred and the effective date of such termination.</w:t>
      </w:r>
    </w:p>
    <w:p>
      <w:pPr>
        <w:pStyle w:val="TextBody"/>
        <w:bidi w:val="0"/>
        <w:spacing w:lineRule="auto" w:line="288" w:before="0" w:after="240"/>
        <w:jc w:val="both"/>
        <w:rPr/>
      </w:pPr>
      <w:r>
        <w:rPr>
          <w:rFonts w:ascii="Times New Roman;serif" w:hAnsi="Times New Roman;serif"/>
          <w:b/>
          <w:color w:val="000000"/>
          <w:sz w:val="20"/>
        </w:rPr>
        <w:t>7.    </w:t>
      </w:r>
      <w:r>
        <w:rPr>
          <w:rFonts w:ascii="Times New Roman;serif" w:hAnsi="Times New Roman;serif"/>
          <w:b/>
          <w:color w:val="000000"/>
          <w:sz w:val="20"/>
          <w:u w:val="single"/>
        </w:rPr>
        <w:t>Tax Consequences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You acknowledge that there will be certain consequences with regard to income tax, employment tax, payroll tax, fringe benefits tax, payment on account or other tax-related items (“</w:t>
      </w:r>
      <w:r>
        <w:rPr>
          <w:rFonts w:ascii="Times New Roman;serif" w:hAnsi="Times New Roman;serif"/>
          <w:b/>
          <w:i/>
          <w:color w:val="000000"/>
          <w:sz w:val="20"/>
        </w:rPr>
        <w:t>Tax- Related Items</w:t>
      </w:r>
      <w:r>
        <w:rPr>
          <w:color w:val="000000"/>
        </w:rPr>
        <w:t>”</w:t>
      </w:r>
      <w:r>
        <w:rPr>
          <w:rFonts w:ascii="Times New Roman;serif" w:hAnsi="Times New Roman;serif"/>
          <w:b w:val="false"/>
          <w:color w:val="000000"/>
          <w:sz w:val="20"/>
        </w:rPr>
        <w:t>) upon settlement of the RSUs or disposition of the Shares, if any, received in connection therewith, and you should consult a tax adviser regarding your tax obligations prior to such settlement or disposition in the jurisdiction where you are subject to tax.</w:t>
      </w:r>
    </w:p>
    <w:p>
      <w:pPr>
        <w:pStyle w:val="TextBody"/>
        <w:bidi w:val="0"/>
        <w:spacing w:lineRule="auto" w:line="288" w:before="0" w:after="240"/>
        <w:jc w:val="both"/>
        <w:rPr/>
      </w:pPr>
      <w:r>
        <w:rPr>
          <w:rFonts w:ascii="Times New Roman;serif" w:hAnsi="Times New Roman;serif"/>
          <w:b/>
          <w:color w:val="000000"/>
          <w:sz w:val="20"/>
        </w:rPr>
        <w:t>8.    </w:t>
      </w:r>
      <w:r>
        <w:rPr>
          <w:rFonts w:ascii="Times New Roman;serif" w:hAnsi="Times New Roman;serif"/>
          <w:b/>
          <w:color w:val="000000"/>
          <w:sz w:val="20"/>
          <w:u w:val="single"/>
        </w:rPr>
        <w:t>Responsibility for Taxes</w:t>
      </w:r>
      <w:r>
        <w:rPr>
          <w:rFonts w:ascii="Times New Roman;serif" w:hAnsi="Times New Roman;serif"/>
          <w:b/>
          <w:color w:val="000000"/>
          <w:sz w:val="20"/>
        </w:rPr>
        <w:t>.</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0"/>
        </w:rPr>
        <w:t>(a)    Regardless of any action the Company or, if different, your actual employer (the “</w:t>
      </w:r>
      <w:r>
        <w:rPr>
          <w:rFonts w:ascii="Times New Roman;serif" w:hAnsi="Times New Roman;serif"/>
          <w:b/>
          <w:i/>
          <w:color w:val="000000"/>
          <w:sz w:val="20"/>
        </w:rPr>
        <w:t>Employer</w:t>
      </w:r>
      <w:r>
        <w:rPr>
          <w:color w:val="000000"/>
        </w:rPr>
        <w:t>”</w:t>
      </w:r>
      <w:r>
        <w:rPr>
          <w:rFonts w:ascii="Times New Roman;serif" w:hAnsi="Times New Roman;serif"/>
          <w:b w:val="false"/>
          <w:color w:val="000000"/>
          <w:sz w:val="20"/>
        </w:rPr>
        <w:t xml:space="preserve">) takes with respect to any or all Tax-Related Items withholding or required deductions, you acknowledge that the ultimate liability for all Tax-Related Items legally due by you is and remains your responsibility and that the </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 and/or the Employer (i) make no representations or undertakings regarding the treatment of any Tax- Related Items in connection with any aspect of the award, including the grant, vesting or settlement of the RSUs, the subsequent sale of Shares acquired pursuant to such settlement and the receipt of any dividends; and (ii) do not commit to structure the terms of the award or any aspect of the RSUs to reduce or eliminate your liability for Tax-Related Items or achieve any particular tax result. You acknowledge that if you are subject to Tax-Related Items in more than one jurisdiction, the Company and/or the Employer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Prior to the settlement of your RSUs, you shall pay or make adequate arrangements satisfactory to the Company and/or the Employer to satisfy all Tax-Related Items withholding and payment on account obligations of the Company and/or the Employer. In this regard, you authorize the Company and/or the Employer, and their respective agents, at their discretion, to withhold all applicable Tax-Related Items legally payable by you from your wages or other cash compensation paid to you by the Company and/or the Employer. The Company may permit any of the following as a method of withholding prior to the applicable taxable or withholding event (i) withholding Shares that otherwise would be issued to you when your RSUs are settled, (ii) having the Company withhold taxes from the proceeds of the sale of the Shares, either through a voluntary sale or through a mandatory sale arranged by the Company (on your behalf pursuant to this authorization), (iii) payment by you of an amount equal to the Tax-Related Items directly by cash, check, wire transfer, bank draft or money order payable to the Company, or (iv) any other arrangement approved by the Company; all under such rules as may be established by the Committee and in compliance with the Company’s Insider Trading Policy and 10b5-1 Trading Plan Policy (or any successor policies), if applicable. 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You shall pay to the Company or the Employer any amount of Tax-Related Items that the Company or the Employer may be required to withhold as a result of your participation in the Plan or the vesting and settlement of the RSUs that cannot be satisfied by the means previously described. Finally, you acknowledge that the Company has no obligation to deliver Shares to you until you have satisfied the obligations in connection with the Tax-Related Items as described in this Section.</w:t>
      </w:r>
    </w:p>
    <w:p>
      <w:pPr>
        <w:pStyle w:val="TextBody"/>
        <w:bidi w:val="0"/>
        <w:spacing w:lineRule="auto" w:line="288" w:before="0" w:after="240"/>
        <w:jc w:val="both"/>
        <w:rPr/>
      </w:pPr>
      <w:r>
        <w:rPr>
          <w:rFonts w:ascii="Times New Roman;serif" w:hAnsi="Times New Roman;serif"/>
          <w:b/>
          <w:color w:val="000000"/>
          <w:sz w:val="20"/>
        </w:rPr>
        <w:t>9.    </w:t>
      </w:r>
      <w:r>
        <w:rPr>
          <w:rFonts w:ascii="Times New Roman;serif" w:hAnsi="Times New Roman;serif"/>
          <w:b/>
          <w:color w:val="000000"/>
          <w:sz w:val="20"/>
          <w:u w:val="single"/>
        </w:rPr>
        <w:t>Acknowledgement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Company and you agree that the RSUs are granted under and governed by the Notice, this RSU Agreement and the provisions of the Plan. You: (i) acknowledge receipt of a copy of the Plan prospectus, (ii) represent that you have carefully read and are familiar with the provisions in the grant documents, and (iii) hereby accept the RSUs subject to all of the terms and conditions set forth in this RSU Agreement and those set forth in the Notice. You hereby agree to accept as binding, conclusive and final all decisions or interpretations of the Committee upon any questions relating to the Plan, the Notice and this RSU Agreement.</w:t>
      </w:r>
    </w:p>
    <w:p>
      <w:pPr>
        <w:pStyle w:val="TextBody"/>
        <w:bidi w:val="0"/>
        <w:spacing w:lineRule="auto" w:line="288" w:before="0" w:after="240"/>
        <w:jc w:val="both"/>
        <w:rPr/>
      </w:pPr>
      <w:r>
        <w:rPr>
          <w:rFonts w:ascii="Times New Roman;serif" w:hAnsi="Times New Roman;serif"/>
          <w:b/>
          <w:color w:val="000000"/>
          <w:sz w:val="20"/>
        </w:rPr>
        <w:t>10.    </w:t>
      </w:r>
      <w:r>
        <w:rPr>
          <w:rFonts w:ascii="Times New Roman;serif" w:hAnsi="Times New Roman;serif"/>
          <w:b/>
          <w:color w:val="000000"/>
          <w:sz w:val="20"/>
          <w:u w:val="single"/>
        </w:rPr>
        <w:t>Entire Agreement; Enforcement of Rights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RSU Agreement, the Plan and the Notice constitute the entire agreement and understanding of the parties relating to the subject matter herein and supersede all prior discussions between them; provided, however, that any acceleration terms set forth in your offer letter or employment agreement, if applicable, shall apply to the RSUs.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pStyle w:val="TextBody"/>
        <w:bidi w:val="0"/>
        <w:spacing w:lineRule="auto" w:line="288" w:before="0" w:after="240"/>
        <w:jc w:val="both"/>
        <w:rPr/>
      </w:pPr>
      <w:r>
        <w:rPr>
          <w:rFonts w:ascii="Times New Roman;serif" w:hAnsi="Times New Roman;serif"/>
          <w:b/>
          <w:color w:val="000000"/>
          <w:sz w:val="20"/>
        </w:rPr>
        <w:t>11.    </w:t>
      </w:r>
      <w:r>
        <w:rPr>
          <w:rFonts w:ascii="Times New Roman;serif" w:hAnsi="Times New Roman;serif"/>
          <w:b/>
          <w:color w:val="000000"/>
          <w:sz w:val="20"/>
          <w:u w:val="single"/>
        </w:rPr>
        <w:t>Compliance with Laws and Regulations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issuance of Shares will be subject to and conditioned upon compliance by the Company and you with all applicable state, federal and foreign laws and regulations and with all applicable requirements of any stock exchange or automated quotation system on which the Company’s Common Stock may be listed or quoted at the time of such issuance or transfer, which compliance the Company shall, in its absolute discretion, deem necessary or advisable. You understand that the Company is under no obligation to register or qualify the Common Stock with any state, federal or foreign securities commission or to seek approval or clearance from any governmental authority for the issuance or sale of the Shares. Further, you agree that the Company shall have unilateral authority to amend the Plan and this RSU Agreement without your consent to the extent necessary to comply with securities or other laws applicable to issuance of Shares. Finally, the Shares issued pursuant to this RSU Agreement shall be endorsed with appropriate legends, if any, determined by the Company.</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12.    </w:t>
      </w:r>
      <w:r>
        <w:rPr>
          <w:rFonts w:ascii="Times New Roman;serif" w:hAnsi="Times New Roman;serif"/>
          <w:b/>
          <w:color w:val="000000"/>
          <w:sz w:val="20"/>
          <w:u w:val="single"/>
        </w:rPr>
        <w:t>No Advice Regarding Grant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pStyle w:val="TextBody"/>
        <w:bidi w:val="0"/>
        <w:spacing w:lineRule="auto" w:line="288" w:before="0" w:after="240"/>
        <w:jc w:val="both"/>
        <w:rPr/>
      </w:pPr>
      <w:r>
        <w:rPr>
          <w:rFonts w:ascii="Times New Roman;serif" w:hAnsi="Times New Roman;serif"/>
          <w:b/>
          <w:color w:val="000000"/>
          <w:sz w:val="20"/>
        </w:rPr>
        <w:t>13.    </w:t>
      </w:r>
      <w:r>
        <w:rPr>
          <w:rFonts w:ascii="Times New Roman;serif" w:hAnsi="Times New Roman;serif"/>
          <w:b/>
          <w:color w:val="000000"/>
          <w:sz w:val="20"/>
          <w:u w:val="single"/>
        </w:rPr>
        <w:t>Governing Law; Severability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If one or more provisions of this RSU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RSU Agreement, (ii) the balance of this RSU Agreement shall be interpreted as if such provision were so excluded and (iii) the balance of this RSU Agreement shall be enforceable in accordance with its terms. This RSU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Texas and agree that any such litigation shall be conducted only in the courts of Texas or the federal courts of the United States for Texas and no other courts.</w:t>
      </w:r>
    </w:p>
    <w:p>
      <w:pPr>
        <w:pStyle w:val="TextBody"/>
        <w:bidi w:val="0"/>
        <w:spacing w:lineRule="auto" w:line="288" w:before="0" w:after="240"/>
        <w:jc w:val="both"/>
        <w:rPr/>
      </w:pPr>
      <w:r>
        <w:rPr>
          <w:rFonts w:ascii="Times New Roman;serif" w:hAnsi="Times New Roman;serif"/>
          <w:b/>
          <w:color w:val="000000"/>
          <w:sz w:val="20"/>
        </w:rPr>
        <w:t>14.    </w:t>
      </w:r>
      <w:r>
        <w:rPr>
          <w:rFonts w:ascii="Times New Roman;serif" w:hAnsi="Times New Roman;serif"/>
          <w:b/>
          <w:color w:val="000000"/>
          <w:sz w:val="20"/>
          <w:u w:val="single"/>
        </w:rPr>
        <w:t>No Rights as Employee, Director or Consultant</w:t>
      </w:r>
      <w:r>
        <w:rPr>
          <w:rFonts w:ascii="Times New Roman;serif" w:hAnsi="Times New Roman;serif"/>
          <w:b w:val="false"/>
          <w:color w:val="000000"/>
          <w:sz w:val="20"/>
        </w:rPr>
        <w:t>. Nothing in this RSU Agreement shall affect in any manner whatsoever the right or power of the Company, or an Affiliate, to terminate your Service, for any reason, with or without Cause.</w:t>
      </w:r>
    </w:p>
    <w:p>
      <w:pPr>
        <w:pStyle w:val="TextBody"/>
        <w:bidi w:val="0"/>
        <w:spacing w:lineRule="auto" w:line="288" w:before="0" w:after="240"/>
        <w:jc w:val="both"/>
        <w:rPr/>
      </w:pPr>
      <w:r>
        <w:rPr>
          <w:rFonts w:ascii="Times New Roman;serif" w:hAnsi="Times New Roman;serif"/>
          <w:b/>
          <w:color w:val="000000"/>
          <w:sz w:val="20"/>
        </w:rPr>
        <w:t>15.    </w:t>
      </w:r>
      <w:r>
        <w:rPr>
          <w:rFonts w:ascii="Times New Roman;serif" w:hAnsi="Times New Roman;serif"/>
          <w:b/>
          <w:color w:val="000000"/>
          <w:sz w:val="20"/>
          <w:u w:val="single"/>
        </w:rPr>
        <w:t>Consent to Electronic Delivery of All Plan Documents and Disclosures</w:t>
      </w:r>
      <w:r>
        <w:rPr>
          <w:rFonts w:ascii="Times New Roman;serif" w:hAnsi="Times New Roman;serif"/>
          <w:b w:val="false"/>
          <w:color w:val="000000"/>
          <w:sz w:val="20"/>
        </w:rPr>
        <w:t>. By your acceptance of this award of RSUs, you consent to the electronic delivery of the Notice, this RSU Agreement, the Plan, account statements, Plan prospectuses required by the SEC, U.S. financial reports of the Company, and all other documents that the Company is required to deliver to its stockholders (including, without limitation, annual reports and proxy statements) or other communications or information related to the RSUs.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stockadmin@spyre.com.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You agree to participate in the Plan through an on-line or electronic system established and maintained by the Company or a third party designated by the Company.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stockadmin@spyre.com. Finally, you understand that you are not required to consent to electronic delivery.</w:t>
      </w:r>
    </w:p>
    <w:p>
      <w:pPr>
        <w:pStyle w:val="TextBody"/>
        <w:bidi w:val="0"/>
        <w:spacing w:lineRule="auto" w:line="288" w:before="0" w:after="240"/>
        <w:jc w:val="both"/>
        <w:rPr/>
      </w:pPr>
      <w:r>
        <w:rPr>
          <w:rFonts w:ascii="Times New Roman;serif" w:hAnsi="Times New Roman;serif"/>
          <w:b/>
          <w:color w:val="000000"/>
          <w:sz w:val="20"/>
        </w:rPr>
        <w:t>16.    </w:t>
      </w:r>
      <w:r>
        <w:rPr>
          <w:rFonts w:ascii="Times New Roman;serif" w:hAnsi="Times New Roman;serif"/>
          <w:b/>
          <w:color w:val="000000"/>
          <w:sz w:val="20"/>
          <w:u w:val="single"/>
        </w:rPr>
        <w:t>Insider Trading Restrictions/Market Abuse Laws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You acknowledge that, depending on your country, you may be subject to insider trading restrictions and/or market abuse laws, which may affect your ability to acquire or sell the Shares or rights to Shares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acknowledge that it is your responsibility to comply with any applicable restrictions, and you are advised to speak to your personal advisor on this matter.</w:t>
      </w:r>
    </w:p>
    <w:p>
      <w:pPr>
        <w:pStyle w:val="TextBody"/>
        <w:bidi w:val="0"/>
        <w:spacing w:lineRule="auto" w:line="288" w:before="0" w:after="240"/>
        <w:jc w:val="both"/>
        <w:rPr/>
      </w:pPr>
      <w:r>
        <w:rPr>
          <w:rFonts w:ascii="Times New Roman;serif" w:hAnsi="Times New Roman;serif"/>
          <w:b/>
          <w:color w:val="000000"/>
          <w:sz w:val="20"/>
        </w:rPr>
        <w:t>17.    </w:t>
      </w:r>
      <w:r>
        <w:rPr>
          <w:rFonts w:ascii="Times New Roman;serif" w:hAnsi="Times New Roman;serif"/>
          <w:b/>
          <w:color w:val="000000"/>
          <w:sz w:val="20"/>
          <w:u w:val="single"/>
        </w:rPr>
        <w:t>Language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If you have received this RSU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jc w:val="both"/>
        <w:rPr/>
      </w:pPr>
      <w:r>
        <w:rPr>
          <w:rFonts w:ascii="Times New Roman;serif" w:hAnsi="Times New Roman;serif"/>
          <w:b/>
          <w:color w:val="000000"/>
          <w:sz w:val="20"/>
        </w:rPr>
        <w:t>18.    </w:t>
      </w:r>
      <w:r>
        <w:rPr>
          <w:rFonts w:ascii="Times New Roman;serif" w:hAnsi="Times New Roman;serif"/>
          <w:b/>
          <w:color w:val="000000"/>
          <w:sz w:val="20"/>
          <w:u w:val="single"/>
        </w:rPr>
        <w:t>Imposition of Other Requirements</w:t>
      </w:r>
      <w:r>
        <w:rPr>
          <w:rFonts w:ascii="Times New Roman;serif" w:hAnsi="Times New Roman;serif"/>
          <w:b w:val="false"/>
          <w:color w:val="000000"/>
          <w:sz w:val="20"/>
        </w:rPr>
        <w:t>. The Company reserves the right to impose other requirements on your participation in the Plan, on the RSUs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0"/>
        </w:rPr>
        <w:t>19.    </w:t>
      </w:r>
      <w:r>
        <w:rPr>
          <w:rFonts w:ascii="Times New Roman;serif" w:hAnsi="Times New Roman;serif"/>
          <w:b/>
          <w:color w:val="000000"/>
          <w:sz w:val="20"/>
          <w:u w:val="single"/>
        </w:rPr>
        <w:t>Code Section 409A</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For purposes of this RSU Agreement, a termination of employment will be determined consistent with the rules relating to a “separation from service” as defined in Section 409A of the Internal Revenue Code and the regulations thereunder (“</w:t>
      </w:r>
      <w:r>
        <w:rPr>
          <w:rFonts w:ascii="Times New Roman;serif" w:hAnsi="Times New Roman;serif"/>
          <w:b/>
          <w:i/>
          <w:color w:val="000000"/>
          <w:sz w:val="20"/>
        </w:rPr>
        <w:t>Section 409A</w:t>
      </w:r>
      <w:r>
        <w:rPr>
          <w:color w:val="000000"/>
        </w:rPr>
        <w:t>”</w:t>
      </w:r>
      <w:r>
        <w:rPr>
          <w:rFonts w:ascii="Times New Roman;serif" w:hAnsi="Times New Roman;serif"/>
          <w:b w:val="false"/>
          <w:color w:val="000000"/>
          <w:sz w:val="20"/>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(i) the expiration of the six-month period measured from your separation from service from the Company or (ii)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pStyle w:val="TextBody"/>
        <w:bidi w:val="0"/>
        <w:spacing w:lineRule="auto" w:line="288" w:before="0" w:after="240"/>
        <w:jc w:val="both"/>
        <w:rPr/>
      </w:pPr>
      <w:r>
        <w:rPr>
          <w:rFonts w:ascii="Times New Roman;serif" w:hAnsi="Times New Roman;serif"/>
          <w:b/>
          <w:color w:val="000000"/>
          <w:sz w:val="20"/>
        </w:rPr>
        <w:t>20.    </w:t>
      </w:r>
      <w:r>
        <w:rPr>
          <w:rFonts w:ascii="Times New Roman;serif" w:hAnsi="Times New Roman;serif"/>
          <w:b/>
          <w:color w:val="000000"/>
          <w:sz w:val="20"/>
          <w:u w:val="single"/>
        </w:rPr>
        <w:t>Award Subject to Company Clawback or Recoupment</w:t>
      </w:r>
      <w:r>
        <w:rPr>
          <w:rFonts w:ascii="Times New Roman;serif" w:hAnsi="Times New Roman;serif"/>
          <w:b w:val="false"/>
          <w:color w:val="000000"/>
          <w:sz w:val="20"/>
        </w:rPr>
        <w:t>. The RSUs shall be subject to clawback or recoupment pursuant to any compensation clawback or recoupment policy adopted by the Board or required by law that is applicable to you, and in addition to any other remedies available under such policy and applicable law, the Company may require the cancellation of your RSUs (whether vested or unvested) and the recoupment of any gains realized with respect to your RSUs.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ACCEPTING THIS AWARD OF RSUS, YOU AGREE TO ALL OF THE TERMS AND CONDITIONS DESCRIBED ABOVE AND IN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21.1</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Subsidiaries of Spyre Therapeutics, Inc.</w:t>
      </w:r>
    </w:p>
    <w:tbl>
      <w:tblPr>
        <w:tblW w:w="1390"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09"/>
        <w:gridCol w:w="109"/>
        <w:gridCol w:w="154"/>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the registration statements (Nos. 333-282252 and 333-285341) on Form S-3 and (Nos. 333-210633, 333-216903, 333-223614, 333-230137, 333-236584, 333-254430, 333-263357, 333-270208, 333-276256, 333-277542, 333-283065, 333-285332 and 333-289255) on Form S-8 of our report dated February 19, 2026, with respect to the consolidated financial statements of Spyre Therapeutics, Inc. and the effectiveness of internal control over financial reporting.</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/s/ KPMG LLP</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San Diego, California </w:t>
      </w:r>
    </w:p>
    <w:p>
      <w:pPr>
        <w:pStyle w:val="TextBody"/>
        <w:bidi w:val="0"/>
        <w:spacing w:lineRule="auto" w:line="288" w:before="60" w:after="283"/>
        <w:jc w:val="left"/>
        <w:rPr>
          <w:rFonts w:ascii="Times New Roman;serif" w:hAnsi="Times New Roman;serif"/>
          <w:b w:val="false"/>
          <w:color w:val="000000"/>
          <w:sz w:val="22"/>
        </w:rPr>
      </w:pPr>
      <w:r>
        <w:rPr>
          <w:rFonts w:ascii="Times New Roman;serif" w:hAnsi="Times New Roman;serif"/>
          <w:b w:val="false"/>
          <w:color w:val="000000"/>
          <w:sz w:val="22"/>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23.2</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CONSENT OF INDEPENDENT REGISTERED PUBLIC ACCOUNTING FIRM</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hereby consent to the incorporation by reference in the Registration Statements on Form S-3 (Nos. 333-282252 and 333-285341) and Form S-8 (Nos. 333-210633, 333-216903, 333-223614, 333-230137, 333-236584, 333-254430, 333-263357, 333-270208, 333-276256, 333-277542, 333-283065, 333-285332 and 333-289255) of Spyre Therapeutics, Inc. of our report dated February 27, 2025 relating to the financial statements, which appears in this Form 10-K.</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Austin, Texas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of Principal Executive Officer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Cameron Turtle,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Spyre Therapeutics,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February 19, 2026</w:t>
      </w:r>
    </w:p>
    <w:tbl>
      <w:tblPr>
        <w:tblW w:w="2937" w:type="dxa"/>
        <w:jc w:val="left"/>
        <w:tblInd w:w="0" w:type="dxa"/>
        <w:tblLayout w:type="fixed"/>
        <w:tblCellMar>
          <w:top w:w="28" w:type="dxa"/>
          <w:left w:w="28" w:type="dxa"/>
          <w:bottom w:w="28" w:type="dxa"/>
          <w:right w:w="28" w:type="dxa"/>
        </w:tblCellMar>
      </w:tblPr>
      <w:tblGrid>
        <w:gridCol w:w="124"/>
        <w:gridCol w:w="109"/>
        <w:gridCol w:w="109"/>
        <w:gridCol w:w="757"/>
        <w:gridCol w:w="757"/>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Cameron Turtle, D.Phil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Cameron Turtle, D.Phil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 of Principal Financial Officer Pursuant to Section 302 of the Sarbanes-Oxley Act of 2002</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Scott Burrows, certify that: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Spyre Therapeutics, Inc.;</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February 19, 2026</w:t>
      </w:r>
    </w:p>
    <w:tbl>
      <w:tblPr>
        <w:tblW w:w="5711" w:type="dxa"/>
        <w:jc w:val="left"/>
        <w:tblInd w:w="0" w:type="dxa"/>
        <w:tblLayout w:type="fixed"/>
        <w:tblCellMar>
          <w:top w:w="28" w:type="dxa"/>
          <w:left w:w="28" w:type="dxa"/>
          <w:bottom w:w="28" w:type="dxa"/>
          <w:right w:w="28" w:type="dxa"/>
        </w:tblCellMar>
      </w:tblPr>
      <w:tblGrid>
        <w:gridCol w:w="124"/>
        <w:gridCol w:w="109"/>
        <w:gridCol w:w="109"/>
        <w:gridCol w:w="1568"/>
        <w:gridCol w:w="1568"/>
        <w:gridCol w:w="22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 the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In connection with the Annual Report of Spyre Therapeutics, Inc. (the “Company”) on Form 10-K for the year ended December 31, 2025, as filed with the Securities and Exchange Commission on the date hereof (the “Report”), each of the undersigned officers of the Company hereby certifies, pursuant to 18 U.S.C. Section 1350, as adopted pursuant to Section 906 of the Sarbanes-Oxley Act of 2002, that to the best of his knowledge: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588" w:type="dxa"/>
        <w:jc w:val="left"/>
        <w:tblInd w:w="0" w:type="dxa"/>
        <w:tblLayout w:type="fixed"/>
        <w:tblCellMar>
          <w:top w:w="28" w:type="dxa"/>
          <w:left w:w="28" w:type="dxa"/>
          <w:bottom w:w="28" w:type="dxa"/>
          <w:right w:w="28" w:type="dxa"/>
        </w:tblCellMar>
      </w:tblPr>
      <w:tblGrid>
        <w:gridCol w:w="803"/>
        <w:gridCol w:w="704"/>
        <w:gridCol w:w="712"/>
        <w:gridCol w:w="1566"/>
        <w:gridCol w:w="1566"/>
        <w:gridCol w:w="2237"/>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Date: February 19, 2026</w:t>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/s/ Cameron Turtle, D.Phil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Cameron Turtle, D.Phil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Executive Officer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Scott Burrows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Scott Burrows</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i/>
                <w:color w:val="000000"/>
                <w:sz w:val="20"/>
              </w:rPr>
            </w:pPr>
            <w:r>
              <w:rPr>
                <w:rFonts w:ascii="Arial;sans-serif" w:hAnsi="Arial;sans-serif"/>
                <w:b w:val="false"/>
                <w:i/>
                <w:color w:val="000000"/>
                <w:sz w:val="20"/>
              </w:rPr>
              <w:t>Chief Financial Officer</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20"/>
              </w:rPr>
            </w:pPr>
            <w:r>
              <w:rPr>
                <w:rFonts w:ascii="Arial;sans-serif" w:hAnsi="Arial;sans-serif"/>
                <w:b w:val="false"/>
                <w:i/>
                <w:color w:val="000000"/>
                <w:sz w:val="20"/>
              </w:rPr>
              <w:t>(Principal Financial Officer and Principal Accounting Officer)</w:t>
            </w:r>
          </w:p>
        </w:tc>
      </w:tr>
    </w:tbl>
    <w:p>
      <w:pPr>
        <w:pStyle w:val="TextBody"/>
        <w:bidi w:val="0"/>
        <w:spacing w:before="180" w:after="283"/>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foregoing certification is being furnished solely to accompany the Report pursuant to 18 U.S.C.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76"/>
        <w:jc w:val="left"/>
        <w:rPr>
          <w:rFonts w:ascii="Arial;sans-serif" w:hAnsi="Arial;sans-serif"/>
          <w:b w:val="false"/>
          <w:color w:val="000000"/>
          <w:sz w:val="20"/>
        </w:rPr>
      </w:pPr>
      <w:r>
        <w:rPr>
          <w:rFonts w:ascii="Arial;sans-serif" w:hAnsi="Arial;sans-serif"/>
          <w:b w:val="false"/>
          <w:color w:val="000000"/>
          <w:sz w:val="20"/>
        </w:rPr>
        <w:t>Note: A signed original of this written statement required by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636282/000119312523302158/d518298dex21.htm" TargetMode="External"/><Relationship Id="rId13" Type="http://schemas.openxmlformats.org/officeDocument/2006/relationships/hyperlink" Target="https://www.sec.gov/Archives/edgar/data/1636282/000119312524138893/d839821dex32.htm" TargetMode="External"/><Relationship Id="rId14" Type="http://schemas.openxmlformats.org/officeDocument/2006/relationships/hyperlink" Target="https://www.sec.gov/Archives/edgar/data/1636282/000119312524023071/d518298dex32.htm" TargetMode="External"/><Relationship Id="rId15" Type="http://schemas.openxmlformats.org/officeDocument/2006/relationships/hyperlink" Target="https://www.sec.gov/Archives/edgar/data/1636282/000119312523302158/d518298dex33.htm" TargetMode="External"/><Relationship Id="rId16" Type="http://schemas.openxmlformats.org/officeDocument/2006/relationships/hyperlink" Target="https://www.sec.gov/Archives/edgar/data/1636282/000119312523302158/d518298dex34.htm" TargetMode="External"/><Relationship Id="rId17" Type="http://schemas.openxmlformats.org/officeDocument/2006/relationships/hyperlink" Target="https://www.sec.gov/Archives/edgar/data/1636282/000119312524069693/d784263dex32.htm" TargetMode="External"/><Relationship Id="rId18" Type="http://schemas.openxmlformats.org/officeDocument/2006/relationships/hyperlink" Target="https://www.sec.gov/Archives/edgar/data/1636282/000119312523302158/d518298dex41.htm" TargetMode="External"/><Relationship Id="rId19" Type="http://schemas.openxmlformats.org/officeDocument/2006/relationships/hyperlink" Target="https://www.sec.gov/Archives/edgar/data/1636282/000119312523302158/d518298dex42.htm" TargetMode="External"/><Relationship Id="rId20" Type="http://schemas.openxmlformats.org/officeDocument/2006/relationships/hyperlink" Target="https://www.sec.gov/Archives/edgar/data/1636282/000119312523302158/d518298dex44.htm" TargetMode="External"/><Relationship Id="rId21" Type="http://schemas.openxmlformats.org/officeDocument/2006/relationships/hyperlink" Target="https://www.sec.gov/Archives/edgar/data/1636282/000163628225000020/ex44descriptionofcapitalst.htm" TargetMode="External"/><Relationship Id="rId22" Type="http://schemas.openxmlformats.org/officeDocument/2006/relationships/hyperlink" Target="https://www.sec.gov/Archives/edgar/data/1636282/000163628225000089/exhibit41-syrex001rwarrant.htm" TargetMode="External"/><Relationship Id="rId23" Type="http://schemas.openxmlformats.org/officeDocument/2006/relationships/hyperlink" Target="https://www.sec.gov/Archives/edgar/data/1636282/000163628225000089/exhibit42-syrex002warrantp.htm" TargetMode="External"/><Relationship Id="rId24" Type="http://schemas.openxmlformats.org/officeDocument/2006/relationships/hyperlink" Target="https://www.sec.gov/Archives/edgar/data/1636282/000119312524023071/d518298dex1019.htm" TargetMode="External"/><Relationship Id="rId25" Type="http://schemas.openxmlformats.org/officeDocument/2006/relationships/hyperlink" Target="https://www.sec.gov/Archives/edgar/data/1636282/000119312523302158/d518298dex107.htm" TargetMode="External"/><Relationship Id="rId26" Type="http://schemas.openxmlformats.org/officeDocument/2006/relationships/hyperlink" Target="https://www.sec.gov/Archives/edgar/data/1636282/000119312523302158/d518298dex108.htm" TargetMode="External"/><Relationship Id="rId27" Type="http://schemas.openxmlformats.org/officeDocument/2006/relationships/hyperlink" Target="https://www.sec.gov/Archives/edgar/data/1636282/000163628224000051/ex106formofstockoptionagre.htm" TargetMode="External"/><Relationship Id="rId28" Type="http://schemas.openxmlformats.org/officeDocument/2006/relationships/hyperlink" Target="https://www.sec.gov/Archives/edgar/data/1636282/000163628224000005/ex104_spyre-2016employeest.htm" TargetMode="External"/><Relationship Id="rId29" Type="http://schemas.openxmlformats.org/officeDocument/2006/relationships/hyperlink" Target="https://www.sec.gov/Archives/edgar/data/1636282/000163628225000089/exhibit1012018equityinduce.htm" TargetMode="External"/><Relationship Id="rId30" Type="http://schemas.openxmlformats.org/officeDocument/2006/relationships/hyperlink" Target="https://www.sec.gov/Archives/edgar/data/1636282/000163628225000089/exhibit1012018equityinduce.htm" TargetMode="External"/><Relationship Id="rId31" Type="http://schemas.openxmlformats.org/officeDocument/2006/relationships/hyperlink" Target="https://www.sec.gov/Archives/edgar/data/1636282/000163628225000089/exhibit1012018equityinduce.htm" TargetMode="External"/><Relationship Id="rId32" Type="http://schemas.openxmlformats.org/officeDocument/2006/relationships/hyperlink" Target="https://www.sec.gov/Archives/edgar/data/1636282/000163628225000089/exhibit1012018equityinduce.htm" TargetMode="External"/><Relationship Id="rId33" Type="http://schemas.openxmlformats.org/officeDocument/2006/relationships/hyperlink" Target="https://www.sec.gov/Archives/edgar/data/1636282/000163628225000089/exhibit1012018equityinduce.htm" TargetMode="External"/><Relationship Id="rId34" Type="http://schemas.openxmlformats.org/officeDocument/2006/relationships/hyperlink" Target="https://www.sec.gov/Archives/edgar/data/1636282/000163628225000089/exhibit1012018equityinduce.htm" TargetMode="External"/><Relationship Id="rId35" Type="http://schemas.openxmlformats.org/officeDocument/2006/relationships/hyperlink" Target="https://www.sec.gov/Archives/edgar/data/1636282/000119312523302158/d518298dex1011.htm" TargetMode="External"/><Relationship Id="rId36" Type="http://schemas.openxmlformats.org/officeDocument/2006/relationships/hyperlink" Target="https://www.sec.gov/Archives/edgar/data/1636282/000163628224000051/ex107formofrestrictedstock.htm" TargetMode="External"/><Relationship Id="rId37" Type="http://schemas.openxmlformats.org/officeDocument/2006/relationships/hyperlink" Target="https://www.sec.gov/Archives/edgar/data/1636282/000119312523302158/d518298dex1012.htm" TargetMode="External"/><Relationship Id="rId38" Type="http://schemas.openxmlformats.org/officeDocument/2006/relationships/hyperlink" Target="https://www.sec.gov/Archives/edgar/data/1636282/000119312523302158/d518298dex1013.htm" TargetMode="External"/><Relationship Id="rId39" Type="http://schemas.openxmlformats.org/officeDocument/2006/relationships/hyperlink" Target="https://www.sec.gov/Archives/edgar/data/1636282/000119312523302158/d518298dex1014.htm" TargetMode="External"/><Relationship Id="rId40" Type="http://schemas.openxmlformats.org/officeDocument/2006/relationships/hyperlink" Target="https://www.sec.gov/Archives/edgar/data/1636282/000119312524023071/d518298dex104.htm" TargetMode="External"/><Relationship Id="rId41" Type="http://schemas.openxmlformats.org/officeDocument/2006/relationships/hyperlink" Target="https://www.sec.gov/Archives/edgar/data/1636282/000119312523302158/d518298dex1016.htm" TargetMode="External"/><Relationship Id="rId42" Type="http://schemas.openxmlformats.org/officeDocument/2006/relationships/hyperlink" Target="https://www.sec.gov/Archives/edgar/data/1636282/000163628224000005/ex1019_spyre-offerletterxh.htm" TargetMode="External"/><Relationship Id="rId43" Type="http://schemas.openxmlformats.org/officeDocument/2006/relationships/hyperlink" Target="https://www.sec.gov/Archives/edgar/data/1636282/000163628224000083/ex105-spyrexofferletterssl.htm" TargetMode="External"/><Relationship Id="rId44" Type="http://schemas.openxmlformats.org/officeDocument/2006/relationships/hyperlink" Target="https://www.sec.gov/Archives/edgar/data/1636282/000163628224000005/ex1020_agle-aegleaconsulti.htm" TargetMode="External"/><Relationship Id="rId45" Type="http://schemas.openxmlformats.org/officeDocument/2006/relationships/hyperlink" Target="https://www.sec.gov/Archives/edgar/data/1636282/000119312524237150/d858952dex102.htm" TargetMode="External"/><Relationship Id="rId46" Type="http://schemas.openxmlformats.org/officeDocument/2006/relationships/hyperlink" Target="https://www.sec.gov/Archives/edgar/data/1636282/000119312524237150/d858952dex103.htm" TargetMode="External"/><Relationship Id="rId47" Type="http://schemas.openxmlformats.org/officeDocument/2006/relationships/hyperlink" Target="https://www.sec.gov/Archives/edgar/data/1636282/000119312523302158/d518298dex103.htm" TargetMode="External"/><Relationship Id="rId48" Type="http://schemas.openxmlformats.org/officeDocument/2006/relationships/hyperlink" Target="https://www.sec.gov/Archives/edgar/data/1636282/000163628224000037/wuxinovationagreement.htm" TargetMode="External"/><Relationship Id="rId49" Type="http://schemas.openxmlformats.org/officeDocument/2006/relationships/hyperlink" Target="https://www.sec.gov/Archives/edgar/data/1636282/000163628224000051/ex105secondamendedandresta.htm" TargetMode="External"/><Relationship Id="rId50" Type="http://schemas.openxmlformats.org/officeDocument/2006/relationships/hyperlink" Target="https://www.sec.gov/Archives/edgar/data/1636282/000163628224000051/ex103finalredactedparagon-.htm" TargetMode="External"/><Relationship Id="rId51" Type="http://schemas.openxmlformats.org/officeDocument/2006/relationships/hyperlink" Target="https://www.sec.gov/Archives/edgar/data/1636282/000163628224000051/ex104tl1aspy002licenseagre.htm" TargetMode="External"/><Relationship Id="rId52" Type="http://schemas.openxmlformats.org/officeDocument/2006/relationships/hyperlink" Target="https://www.sec.gov/Archives/edgar/data/1636282/000163628224000051/ex104tl1aspy002licenseagre.htm" TargetMode="External"/><Relationship Id="rId53" Type="http://schemas.openxmlformats.org/officeDocument/2006/relationships/hyperlink" Target="https://www.sec.gov/Archives/edgar/data/1636282/000163628224000051/ex104tl1aspy002licenseagre.htm" TargetMode="External"/><Relationship Id="rId54" Type="http://schemas.openxmlformats.org/officeDocument/2006/relationships/hyperlink" Target="https://www.sec.gov/Archives/edgar/data/1636282/000163628225000020/exhibit1025-paragonxspyrex.htm" TargetMode="External"/><Relationship Id="rId55" Type="http://schemas.openxmlformats.org/officeDocument/2006/relationships/hyperlink" Target="https://www.sec.gov/Archives/edgar/data/1636282/000162828024039683/exhibit12-sx3shelf.htm" TargetMode="External"/><Relationship Id="rId56" Type="http://schemas.openxmlformats.org/officeDocument/2006/relationships/hyperlink" Target="https://www.sec.gov/Archives/edgar/data/1636282/000119312525048423/d861533dex161.htm" TargetMode="External"/><Relationship Id="rId57" Type="http://schemas.openxmlformats.org/officeDocument/2006/relationships/hyperlink" Target="https://www.sec.gov/Archives/edgar/data/1636282/000163628225000020/ex191spyre_insidertradingp.htm" TargetMode="External"/><Relationship Id="rId58" Type="http://schemas.openxmlformats.org/officeDocument/2006/relationships/hyperlink" Target="https://www.sec.gov/Archives/edgar/data/1636282/000163628224000005/ex97_spyretherapeuticsincc.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109097</Words>
  <Characters>616848</Characters>
  <CharactersWithSpaces>723050</CharactersWithSpaces>
  <Paragraphs>4968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