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Albers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11/22/2023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Spyre Therapeutics, Inc.</w:t>
              </w:r>
            </w:hyperlink>
            <w:r>
              <w:rPr/>
              <w:t xml:space="preserve"> [ </w:t>
            </w:r>
            <w:r>
              <w:rPr>
                <w:rFonts w:ascii="Times;serif" w:hAnsi="Times;serif"/>
                <w:color w:val="0000FF"/>
                <w:sz w:val="24"/>
                <w:shd w:fill="FFFFFF" w:val="clear"/>
              </w:rPr>
              <w:t>AGLE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4"/>
        </w:rPr>
      </w:pPr>
      <w:bookmarkStart w:id="2" w:name="agle-ex24.htm"/>
      <w:bookmarkStart w:id="3" w:name="ksagleex24"/>
      <w:bookmarkEnd w:id="2"/>
      <w:bookmarkEnd w:id="3"/>
      <w:r>
        <w:rPr>
          <w:rFonts w:ascii="Times New Roman" w:hAnsi="Times New Roman"/>
          <w:b/>
          <w:color w:val="000000"/>
          <w:sz w:val="24"/>
        </w:rPr>
        <w:t>POWER OF ATTORNEY</w:t>
      </w:r>
      <w:r>
        <w:br w:type="page"/>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Know all by these present that the undersigned hereby constitutes and appoints each of Ryan Murr, Melanie Neary, Cameron Turtle, Scott Burrows and Heidy King-Jones, signing individually, the undersigned’s true and lawful attorneys-in-fact and agents to:</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(1) execute for and on behalf of the undersigned, in the undersigned’s capacity as an officer, director or beneficial owner of more than 10% of a registered class of securities of Aeglea BioTherapeutics, Inc. (the “Company”), (a) Forms 3, 4 and 5 (including any amendments thereto) in accordance with Section 16(a) of the Securities Exchange Act of 1934, as amended (the “Exchange Act”) and the rules thereunder and a (b) Form ID, Uniform Application for Access Codes to File on EDGAR, including Update Passphrase Confirmation;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(2) 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(3) 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120"/>
        <w:jc w:val="left"/>
        <w:rPr>
          <w:rFonts w:ascii="Times New Roman" w:hAnsi="Times New Roman"/>
          <w:sz w:val="20"/>
        </w:rPr>
      </w:pPr>
      <w:r>
        <w:rPr>
          <w:rFonts w:ascii="Times New Roman" w:hAnsi="Times New Roman"/>
          <w:color w:val="000000"/>
          <w:sz w:val="24"/>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Gibson, Dunn &amp; Crutcher LLP.</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November 27, 2023.</w:t>
      </w:r>
    </w:p>
    <w:p>
      <w:pPr>
        <w:pStyle w:val="TextBody"/>
        <w:bidi w:val="0"/>
        <w:jc w:val="left"/>
        <w:rPr/>
      </w:pPr>
      <w:r>
        <w:rPr/>
        <w:t> </w:t>
      </w:r>
    </w:p>
    <w:tbl>
      <w:tblPr>
        <w:tblW w:w="2063" w:type="dxa"/>
        <w:jc w:val="left"/>
        <w:tblInd w:w="0" w:type="dxa"/>
        <w:tblLayout w:type="fixed"/>
        <w:tblCellMar>
          <w:top w:w="28" w:type="dxa"/>
          <w:left w:w="28" w:type="dxa"/>
          <w:bottom w:w="28" w:type="dxa"/>
          <w:right w:w="28" w:type="dxa"/>
        </w:tblCellMar>
      </w:tblPr>
      <w:tblGrid>
        <w:gridCol w:w="161"/>
        <w:gridCol w:w="17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Jeffrey Albers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Jeffrey Albers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38474" TargetMode="External"/><Relationship Id="rId3" Type="http://schemas.openxmlformats.org/officeDocument/2006/relationships/hyperlink" Target="http://www.sec.gov/cgi-bin/browse-edgar?action=getcompany&amp;CIK=000163628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905</Words>
  <Characters>4851</Characters>
  <CharactersWithSpaces>5716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