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Stelzer Laurie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Spyre Therapeutics, Inc.</w:t>
              </w:r>
            </w:hyperlink>
            <w:r>
              <w:rPr/>
              <w:t xml:space="preserve"> [ </w:t>
            </w:r>
            <w:r>
              <w:rPr>
                <w:rFonts w:ascii="Times;serif" w:hAnsi="Times;serif"/>
                <w:color w:val="0000FF"/>
                <w:sz w:val="24"/>
                <w:shd w:fill="FFFFFF" w:val="clear"/>
              </w:rPr>
              <w:t>AGLE</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11/22/2023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represents a right to purchase 50,000 shares of the Issuer's common stock, which will vest and become exercisable in 36 equal monthly installments beginning on November 22, 2023 until such time as the option is 100% vested, subject to the Reporting Person's continuous service with the Issuer at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44348" TargetMode="External"/><Relationship Id="rId4" Type="http://schemas.openxmlformats.org/officeDocument/2006/relationships/hyperlink" Target="http://www.sec.gov/cgi-bin/browse-edgar?action=getcompany&amp;CIK=00016362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3364</Characters>
  <CharactersWithSpaces>3918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