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445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445250"/>
                    </a:xfrm>
                    <a:prstGeom prst="rect">
                      <a:avLst/>
                    </a:prstGeom>
                    <a:noFill/>
                  </pic:spPr>
                </pic:pic>
              </a:graphicData>
            </a:graphic>
          </wp:anchor>
        </w:drawing>
      </w:r>
    </w:p>
    <w:p>
      <w:pPr>
        <w:spacing w:after="0" w:line="1243" w:lineRule="exact"/>
        <w:rPr>
          <w:sz w:val="24"/>
          <w:szCs w:val="24"/>
          <w:color w:val="auto"/>
        </w:rPr>
      </w:pPr>
    </w:p>
    <w:p>
      <w:pPr>
        <w:sectPr>
          <w:pgSz w:w="11900" w:h="16859"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Sloan Sheldon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80"/>
        <w:spacing w:after="0" w:line="308" w:lineRule="auto"/>
        <w:rPr>
          <w:sz w:val="20"/>
          <w:szCs w:val="20"/>
          <w:color w:val="auto"/>
        </w:rPr>
      </w:pPr>
      <w:r>
        <w:rPr>
          <w:rFonts w:ascii="Times New Roman" w:cs="Times New Roman" w:eastAsia="Times New Roman" w:hAnsi="Times New Roman"/>
          <w:sz w:val="17"/>
          <w:szCs w:val="17"/>
          <w:color w:val="0000FF"/>
        </w:rPr>
        <w:t>221 CRESCENT STREET, BUILDING 23 SUITE 105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Spyre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SYRE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36" w:lineRule="exact"/>
        <w:rPr>
          <w:sz w:val="24"/>
          <w:szCs w:val="24"/>
          <w:color w:val="auto"/>
        </w:rPr>
      </w:pPr>
    </w:p>
    <w:p>
      <w:pPr>
        <w:sectPr>
          <w:pgSz w:w="11900" w:h="16859"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right"/>
              <w:ind w:right="9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right"/>
              <w:ind w:right="23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8"/>
              </w:rPr>
              <w:t>78,333</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27.46</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78,333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8"/>
              </w:rPr>
              <w:t>21,306</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69.53</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57,027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8"/>
              </w:rPr>
              <w:t>19,656</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70.61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37,371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9"/>
              </w:rPr>
              <w:t>8,777</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71.56</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28,594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8"/>
              </w:rPr>
              <w:t>12,777</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72.94</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15,817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8"/>
              </w:rPr>
              <w:t>10,358</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73.74</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5,459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9"/>
              </w:rPr>
              <w:t>5,059</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74.6</w:t>
            </w:r>
            <w:r>
              <w:rPr>
                <w:rFonts w:ascii="Times New Roman" w:cs="Times New Roman" w:eastAsia="Times New Roman" w:hAnsi="Times New Roman"/>
                <w:sz w:val="21"/>
                <w:szCs w:val="21"/>
                <w:color w:val="008000"/>
                <w:w w:val="89"/>
                <w:vertAlign w:val="superscript"/>
              </w:rPr>
              <w:t>(7)</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rPr>
              <w:t>400</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75.37</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6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16"/>
                <w:szCs w:val="16"/>
                <w:color w:val="auto"/>
              </w:rPr>
            </w:pPr>
          </w:p>
        </w:tc>
        <w:tc>
          <w:tcPr>
            <w:tcW w:w="62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78,333</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10/01/2034</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78,333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321,667</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on June 20, 2025.</w:t>
      </w:r>
    </w:p>
    <w:p>
      <w:pPr>
        <w:spacing w:after="0" w:line="43" w:lineRule="exact"/>
        <w:rPr>
          <w:rFonts w:ascii="Times New Roman" w:cs="Times New Roman" w:eastAsia="Times New Roman" w:hAnsi="Times New Roman"/>
          <w:sz w:val="13"/>
          <w:szCs w:val="13"/>
          <w:color w:val="008000"/>
        </w:rPr>
      </w:pPr>
    </w:p>
    <w:p>
      <w:pPr>
        <w:ind w:left="40" w:right="14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above is a weighted average price. The shares were sold in multiple transactions at prices ranging from $69.21 to $70.16,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$70.21 to $71.20, inclusive. The Reporting Person undertakes to provide to the Issuer, any security holder of the Issuer, or the staff of the SEC,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$71.21 to $72.19, inclusive. The Reporting Person undertakes to provide to the Issuer, any security holder of the Issuer, or the staff of the SEC,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$72.21 to $73.20, inclusive. The Reporting Person undertakes to provide to the Issuer, any security holder of the Issuer, or the staff of the SEC,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$73.21 to $74.20, inclusive. The Reporting Person undertakes to provide to the Issuer, any security holder of the Issuer, or the staff of the SEC,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$74.21 to $74.96, inclusive. The Reporting Person undertakes to provide to the Issuer, any security holder of the Issuer, or the staff of the SEC,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left="40" w:right="5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the right to purchase 400,000 shares of the Issuer's common stock, one quarter of vested and became exercisable on October 1, 2025, with the remaining three quarters vesting in monthly installments over the following three years, subject to the Reporting Person's continued employment with the Issuer.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Heidy King-Jones, as</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05/01/2026</w:t>
            </w:r>
          </w:p>
        </w:tc>
        <w:tc>
          <w:tcPr>
            <w:tcW w:w="0" w:type="dxa"/>
            <w:vAlign w:val="bottom"/>
          </w:tcPr>
          <w:p>
            <w:pPr>
              <w:spacing w:after="0"/>
              <w:rPr>
                <w:sz w:val="1"/>
                <w:szCs w:val="1"/>
                <w:color w:val="auto"/>
              </w:rPr>
            </w:pPr>
          </w:p>
        </w:tc>
      </w:tr>
      <w:tr>
        <w:trPr>
          <w:trHeight w:val="83"/>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20" w:type="dxa"/>
            <w:vAlign w:val="bottom"/>
            <w:vMerge w:val="restart"/>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59" w:orient="portrait"/>
          <w:cols w:equalWidth="0" w:num="1">
            <w:col w:w="11080"/>
          </w:cols>
          <w:pgMar w:left="460" w:top="217"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8798" TargetMode="External"/><Relationship Id="rId14" Type="http://schemas.openxmlformats.org/officeDocument/2006/relationships/hyperlink" Target="http://www.sec.gov/cgi-bin/browse-edgar?action=getcompany&amp;CIK=0001636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2026-05-01T20:36:15Z</dcterms:created>
  <dcterms:modified xsi:type="dcterms:W3CDTF">2026-05-01T20:36:15Z</dcterms:modified>
</cp:coreProperties>
</file>